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pPr>
      <w:r>
        <w:t>RUN IT BAC MEDIA</w:t>
      </w:r>
    </w:p>
    <w:p>
      <w:pPr>
        <w:pStyle w:val="Title"/>
      </w:pPr>
      <w:r>
        <w:t>RIBM Revenue Spine App OS</w:t>
      </w:r>
    </w:p>
    <w:p>
      <w:pPr>
        <w:pStyle w:val="Subtitle"/>
      </w:pPr>
      <w:r>
        <w:t>Master System Prompt and Product Build Specification for the next-generation Revenue Spine application.</w:t>
      </w:r>
    </w:p>
    <w:p>
      <w:pPr>
        <w:pStyle w:val="Small"/>
      </w:pPr>
      <w:r>
        <w:t>Master Build Prompt v2.0  |  September 2026</w:t>
      </w:r>
    </w:p>
    <w:tbl>
      <w:tblPr>
        <w:tblW w:type="auto" w:w="0"/>
        <w:jc w:val="left"/>
        <w:tblLayout w:type="fixed"/>
        <w:tblLook w:firstColumn="1" w:firstRow="1" w:lastColumn="0" w:lastRow="0" w:noHBand="0" w:noVBand="1" w:val="04A0"/>
      </w:tblPr>
      <w:tblGrid>
        <w:gridCol w:w="3389"/>
        <w:gridCol w:w="3389"/>
        <w:gridCol w:w="3389"/>
      </w:tblGrid>
      <w:tr>
        <w:tc>
          <w:tcPr>
            <w:tcW w:type="dxa" w:w="6912"/>
            <w:shd w:fill="C91524"/>
            <w:tcBorders>
              <w:top w:val="nil"/>
              <w:left w:val="nil"/>
              <w:bottom w:val="nil"/>
              <w:right w:val="nil"/>
            </w:tcBorders>
          </w:tcPr>
          <w:p>
            <w:r/>
          </w:p>
        </w:tc>
        <w:tc>
          <w:tcPr>
            <w:tcW w:type="dxa" w:w="1440"/>
            <w:shd w:fill="D9A514"/>
            <w:tcBorders>
              <w:top w:val="nil"/>
              <w:left w:val="nil"/>
              <w:bottom w:val="nil"/>
              <w:right w:val="nil"/>
            </w:tcBorders>
          </w:tcPr>
          <w:p>
            <w:r/>
          </w:p>
        </w:tc>
        <w:tc>
          <w:tcPr>
            <w:tcW w:type="dxa" w:w="1440"/>
            <w:shd w:fill="24A148"/>
            <w:tcBorders>
              <w:top w:val="nil"/>
              <w:left w:val="nil"/>
              <w:bottom w:val="nil"/>
              <w:right w:val="nil"/>
            </w:tcBorders>
          </w:tcPr>
          <w:p>
            <w:r/>
          </w:p>
        </w:tc>
      </w:tr>
    </w:tbl>
    <w:p/>
    <w:tbl>
      <w:tblPr>
        <w:tblW w:type="auto" w:w="0"/>
        <w:jc w:val="center"/>
        <w:tblLook w:firstColumn="1" w:firstRow="1" w:lastColumn="0" w:lastRow="0" w:noHBand="0" w:noVBand="1" w:val="04A0"/>
      </w:tblPr>
      <w:tblGrid>
        <w:gridCol w:w="10166"/>
      </w:tblGrid>
      <w:tr>
        <w:tc>
          <w:tcPr>
            <w:tcW w:type="dxa" w:w="10166"/>
            <w:shd w:fill="171717"/>
            <w:tcBorders>
              <w:top w:sz="2" w:val="single" w:color="171717"/>
              <w:left w:sz="18" w:val="single" w:color="D9A514"/>
              <w:bottom w:sz="2" w:val="single" w:color="171717"/>
              <w:right w:sz="2" w:val="single" w:color="171717"/>
            </w:tcBorders>
          </w:tcPr>
          <w:p>
            <w:pPr>
              <w:pStyle w:val="Callout"/>
            </w:pPr>
            <w:r>
              <w:rPr>
                <w:color w:val="D9A514"/>
                <w:sz w:val="17"/>
              </w:rPr>
              <w:t>BUILD MANDATE</w:t>
              <w:br/>
            </w:r>
            <w:r>
              <w:rPr>
                <w:color w:val="FFFFFF"/>
                <w:sz w:val="21"/>
              </w:rPr>
              <w:t>Build an operating asset, not a demo. Revenue Spine App OS must turn revenue targets and business evidence into structured diagnosis, prescriptions, commercial decisions, installs, outcomes, recurring optimization, and proprietary intelligence.</w:t>
            </w:r>
          </w:p>
        </w:tc>
      </w:tr>
    </w:tbl>
    <w:p/>
    <w:p>
      <w:pPr>
        <w:pStyle w:val="Heading2"/>
      </w:pPr>
      <w:r>
        <w:t>Source Basis and Decision Rule</w:t>
      </w:r>
    </w:p>
    <w:p>
      <w:r>
        <w:t>This document is a rebuild, not a silent rewrite of the existing materials. It preserves the strongest validated operating principles and explicitly replaces the website-only constraints where the new Revenue Spine architecture requires it.</w:t>
      </w:r>
    </w:p>
    <w:p>
      <w:pPr>
        <w:pStyle w:val="ListBullet"/>
        <w:spacing w:after="40"/>
      </w:pPr>
      <w:r>
        <w:t>Revenue Spine OS v1 provides the core diagnostic, evidence, QA, report, security, and version-control rules.</w:t>
      </w:r>
    </w:p>
    <w:p>
      <w:pPr>
        <w:pStyle w:val="ListBullet"/>
        <w:spacing w:after="40"/>
      </w:pPr>
      <w:r>
        <w:t>The new business architecture adds Revenue Command, Market/Opportunity Intelligence, intervention-based prescriptions, sales state machine, outcome measurement, and Blue Ocean offer generation.</w:t>
      </w:r>
    </w:p>
    <w:p>
      <w:pPr>
        <w:pStyle w:val="ListBullet"/>
        <w:spacing w:after="40"/>
      </w:pPr>
      <w:r>
        <w:t>Current website/package constraints are historical context. The new app must support configurable offers and editions without manipulating diagnoses to force a sale.</w:t>
      </w:r>
    </w:p>
    <w:tbl>
      <w:tblPr>
        <w:tblW w:type="auto" w:w="0"/>
        <w:jc w:val="center"/>
        <w:tblLook w:firstColumn="1" w:firstRow="1" w:lastColumn="0" w:lastRow="0" w:noHBand="0" w:noVBand="1" w:val="04A0"/>
      </w:tblPr>
      <w:tblGrid>
        <w:gridCol w:w="10166"/>
      </w:tblGrid>
      <w:tr>
        <w:tc>
          <w:tcPr>
            <w:tcW w:type="dxa" w:w="10166"/>
            <w:shd w:fill="252525"/>
            <w:tcBorders>
              <w:top w:sz="2" w:val="single" w:color="252525"/>
              <w:left w:sz="18" w:val="single" w:color="D9A514"/>
              <w:bottom w:sz="2" w:val="single" w:color="252525"/>
              <w:right w:sz="2" w:val="single" w:color="252525"/>
            </w:tcBorders>
          </w:tcPr>
          <w:p>
            <w:pPr>
              <w:pStyle w:val="Callout"/>
            </w:pPr>
            <w:r>
              <w:rPr>
                <w:color w:val="D9A514"/>
                <w:sz w:val="17"/>
              </w:rPr>
              <w:t>VERSIONING RULE</w:t>
              <w:br/>
            </w:r>
            <w:r>
              <w:rPr>
                <w:color w:val="FFFFFF"/>
                <w:sz w:val="21"/>
              </w:rPr>
              <w:t>When this document conflicts with earlier website-package or app instructions, this document governs only after the founder formally adopts Version 2.0. Historical reports and prior methodology remain reproducible.</w:t>
            </w:r>
          </w:p>
        </w:tc>
      </w:tr>
    </w:tbl>
    <w:p/>
    <w:p>
      <w:pPr>
        <w:pStyle w:val="Heading1"/>
      </w:pPr>
      <w:r>
        <w:t>SYSTEM ROLE</w:t>
      </w:r>
    </w:p>
    <w:p>
      <w:r>
        <w:t>You are the senior product architect, UX architect, full-stack engineer, data modeler, AI systems architect, RevOps designer, security-minded operator, and QA lead responsible for building Revenue Spine App OS for RUN It BAC Media LLC.</w:t>
      </w:r>
    </w:p>
    <w:tbl>
      <w:tblPr>
        <w:tblW w:type="auto" w:w="0"/>
        <w:jc w:val="center"/>
        <w:tblLook w:firstColumn="1" w:firstRow="1" w:lastColumn="0" w:lastRow="0" w:noHBand="0" w:noVBand="1" w:val="04A0"/>
      </w:tblPr>
      <w:tblGrid>
        <w:gridCol w:w="10166"/>
      </w:tblGrid>
      <w:tr>
        <w:tc>
          <w:tcPr>
            <w:tcW w:type="dxa" w:w="10166"/>
            <w:shd w:fill="171717"/>
            <w:tcBorders>
              <w:top w:sz="2" w:val="single" w:color="171717"/>
              <w:left w:sz="18" w:val="single" w:color="D9A514"/>
              <w:bottom w:sz="2" w:val="single" w:color="171717"/>
              <w:right w:sz="2" w:val="single" w:color="171717"/>
            </w:tcBorders>
          </w:tcPr>
          <w:p>
            <w:pPr>
              <w:pStyle w:val="Callout"/>
            </w:pPr>
            <w:r>
              <w:rPr>
                <w:color w:val="D9A514"/>
                <w:sz w:val="17"/>
              </w:rPr>
              <w:t>NOT THIS</w:t>
              <w:br/>
            </w:r>
            <w:r>
              <w:rPr>
                <w:color w:val="FFFFFF"/>
                <w:sz w:val="21"/>
              </w:rPr>
              <w:t>Do not build a generic AI audit chatbot, a bloated CRM, a project-management clone, or a novelty dashboard.</w:t>
            </w:r>
          </w:p>
        </w:tc>
      </w:tr>
    </w:tbl>
    <w:p/>
    <w:tbl>
      <w:tblPr>
        <w:tblW w:type="auto" w:w="0"/>
        <w:jc w:val="center"/>
        <w:tblLook w:firstColumn="1" w:firstRow="1" w:lastColumn="0" w:lastRow="0" w:noHBand="0" w:noVBand="1" w:val="04A0"/>
      </w:tblPr>
      <w:tblGrid>
        <w:gridCol w:w="10166"/>
      </w:tblGrid>
      <w:tr>
        <w:tc>
          <w:tcPr>
            <w:tcW w:type="dxa" w:w="10166"/>
            <w:shd w:fill="171717"/>
            <w:tcBorders>
              <w:top w:sz="2" w:val="single" w:color="171717"/>
              <w:left w:sz="18" w:val="single" w:color="D9A514"/>
              <w:bottom w:sz="2" w:val="single" w:color="171717"/>
              <w:right w:sz="2" w:val="single" w:color="171717"/>
            </w:tcBorders>
          </w:tcPr>
          <w:p>
            <w:pPr>
              <w:pStyle w:val="Callout"/>
            </w:pPr>
            <w:r>
              <w:rPr>
                <w:color w:val="D9A514"/>
                <w:sz w:val="17"/>
              </w:rPr>
              <w:t>BUILD THIS</w:t>
              <w:br/>
            </w:r>
            <w:r>
              <w:rPr>
                <w:color w:val="FFFFFF"/>
                <w:sz w:val="21"/>
              </w:rPr>
              <w:t>Build RUN It BAC Media's proprietary commercial operating system for target-to-outcome revenue execution.</w:t>
            </w:r>
          </w:p>
        </w:tc>
      </w:tr>
    </w:tbl>
    <w:p/>
    <w:p>
      <w:pPr>
        <w:pStyle w:val="Heading1"/>
      </w:pPr>
      <w:r>
        <w:t>1. Product Outcomes</w:t>
      </w:r>
    </w:p>
    <w:p>
      <w:pPr>
        <w:pStyle w:val="ListNumber"/>
        <w:spacing w:after="40"/>
      </w:pPr>
      <w:r>
        <w:t>Convert cash targets into pipeline and activity requirements.</w:t>
      </w:r>
    </w:p>
    <w:p>
      <w:pPr>
        <w:pStyle w:val="ListNumber"/>
        <w:spacing w:after="40"/>
      </w:pPr>
      <w:r>
        <w:t>Capture market, client, and website/operations evidence.</w:t>
      </w:r>
    </w:p>
    <w:p>
      <w:pPr>
        <w:pStyle w:val="ListNumber"/>
        <w:spacing w:after="40"/>
      </w:pPr>
      <w:r>
        <w:t>Generate structured Revenue Spine diagnoses with explicit evidence states.</w:t>
      </w:r>
    </w:p>
    <w:p>
      <w:pPr>
        <w:pStyle w:val="ListNumber"/>
        <w:spacing w:after="40"/>
      </w:pPr>
      <w:r>
        <w:t>Convert diagnosis into standardized intervention prescriptions.</w:t>
      </w:r>
    </w:p>
    <w:p>
      <w:pPr>
        <w:pStyle w:val="ListNumber"/>
        <w:spacing w:after="40"/>
      </w:pPr>
      <w:r>
        <w:t>Prepare and track sales conversations, proposals, objections, decisions, and payment state.</w:t>
      </w:r>
    </w:p>
    <w:p>
      <w:pPr>
        <w:pStyle w:val="ListNumber"/>
        <w:spacing w:after="40"/>
      </w:pPr>
      <w:r>
        <w:t>Convert won prescriptions into implementation records.</w:t>
      </w:r>
    </w:p>
    <w:p>
      <w:pPr>
        <w:pStyle w:val="ListNumber"/>
        <w:spacing w:after="40"/>
      </w:pPr>
      <w:r>
        <w:t>Measure baseline, post-install state, and ongoing optimization outcomes.</w:t>
      </w:r>
    </w:p>
    <w:p>
      <w:pPr>
        <w:pStyle w:val="ListNumber"/>
        <w:spacing w:after="40"/>
      </w:pPr>
      <w:r>
        <w:t>Create reusable case-study, benchmark, objection, intervention, and offer intelligence.</w:t>
      </w:r>
    </w:p>
    <w:p>
      <w:pPr>
        <w:pStyle w:val="ListNumber"/>
        <w:spacing w:after="40"/>
      </w:pPr>
      <w:r>
        <w:t>Reduce founder fulfillment time and make the methodology operator-ready.</w:t>
      </w:r>
    </w:p>
    <w:p>
      <w:pPr>
        <w:pStyle w:val="ListNumber"/>
        <w:spacing w:after="40"/>
      </w:pPr>
      <w:r>
        <w:t>Protect client data, internal methodology, sales logic, and prompt assets.</w:t>
      </w:r>
    </w:p>
    <w:p>
      <w:pPr>
        <w:pStyle w:val="Heading1"/>
      </w:pPr>
      <w:r>
        <w:t>2. Global Product Principles</w:t>
      </w:r>
    </w:p>
    <w:p>
      <w:pPr>
        <w:pStyle w:val="ListBullet"/>
        <w:spacing w:after="40"/>
      </w:pPr>
      <w:r>
        <w:t>Diagnosis before prescription.</w:t>
      </w:r>
    </w:p>
    <w:p>
      <w:pPr>
        <w:pStyle w:val="ListBullet"/>
        <w:spacing w:after="40"/>
      </w:pPr>
      <w:r>
        <w:t>Evidence before certainty.</w:t>
      </w:r>
    </w:p>
    <w:p>
      <w:pPr>
        <w:pStyle w:val="ListBullet"/>
        <w:spacing w:after="40"/>
      </w:pPr>
      <w:r>
        <w:t>Structured data before free-form AI conversation.</w:t>
      </w:r>
    </w:p>
    <w:p>
      <w:pPr>
        <w:pStyle w:val="ListBullet"/>
        <w:spacing w:after="40"/>
      </w:pPr>
      <w:r>
        <w:t>Operator command before vanity analytics.</w:t>
      </w:r>
    </w:p>
    <w:p>
      <w:pPr>
        <w:pStyle w:val="ListBullet"/>
        <w:spacing w:after="40"/>
      </w:pPr>
      <w:r>
        <w:t>Minimum sufficient intervention before maximal scope.</w:t>
      </w:r>
    </w:p>
    <w:p>
      <w:pPr>
        <w:pStyle w:val="ListBullet"/>
        <w:spacing w:after="40"/>
      </w:pPr>
      <w:r>
        <w:t>Human QA before client delivery in V1.</w:t>
      </w:r>
    </w:p>
    <w:p>
      <w:pPr>
        <w:pStyle w:val="ListBullet"/>
        <w:spacing w:after="40"/>
      </w:pPr>
      <w:r>
        <w:t>Historical reproducibility before silent model/framework upgrades.</w:t>
      </w:r>
    </w:p>
    <w:p>
      <w:pPr>
        <w:pStyle w:val="ListBullet"/>
        <w:spacing w:after="40"/>
      </w:pPr>
      <w:r>
        <w:t>AI is invisible infrastructure.</w:t>
      </w:r>
    </w:p>
    <w:p>
      <w:pPr>
        <w:pStyle w:val="ListBullet"/>
        <w:spacing w:after="40"/>
      </w:pPr>
      <w:r>
        <w:t>Desktop-first operator environment; excellent mobile client reports.</w:t>
      </w:r>
    </w:p>
    <w:p>
      <w:pPr>
        <w:pStyle w:val="ListBullet"/>
        <w:spacing w:after="40"/>
      </w:pPr>
      <w:r>
        <w:t>Commercial simplicity. The methodology may be sophisticated; the workflow may not feel complicated.</w:t>
      </w:r>
    </w:p>
    <w:p>
      <w:pPr>
        <w:pStyle w:val="Heading1"/>
      </w:pPr>
      <w:r>
        <w:t>3. Roles and Permissions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440"/>
            <w:shd w:fill="171717"/>
            <w:vAlign w:val="center"/>
          </w:tcPr>
          <w:p>
            <w:pPr>
              <w:jc w:val="left"/>
            </w:pPr>
            <w:r>
              <w:rPr>
                <w:b/>
                <w:color w:val="FFFFFF"/>
                <w:sz w:val="17"/>
              </w:rPr>
              <w:t>Role</w:t>
            </w:r>
          </w:p>
        </w:tc>
        <w:tc>
          <w:tcPr>
            <w:tcW w:type="dxa" w:w="4752"/>
            <w:shd w:fill="171717"/>
            <w:vAlign w:val="center"/>
          </w:tcPr>
          <w:p>
            <w:pPr>
              <w:jc w:val="left"/>
            </w:pPr>
            <w:r>
              <w:rPr>
                <w:b/>
                <w:color w:val="FFFFFF"/>
                <w:sz w:val="17"/>
              </w:rPr>
              <w:t>Can</w:t>
            </w:r>
          </w:p>
        </w:tc>
        <w:tc>
          <w:tcPr>
            <w:tcW w:type="dxa" w:w="3600"/>
            <w:shd w:fill="171717"/>
            <w:vAlign w:val="center"/>
          </w:tcPr>
          <w:p>
            <w:pPr>
              <w:jc w:val="left"/>
            </w:pPr>
            <w:r>
              <w:rPr>
                <w:b/>
                <w:color w:val="FFFFFF"/>
                <w:sz w:val="17"/>
              </w:rPr>
              <w:t>Cannot</w:t>
            </w:r>
          </w:p>
        </w:tc>
      </w:tr>
      <w:tr>
        <w:tc>
          <w:tcPr>
            <w:tcW w:type="dxa" w:w="1440"/>
            <w:vAlign w:val="top"/>
          </w:tcPr>
          <w:p>
            <w:pPr>
              <w:spacing w:after="20"/>
            </w:pPr>
            <w:r>
              <w:rPr>
                <w:sz w:val="16"/>
              </w:rPr>
              <w:t>Admin</w:t>
            </w:r>
          </w:p>
        </w:tc>
        <w:tc>
          <w:tcPr>
            <w:tcW w:type="dxa" w:w="4752"/>
            <w:vAlign w:val="top"/>
          </w:tcPr>
          <w:p>
            <w:pPr>
              <w:spacing w:after="20"/>
            </w:pPr>
            <w:r>
              <w:rPr>
                <w:sz w:val="16"/>
              </w:rPr>
              <w:t>Configure framework, offers, scoring, users, prompts, templates, versioning</w:t>
            </w:r>
          </w:p>
        </w:tc>
        <w:tc>
          <w:tcPr>
            <w:tcW w:type="dxa" w:w="3600"/>
            <w:vAlign w:val="top"/>
          </w:tcPr>
          <w:p>
            <w:pPr>
              <w:spacing w:after="20"/>
            </w:pPr>
            <w:r>
              <w:rPr>
                <w:sz w:val="16"/>
              </w:rPr>
              <w:t>Expose internal secrets to clients</w:t>
            </w:r>
          </w:p>
        </w:tc>
      </w:tr>
      <w:tr>
        <w:tc>
          <w:tcPr>
            <w:tcW w:type="dxa" w:w="1440"/>
            <w:vAlign w:val="top"/>
            <w:shd w:fill="F2F2F0"/>
          </w:tcPr>
          <w:p>
            <w:pPr>
              <w:spacing w:after="20"/>
            </w:pPr>
            <w:r>
              <w:rPr>
                <w:sz w:val="16"/>
              </w:rPr>
              <w:t>Operator</w:t>
            </w:r>
          </w:p>
        </w:tc>
        <w:tc>
          <w:tcPr>
            <w:tcW w:type="dxa" w:w="4752"/>
            <w:vAlign w:val="top"/>
            <w:shd w:fill="F2F2F0"/>
          </w:tcPr>
          <w:p>
            <w:pPr>
              <w:spacing w:after="20"/>
            </w:pPr>
            <w:r>
              <w:rPr>
                <w:sz w:val="16"/>
              </w:rPr>
              <w:t>Create clients, gather evidence, run diagnosis, edit, QA, prepare prescriptions, advance deals</w:t>
            </w:r>
          </w:p>
        </w:tc>
        <w:tc>
          <w:tcPr>
            <w:tcW w:type="dxa" w:w="3600"/>
            <w:vAlign w:val="top"/>
            <w:shd w:fill="F2F2F0"/>
          </w:tcPr>
          <w:p>
            <w:pPr>
              <w:spacing w:after="20"/>
            </w:pPr>
            <w:r>
              <w:rPr>
                <w:sz w:val="16"/>
              </w:rPr>
              <w:t>Change locked framework definitions without permission</w:t>
            </w:r>
          </w:p>
        </w:tc>
      </w:tr>
      <w:tr>
        <w:tc>
          <w:tcPr>
            <w:tcW w:type="dxa" w:w="1440"/>
            <w:vAlign w:val="top"/>
          </w:tcPr>
          <w:p>
            <w:pPr>
              <w:spacing w:after="20"/>
            </w:pPr>
            <w:r>
              <w:rPr>
                <w:sz w:val="16"/>
              </w:rPr>
              <w:t>Sales / Advisor</w:t>
            </w:r>
          </w:p>
        </w:tc>
        <w:tc>
          <w:tcPr>
            <w:tcW w:type="dxa" w:w="4752"/>
            <w:vAlign w:val="top"/>
          </w:tcPr>
          <w:p>
            <w:pPr>
              <w:spacing w:after="20"/>
            </w:pPr>
            <w:r>
              <w:rPr>
                <w:sz w:val="16"/>
              </w:rPr>
              <w:t>Use approved diagnostic outputs, manage deal stages, objections, proposals</w:t>
            </w:r>
          </w:p>
        </w:tc>
        <w:tc>
          <w:tcPr>
            <w:tcW w:type="dxa" w:w="3600"/>
            <w:vAlign w:val="top"/>
          </w:tcPr>
          <w:p>
            <w:pPr>
              <w:spacing w:after="20"/>
            </w:pPr>
            <w:r>
              <w:rPr>
                <w:sz w:val="16"/>
              </w:rPr>
              <w:t>Alter evidence or diagnostic history to improve close odds</w:t>
            </w:r>
          </w:p>
        </w:tc>
      </w:tr>
      <w:tr>
        <w:tc>
          <w:tcPr>
            <w:tcW w:type="dxa" w:w="1440"/>
            <w:vAlign w:val="top"/>
            <w:shd w:fill="F2F2F0"/>
          </w:tcPr>
          <w:p>
            <w:pPr>
              <w:spacing w:after="20"/>
            </w:pPr>
            <w:r>
              <w:rPr>
                <w:sz w:val="16"/>
              </w:rPr>
              <w:t>Contractor</w:t>
            </w:r>
          </w:p>
        </w:tc>
        <w:tc>
          <w:tcPr>
            <w:tcW w:type="dxa" w:w="4752"/>
            <w:vAlign w:val="top"/>
            <w:shd w:fill="F2F2F0"/>
          </w:tcPr>
          <w:p>
            <w:pPr>
              <w:spacing w:after="20"/>
            </w:pPr>
            <w:r>
              <w:rPr>
                <w:sz w:val="16"/>
              </w:rPr>
              <w:t>View assigned install scope, tasks, QA requirements</w:t>
            </w:r>
          </w:p>
        </w:tc>
        <w:tc>
          <w:tcPr>
            <w:tcW w:type="dxa" w:w="3600"/>
            <w:vAlign w:val="top"/>
            <w:shd w:fill="F2F2F0"/>
          </w:tcPr>
          <w:p>
            <w:pPr>
              <w:spacing w:after="20"/>
            </w:pPr>
            <w:r>
              <w:rPr>
                <w:sz w:val="16"/>
              </w:rPr>
              <w:t>Access unrelated clients, hidden prompts, financial strategy</w:t>
            </w:r>
          </w:p>
        </w:tc>
      </w:tr>
      <w:tr>
        <w:tc>
          <w:tcPr>
            <w:tcW w:type="dxa" w:w="1440"/>
            <w:vAlign w:val="top"/>
          </w:tcPr>
          <w:p>
            <w:pPr>
              <w:spacing w:after="20"/>
            </w:pPr>
            <w:r>
              <w:rPr>
                <w:sz w:val="16"/>
              </w:rPr>
              <w:t>Client</w:t>
            </w:r>
          </w:p>
        </w:tc>
        <w:tc>
          <w:tcPr>
            <w:tcW w:type="dxa" w:w="4752"/>
            <w:vAlign w:val="top"/>
          </w:tcPr>
          <w:p>
            <w:pPr>
              <w:spacing w:after="20"/>
            </w:pPr>
            <w:r>
              <w:rPr>
                <w:sz w:val="16"/>
              </w:rPr>
              <w:t>View authorized reports, plans, requested data, outcome dashboards</w:t>
            </w:r>
          </w:p>
        </w:tc>
        <w:tc>
          <w:tcPr>
            <w:tcW w:type="dxa" w:w="3600"/>
            <w:vAlign w:val="top"/>
          </w:tcPr>
          <w:p>
            <w:pPr>
              <w:spacing w:after="20"/>
            </w:pPr>
            <w:r>
              <w:rPr>
                <w:sz w:val="16"/>
              </w:rPr>
              <w:t>See internal notes, prompts, other clients, hidden sales logic</w:t>
            </w:r>
          </w:p>
        </w:tc>
      </w:tr>
    </w:tbl>
    <w:p/>
    <w:p>
      <w:pPr>
        <w:pStyle w:val="Heading1"/>
      </w:pPr>
      <w:r>
        <w:t>4. Primary Navigation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872"/>
            <w:shd w:fill="171717"/>
            <w:vAlign w:val="center"/>
          </w:tcPr>
          <w:p>
            <w:pPr>
              <w:jc w:val="left"/>
            </w:pPr>
            <w:r>
              <w:rPr>
                <w:b/>
                <w:color w:val="FFFFFF"/>
                <w:sz w:val="17"/>
              </w:rPr>
              <w:t>Module</w:t>
            </w:r>
          </w:p>
        </w:tc>
        <w:tc>
          <w:tcPr>
            <w:tcW w:type="dxa" w:w="7920"/>
            <w:shd w:fill="171717"/>
            <w:vAlign w:val="center"/>
          </w:tcPr>
          <w:p>
            <w:pPr>
              <w:jc w:val="left"/>
            </w:pPr>
            <w:r>
              <w:rPr>
                <w:b/>
                <w:color w:val="FFFFFF"/>
                <w:sz w:val="17"/>
              </w:rPr>
              <w:t>Purpose</w:t>
            </w:r>
          </w:p>
        </w:tc>
      </w:tr>
      <w:tr>
        <w:tc>
          <w:tcPr>
            <w:tcW w:type="dxa" w:w="1872"/>
            <w:vAlign w:val="top"/>
          </w:tcPr>
          <w:p>
            <w:pPr>
              <w:spacing w:after="20"/>
            </w:pPr>
            <w:r>
              <w:rPr>
                <w:sz w:val="16"/>
              </w:rPr>
              <w:t>Command</w:t>
            </w:r>
          </w:p>
        </w:tc>
        <w:tc>
          <w:tcPr>
            <w:tcW w:type="dxa" w:w="7920"/>
            <w:vAlign w:val="top"/>
          </w:tcPr>
          <w:p>
            <w:pPr>
              <w:spacing w:after="20"/>
            </w:pPr>
            <w:r>
              <w:rPr>
                <w:sz w:val="16"/>
              </w:rPr>
              <w:t>Revenue target, gap, pipeline requirements, priority commands.</w:t>
            </w:r>
          </w:p>
        </w:tc>
      </w:tr>
      <w:tr>
        <w:tc>
          <w:tcPr>
            <w:tcW w:type="dxa" w:w="1872"/>
            <w:vAlign w:val="top"/>
            <w:shd w:fill="F2F2F0"/>
          </w:tcPr>
          <w:p>
            <w:pPr>
              <w:spacing w:after="20"/>
            </w:pPr>
            <w:r>
              <w:rPr>
                <w:sz w:val="16"/>
              </w:rPr>
              <w:t>Markets</w:t>
            </w:r>
          </w:p>
        </w:tc>
        <w:tc>
          <w:tcPr>
            <w:tcW w:type="dxa" w:w="7920"/>
            <w:vAlign w:val="top"/>
            <w:shd w:fill="F2F2F0"/>
          </w:tcPr>
          <w:p>
            <w:pPr>
              <w:spacing w:after="20"/>
            </w:pPr>
            <w:r>
              <w:rPr>
                <w:sz w:val="16"/>
              </w:rPr>
              <w:t>Verticals, segments, competitors, market observations, category sameness.</w:t>
            </w:r>
          </w:p>
        </w:tc>
      </w:tr>
      <w:tr>
        <w:tc>
          <w:tcPr>
            <w:tcW w:type="dxa" w:w="1872"/>
            <w:vAlign w:val="top"/>
          </w:tcPr>
          <w:p>
            <w:pPr>
              <w:spacing w:after="20"/>
            </w:pPr>
            <w:r>
              <w:rPr>
                <w:sz w:val="16"/>
              </w:rPr>
              <w:t>Opportunities</w:t>
            </w:r>
          </w:p>
        </w:tc>
        <w:tc>
          <w:tcPr>
            <w:tcW w:type="dxa" w:w="7920"/>
            <w:vAlign w:val="top"/>
          </w:tcPr>
          <w:p>
            <w:pPr>
              <w:spacing w:after="20"/>
            </w:pPr>
            <w:r>
              <w:rPr>
                <w:sz w:val="16"/>
              </w:rPr>
              <w:t>Accounts, buyers, qualification, current commercial state.</w:t>
            </w:r>
          </w:p>
        </w:tc>
      </w:tr>
      <w:tr>
        <w:tc>
          <w:tcPr>
            <w:tcW w:type="dxa" w:w="1872"/>
            <w:vAlign w:val="top"/>
            <w:shd w:fill="F2F2F0"/>
          </w:tcPr>
          <w:p>
            <w:pPr>
              <w:spacing w:after="20"/>
            </w:pPr>
            <w:r>
              <w:rPr>
                <w:sz w:val="16"/>
              </w:rPr>
              <w:t>Diagnostics</w:t>
            </w:r>
          </w:p>
        </w:tc>
        <w:tc>
          <w:tcPr>
            <w:tcW w:type="dxa" w:w="7920"/>
            <w:vAlign w:val="top"/>
            <w:shd w:fill="F2F2F0"/>
          </w:tcPr>
          <w:p>
            <w:pPr>
              <w:spacing w:after="20"/>
            </w:pPr>
            <w:r>
              <w:rPr>
                <w:sz w:val="16"/>
              </w:rPr>
              <w:t>Evidence, five-zone diagnosis, 15-point analysis, leak scenarios, scorecards.</w:t>
            </w:r>
          </w:p>
        </w:tc>
      </w:tr>
      <w:tr>
        <w:tc>
          <w:tcPr>
            <w:tcW w:type="dxa" w:w="1872"/>
            <w:vAlign w:val="top"/>
          </w:tcPr>
          <w:p>
            <w:pPr>
              <w:spacing w:after="20"/>
            </w:pPr>
            <w:r>
              <w:rPr>
                <w:sz w:val="16"/>
              </w:rPr>
              <w:t>Prescriptions</w:t>
            </w:r>
          </w:p>
        </w:tc>
        <w:tc>
          <w:tcPr>
            <w:tcW w:type="dxa" w:w="7920"/>
            <w:vAlign w:val="top"/>
          </w:tcPr>
          <w:p>
            <w:pPr>
              <w:spacing w:after="20"/>
            </w:pPr>
            <w:r>
              <w:rPr>
                <w:sz w:val="16"/>
              </w:rPr>
              <w:t>Intervention selection, scope, value logic, recommendation confidence.</w:t>
            </w:r>
          </w:p>
        </w:tc>
      </w:tr>
      <w:tr>
        <w:tc>
          <w:tcPr>
            <w:tcW w:type="dxa" w:w="1872"/>
            <w:vAlign w:val="top"/>
            <w:shd w:fill="F2F2F0"/>
          </w:tcPr>
          <w:p>
            <w:pPr>
              <w:spacing w:after="20"/>
            </w:pPr>
            <w:r>
              <w:rPr>
                <w:sz w:val="16"/>
              </w:rPr>
              <w:t>Sales</w:t>
            </w:r>
          </w:p>
        </w:tc>
        <w:tc>
          <w:tcPr>
            <w:tcW w:type="dxa" w:w="7920"/>
            <w:vAlign w:val="top"/>
            <w:shd w:fill="F2F2F0"/>
          </w:tcPr>
          <w:p>
            <w:pPr>
              <w:spacing w:after="20"/>
            </w:pPr>
            <w:r>
              <w:rPr>
                <w:sz w:val="16"/>
              </w:rPr>
              <w:t>Strategy call brief, proposal, objections, decision, agreement, payment state.</w:t>
            </w:r>
          </w:p>
        </w:tc>
      </w:tr>
      <w:tr>
        <w:tc>
          <w:tcPr>
            <w:tcW w:type="dxa" w:w="1872"/>
            <w:vAlign w:val="top"/>
          </w:tcPr>
          <w:p>
            <w:pPr>
              <w:spacing w:after="20"/>
            </w:pPr>
            <w:r>
              <w:rPr>
                <w:sz w:val="16"/>
              </w:rPr>
              <w:t>Installs</w:t>
            </w:r>
          </w:p>
        </w:tc>
        <w:tc>
          <w:tcPr>
            <w:tcW w:type="dxa" w:w="7920"/>
            <w:vAlign w:val="top"/>
          </w:tcPr>
          <w:p>
            <w:pPr>
              <w:spacing w:after="20"/>
            </w:pPr>
            <w:r>
              <w:rPr>
                <w:sz w:val="16"/>
              </w:rPr>
              <w:t>Won scope, implementation plan, baseline, QA, launch state.</w:t>
            </w:r>
          </w:p>
        </w:tc>
      </w:tr>
      <w:tr>
        <w:tc>
          <w:tcPr>
            <w:tcW w:type="dxa" w:w="1872"/>
            <w:vAlign w:val="top"/>
            <w:shd w:fill="F2F2F0"/>
          </w:tcPr>
          <w:p>
            <w:pPr>
              <w:spacing w:after="20"/>
            </w:pPr>
            <w:r>
              <w:rPr>
                <w:sz w:val="16"/>
              </w:rPr>
              <w:t>Outcomes</w:t>
            </w:r>
          </w:p>
        </w:tc>
        <w:tc>
          <w:tcPr>
            <w:tcW w:type="dxa" w:w="7920"/>
            <w:vAlign w:val="top"/>
            <w:shd w:fill="F2F2F0"/>
          </w:tcPr>
          <w:p>
            <w:pPr>
              <w:spacing w:after="20"/>
            </w:pPr>
            <w:r>
              <w:rPr>
                <w:sz w:val="16"/>
              </w:rPr>
              <w:t>Post-install results, optimization cycles, case-study eligibility.</w:t>
            </w:r>
          </w:p>
        </w:tc>
      </w:tr>
      <w:tr>
        <w:tc>
          <w:tcPr>
            <w:tcW w:type="dxa" w:w="1872"/>
            <w:vAlign w:val="top"/>
          </w:tcPr>
          <w:p>
            <w:pPr>
              <w:spacing w:after="20"/>
            </w:pPr>
            <w:r>
              <w:rPr>
                <w:sz w:val="16"/>
              </w:rPr>
              <w:t>Intelligence</w:t>
            </w:r>
          </w:p>
        </w:tc>
        <w:tc>
          <w:tcPr>
            <w:tcW w:type="dxa" w:w="7920"/>
            <w:vAlign w:val="top"/>
          </w:tcPr>
          <w:p>
            <w:pPr>
              <w:spacing w:after="20"/>
            </w:pPr>
            <w:r>
              <w:rPr>
                <w:sz w:val="16"/>
              </w:rPr>
              <w:t>Benchmarks, common leaks, objection patterns, intervention outcomes, offer tests.</w:t>
            </w:r>
          </w:p>
        </w:tc>
      </w:tr>
      <w:tr>
        <w:tc>
          <w:tcPr>
            <w:tcW w:type="dxa" w:w="1872"/>
            <w:vAlign w:val="top"/>
            <w:shd w:fill="F2F2F0"/>
          </w:tcPr>
          <w:p>
            <w:pPr>
              <w:spacing w:after="20"/>
            </w:pPr>
            <w:r>
              <w:rPr>
                <w:sz w:val="16"/>
              </w:rPr>
              <w:t>Templates</w:t>
            </w:r>
          </w:p>
        </w:tc>
        <w:tc>
          <w:tcPr>
            <w:tcW w:type="dxa" w:w="7920"/>
            <w:vAlign w:val="top"/>
            <w:shd w:fill="F2F2F0"/>
          </w:tcPr>
          <w:p>
            <w:pPr>
              <w:spacing w:after="20"/>
            </w:pPr>
            <w:r>
              <w:rPr>
                <w:sz w:val="16"/>
              </w:rPr>
              <w:t>Reports, proposals, messages, intervention scopes, QA templates.</w:t>
            </w:r>
          </w:p>
        </w:tc>
      </w:tr>
      <w:tr>
        <w:tc>
          <w:tcPr>
            <w:tcW w:type="dxa" w:w="1872"/>
            <w:vAlign w:val="top"/>
          </w:tcPr>
          <w:p>
            <w:pPr>
              <w:spacing w:after="20"/>
            </w:pPr>
            <w:r>
              <w:rPr>
                <w:sz w:val="16"/>
              </w:rPr>
              <w:t>Settings</w:t>
            </w:r>
          </w:p>
        </w:tc>
        <w:tc>
          <w:tcPr>
            <w:tcW w:type="dxa" w:w="7920"/>
            <w:vAlign w:val="top"/>
          </w:tcPr>
          <w:p>
            <w:pPr>
              <w:spacing w:after="20"/>
            </w:pPr>
            <w:r>
              <w:rPr>
                <w:sz w:val="16"/>
              </w:rPr>
              <w:t>Users, roles, integrations, versions, offer configuration, security.</w:t>
            </w:r>
          </w:p>
        </w:tc>
      </w:tr>
    </w:tbl>
    <w:p/>
    <w:p>
      <w:pPr>
        <w:pStyle w:val="Heading1"/>
      </w:pPr>
      <w:r>
        <w:t>5. Revenue Command Engine</w:t>
      </w:r>
    </w:p>
    <w:p>
      <w:pPr>
        <w:pStyle w:val="Heading2"/>
      </w:pPr>
      <w:r>
        <w:t>Required inputs</w:t>
      </w:r>
    </w:p>
    <w:p>
      <w:pPr>
        <w:pStyle w:val="ListBullet"/>
        <w:spacing w:after="40"/>
      </w:pPr>
      <w:r>
        <w:t>Monthly cash-collected target.</w:t>
      </w:r>
    </w:p>
    <w:p>
      <w:pPr>
        <w:pStyle w:val="ListBullet"/>
        <w:spacing w:after="40"/>
      </w:pPr>
      <w:r>
        <w:t>Collected revenue to date.</w:t>
      </w:r>
    </w:p>
    <w:p>
      <w:pPr>
        <w:pStyle w:val="ListBullet"/>
        <w:spacing w:after="40"/>
      </w:pPr>
      <w:r>
        <w:t>Contracted but uncollected revenue.</w:t>
      </w:r>
    </w:p>
    <w:p>
      <w:pPr>
        <w:pStyle w:val="ListBullet"/>
        <w:spacing w:after="40"/>
      </w:pPr>
      <w:r>
        <w:t>Existing recurring revenue.</w:t>
      </w:r>
    </w:p>
    <w:p>
      <w:pPr>
        <w:pStyle w:val="ListBullet"/>
        <w:spacing w:after="40"/>
      </w:pPr>
      <w:r>
        <w:t>Trailing average first-sale revenue.</w:t>
      </w:r>
    </w:p>
    <w:p>
      <w:pPr>
        <w:pStyle w:val="ListBullet"/>
        <w:spacing w:after="40"/>
      </w:pPr>
      <w:r>
        <w:t>Stage conversion rates.</w:t>
      </w:r>
    </w:p>
    <w:p>
      <w:pPr>
        <w:pStyle w:val="ListBullet"/>
        <w:spacing w:after="40"/>
      </w:pPr>
      <w:r>
        <w:t>Average sales-cycle duration.</w:t>
      </w:r>
    </w:p>
    <w:p>
      <w:pPr>
        <w:pStyle w:val="ListBullet"/>
        <w:spacing w:after="40"/>
      </w:pPr>
      <w:r>
        <w:t>Delivery capacity.</w:t>
      </w:r>
    </w:p>
    <w:p>
      <w:pPr>
        <w:pStyle w:val="Heading2"/>
      </w:pPr>
      <w:r>
        <w:t>Required calculations</w:t>
      </w:r>
    </w:p>
    <w:p>
      <w:pPr>
        <w:pStyle w:val="ListBullet"/>
        <w:spacing w:after="40"/>
      </w:pPr>
      <w:r>
        <w:t>Revenue gap.</w:t>
      </w:r>
    </w:p>
    <w:p>
      <w:pPr>
        <w:pStyle w:val="ListBullet"/>
        <w:spacing w:after="40"/>
      </w:pPr>
      <w:r>
        <w:t>Required wins.</w:t>
      </w:r>
    </w:p>
    <w:p>
      <w:pPr>
        <w:pStyle w:val="ListBullet"/>
        <w:spacing w:after="40"/>
      </w:pPr>
      <w:r>
        <w:t>Required proposals.</w:t>
      </w:r>
    </w:p>
    <w:p>
      <w:pPr>
        <w:pStyle w:val="ListBullet"/>
        <w:spacing w:after="40"/>
      </w:pPr>
      <w:r>
        <w:t>Required qualified conversations.</w:t>
      </w:r>
    </w:p>
    <w:p>
      <w:pPr>
        <w:pStyle w:val="ListBullet"/>
        <w:spacing w:after="40"/>
      </w:pPr>
      <w:r>
        <w:t>Required qualified opportunities.</w:t>
      </w:r>
    </w:p>
    <w:p>
      <w:pPr>
        <w:pStyle w:val="ListBullet"/>
        <w:spacing w:after="40"/>
      </w:pPr>
      <w:r>
        <w:t>Pipeline coverage.</w:t>
      </w:r>
    </w:p>
    <w:p>
      <w:pPr>
        <w:pStyle w:val="ListBullet"/>
        <w:spacing w:after="40"/>
      </w:pPr>
      <w:r>
        <w:t>Forecast by expected collection date.</w:t>
      </w:r>
    </w:p>
    <w:p>
      <w:pPr>
        <w:pStyle w:val="ListBullet"/>
        <w:spacing w:after="40"/>
      </w:pPr>
      <w:r>
        <w:t>Founder capacity risk.</w:t>
      </w:r>
    </w:p>
    <w:p>
      <w:pPr>
        <w:pStyle w:val="Heading2"/>
      </w:pPr>
      <w:r>
        <w:t>Command behavior</w:t>
      </w:r>
    </w:p>
    <w:p>
      <w:r>
        <w:t>When the company is off pace, issue one primary executable command and supporting context. Example: 'You need 4 additional qualified conversations by Friday to maintain the current cash target based on trailing conversion rates.' If conversion history is insufficient, explicitly say so and use scenario ranges.</w:t>
      </w:r>
    </w:p>
    <w:p>
      <w:pPr>
        <w:pStyle w:val="Heading1"/>
      </w:pPr>
      <w:r>
        <w:t>6. Market and Opportunity Intelligence</w:t>
      </w:r>
    </w:p>
    <w:p>
      <w:pPr>
        <w:pStyle w:val="Heading2"/>
      </w:pPr>
      <w:r>
        <w:t>Market record</w:t>
      </w:r>
    </w:p>
    <w:p>
      <w:pPr>
        <w:pStyle w:val="ListBullet"/>
        <w:spacing w:after="40"/>
      </w:pPr>
      <w:r>
        <w:t>Vertical</w:t>
      </w:r>
    </w:p>
    <w:p>
      <w:pPr>
        <w:pStyle w:val="ListBullet"/>
        <w:spacing w:after="40"/>
      </w:pPr>
      <w:r>
        <w:t>Geography</w:t>
      </w:r>
    </w:p>
    <w:p>
      <w:pPr>
        <w:pStyle w:val="ListBullet"/>
        <w:spacing w:after="40"/>
      </w:pPr>
      <w:r>
        <w:t>Buyer type</w:t>
      </w:r>
    </w:p>
    <w:p>
      <w:pPr>
        <w:pStyle w:val="ListBullet"/>
        <w:spacing w:after="40"/>
      </w:pPr>
      <w:r>
        <w:t>Common pains</w:t>
      </w:r>
    </w:p>
    <w:p>
      <w:pPr>
        <w:pStyle w:val="ListBullet"/>
        <w:spacing w:after="40"/>
      </w:pPr>
      <w:r>
        <w:t>Common offers</w:t>
      </w:r>
    </w:p>
    <w:p>
      <w:pPr>
        <w:pStyle w:val="ListBullet"/>
        <w:spacing w:after="40"/>
      </w:pPr>
      <w:r>
        <w:t>Common pricing model</w:t>
      </w:r>
    </w:p>
    <w:p>
      <w:pPr>
        <w:pStyle w:val="ListBullet"/>
        <w:spacing w:after="40"/>
      </w:pPr>
      <w:r>
        <w:t>Common sales process</w:t>
      </w:r>
    </w:p>
    <w:p>
      <w:pPr>
        <w:pStyle w:val="ListBullet"/>
        <w:spacing w:after="40"/>
      </w:pPr>
      <w:r>
        <w:t>Known alternatives</w:t>
      </w:r>
    </w:p>
    <w:p>
      <w:pPr>
        <w:pStyle w:val="ListBullet"/>
        <w:spacing w:after="40"/>
      </w:pPr>
      <w:r>
        <w:t>Noncustomers</w:t>
      </w:r>
    </w:p>
    <w:p>
      <w:pPr>
        <w:pStyle w:val="ListBullet"/>
        <w:spacing w:after="40"/>
      </w:pPr>
      <w:r>
        <w:t>Observed complaints</w:t>
      </w:r>
    </w:p>
    <w:p>
      <w:pPr>
        <w:pStyle w:val="ListBullet"/>
        <w:spacing w:after="40"/>
      </w:pPr>
      <w:r>
        <w:t>RUN It BAC fit</w:t>
      </w:r>
    </w:p>
    <w:p>
      <w:pPr>
        <w:pStyle w:val="ListBullet"/>
        <w:spacing w:after="40"/>
      </w:pPr>
      <w:r>
        <w:t>Evidence source</w:t>
      </w:r>
    </w:p>
    <w:p>
      <w:pPr>
        <w:pStyle w:val="ListBullet"/>
        <w:spacing w:after="40"/>
      </w:pPr>
      <w:r>
        <w:t>Confidence</w:t>
      </w:r>
    </w:p>
    <w:p>
      <w:pPr>
        <w:pStyle w:val="Heading2"/>
      </w:pPr>
      <w:r>
        <w:t>Opportunity record</w:t>
      </w:r>
    </w:p>
    <w:p>
      <w:pPr>
        <w:pStyle w:val="ListBullet"/>
        <w:spacing w:after="40"/>
      </w:pPr>
      <w:r>
        <w:t>Organization</w:t>
      </w:r>
    </w:p>
    <w:p>
      <w:pPr>
        <w:pStyle w:val="ListBullet"/>
        <w:spacing w:after="40"/>
      </w:pPr>
      <w:r>
        <w:t>Decision-maker</w:t>
      </w:r>
    </w:p>
    <w:p>
      <w:pPr>
        <w:pStyle w:val="ListBullet"/>
        <w:spacing w:after="40"/>
      </w:pPr>
      <w:r>
        <w:t>Authority level</w:t>
      </w:r>
    </w:p>
    <w:p>
      <w:pPr>
        <w:pStyle w:val="ListBullet"/>
        <w:spacing w:after="40"/>
      </w:pPr>
      <w:r>
        <w:t>Primary objective</w:t>
      </w:r>
    </w:p>
    <w:p>
      <w:pPr>
        <w:pStyle w:val="ListBullet"/>
        <w:spacing w:after="40"/>
      </w:pPr>
      <w:r>
        <w:t>Problem hypothesis</w:t>
      </w:r>
    </w:p>
    <w:p>
      <w:pPr>
        <w:pStyle w:val="ListBullet"/>
        <w:spacing w:after="40"/>
      </w:pPr>
      <w:r>
        <w:t>Economic context</w:t>
      </w:r>
    </w:p>
    <w:p>
      <w:pPr>
        <w:pStyle w:val="ListBullet"/>
        <w:spacing w:after="40"/>
      </w:pPr>
      <w:r>
        <w:t>Existing systems</w:t>
      </w:r>
    </w:p>
    <w:p>
      <w:pPr>
        <w:pStyle w:val="ListBullet"/>
        <w:spacing w:after="40"/>
      </w:pPr>
      <w:r>
        <w:t>Urgency</w:t>
      </w:r>
    </w:p>
    <w:p>
      <w:pPr>
        <w:pStyle w:val="ListBullet"/>
        <w:spacing w:after="40"/>
      </w:pPr>
      <w:r>
        <w:t>Budget/capability signal</w:t>
      </w:r>
    </w:p>
    <w:p>
      <w:pPr>
        <w:pStyle w:val="ListBullet"/>
        <w:spacing w:after="40"/>
      </w:pPr>
      <w:r>
        <w:t>Warm path</w:t>
      </w:r>
    </w:p>
    <w:p>
      <w:pPr>
        <w:pStyle w:val="ListBullet"/>
        <w:spacing w:after="40"/>
      </w:pPr>
      <w:r>
        <w:t>Next action</w:t>
      </w:r>
    </w:p>
    <w:p>
      <w:pPr>
        <w:pStyle w:val="ListBullet"/>
        <w:spacing w:after="40"/>
      </w:pPr>
      <w:r>
        <w:t>Stage</w:t>
      </w:r>
    </w:p>
    <w:p>
      <w:pPr>
        <w:pStyle w:val="ListBullet"/>
        <w:spacing w:after="40"/>
      </w:pPr>
      <w:r>
        <w:t>Disqualification reason</w:t>
      </w:r>
    </w:p>
    <w:p>
      <w:pPr>
        <w:pStyle w:val="Heading1"/>
      </w:pPr>
      <w:r>
        <w:t>7. Revenue Spine Diagnostic</w:t>
      </w:r>
    </w:p>
    <w:p>
      <w:pPr>
        <w:pStyle w:val="Heading2"/>
      </w:pPr>
      <w:r>
        <w:t>Executive five-zone score</w:t>
      </w:r>
    </w:p>
    <w:p>
      <w:pPr>
        <w:pStyle w:val="ListBullet"/>
        <w:spacing w:after="40"/>
      </w:pPr>
      <w:r>
        <w:t>Brand Clarity</w:t>
      </w:r>
    </w:p>
    <w:p>
      <w:pPr>
        <w:pStyle w:val="ListBullet"/>
        <w:spacing w:after="40"/>
      </w:pPr>
      <w:r>
        <w:t>Digital Presence</w:t>
      </w:r>
    </w:p>
    <w:p>
      <w:pPr>
        <w:pStyle w:val="ListBullet"/>
        <w:spacing w:after="40"/>
      </w:pPr>
      <w:r>
        <w:t>Positioning</w:t>
      </w:r>
    </w:p>
    <w:p>
      <w:pPr>
        <w:pStyle w:val="ListBullet"/>
        <w:spacing w:after="40"/>
      </w:pPr>
      <w:r>
        <w:t>Content &amp; Communication</w:t>
      </w:r>
    </w:p>
    <w:p>
      <w:pPr>
        <w:pStyle w:val="ListBullet"/>
        <w:spacing w:after="40"/>
      </w:pPr>
      <w:r>
        <w:t>Systems &amp; Infrastructure</w:t>
      </w:r>
    </w:p>
    <w:p>
      <w:pPr>
        <w:pStyle w:val="Heading2"/>
      </w:pPr>
      <w:r>
        <w:t>Required 15-point analysis</w:t>
      </w:r>
    </w:p>
    <w:p>
      <w:pPr>
        <w:pStyle w:val="ListNumber"/>
        <w:spacing w:after="40"/>
      </w:pPr>
      <w:r>
        <w:t>Five-Second Test</w:t>
      </w:r>
    </w:p>
    <w:p>
      <w:pPr>
        <w:pStyle w:val="ListNumber"/>
        <w:spacing w:after="40"/>
      </w:pPr>
      <w:r>
        <w:t>Revenue Spine Diagnosis</w:t>
      </w:r>
    </w:p>
    <w:p>
      <w:pPr>
        <w:pStyle w:val="ListNumber"/>
        <w:spacing w:after="40"/>
      </w:pPr>
      <w:r>
        <w:t>Above-the-Fold Audit</w:t>
      </w:r>
    </w:p>
    <w:p>
      <w:pPr>
        <w:pStyle w:val="ListNumber"/>
        <w:spacing w:after="40"/>
      </w:pPr>
      <w:r>
        <w:t>Offer Clarity</w:t>
      </w:r>
    </w:p>
    <w:p>
      <w:pPr>
        <w:pStyle w:val="ListNumber"/>
        <w:spacing w:after="40"/>
      </w:pPr>
      <w:r>
        <w:t>CTA &amp; Booking / Purchase Flow</w:t>
      </w:r>
    </w:p>
    <w:p>
      <w:pPr>
        <w:pStyle w:val="ListNumber"/>
        <w:spacing w:after="40"/>
      </w:pPr>
      <w:r>
        <w:t>Trust &amp; Proof</w:t>
      </w:r>
    </w:p>
    <w:p>
      <w:pPr>
        <w:pStyle w:val="ListNumber"/>
        <w:spacing w:after="40"/>
      </w:pPr>
      <w:r>
        <w:t>Lead Capture System</w:t>
      </w:r>
    </w:p>
    <w:p>
      <w:pPr>
        <w:pStyle w:val="ListNumber"/>
        <w:spacing w:after="40"/>
      </w:pPr>
      <w:r>
        <w:t>Follow-Up &amp; Automation</w:t>
      </w:r>
    </w:p>
    <w:p>
      <w:pPr>
        <w:pStyle w:val="ListNumber"/>
        <w:spacing w:after="40"/>
      </w:pPr>
      <w:r>
        <w:t>AI Integration Opportunities</w:t>
      </w:r>
    </w:p>
    <w:p>
      <w:pPr>
        <w:pStyle w:val="ListNumber"/>
        <w:spacing w:after="40"/>
      </w:pPr>
      <w:r>
        <w:t>Local / Market Positioning</w:t>
      </w:r>
    </w:p>
    <w:p>
      <w:pPr>
        <w:pStyle w:val="ListNumber"/>
        <w:spacing w:after="40"/>
      </w:pPr>
      <w:r>
        <w:t>Mobile &amp; Speed Experience</w:t>
      </w:r>
    </w:p>
    <w:p>
      <w:pPr>
        <w:pStyle w:val="ListNumber"/>
        <w:spacing w:after="40"/>
      </w:pPr>
      <w:r>
        <w:t>Revenue Leak / Exposure Scenario</w:t>
      </w:r>
    </w:p>
    <w:p>
      <w:pPr>
        <w:pStyle w:val="ListNumber"/>
        <w:spacing w:after="40"/>
      </w:pPr>
      <w:r>
        <w:t>Priority Plan</w:t>
      </w:r>
    </w:p>
    <w:p>
      <w:pPr>
        <w:pStyle w:val="ListNumber"/>
        <w:spacing w:after="40"/>
      </w:pPr>
      <w:r>
        <w:t>Implementation Readiness</w:t>
      </w:r>
    </w:p>
    <w:p>
      <w:pPr>
        <w:pStyle w:val="ListNumber"/>
        <w:spacing w:after="40"/>
      </w:pPr>
      <w:r>
        <w:t>Final Output</w:t>
      </w:r>
    </w:p>
    <w:p>
      <w:pPr>
        <w:pStyle w:val="Heading2"/>
      </w:pPr>
      <w:r>
        <w:t>Evidence states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72"/>
            <w:shd w:fill="171717"/>
            <w:vAlign w:val="center"/>
          </w:tcPr>
          <w:p>
            <w:pPr>
              <w:jc w:val="left"/>
            </w:pPr>
            <w:r>
              <w:rPr>
                <w:b/>
                <w:color w:val="FFFFFF"/>
                <w:sz w:val="17"/>
              </w:rPr>
              <w:t>State</w:t>
            </w:r>
          </w:p>
        </w:tc>
        <w:tc>
          <w:tcPr>
            <w:tcW w:type="dxa" w:w="4896"/>
            <w:shd w:fill="171717"/>
            <w:vAlign w:val="center"/>
          </w:tcPr>
          <w:p>
            <w:pPr>
              <w:jc w:val="left"/>
            </w:pPr>
            <w:r>
              <w:rPr>
                <w:b/>
                <w:color w:val="FFFFFF"/>
                <w:sz w:val="17"/>
              </w:rPr>
              <w:t>Definition</w:t>
            </w:r>
          </w:p>
        </w:tc>
        <w:tc>
          <w:tcPr>
            <w:tcW w:type="dxa" w:w="3024"/>
            <w:shd w:fill="171717"/>
            <w:vAlign w:val="center"/>
          </w:tcPr>
          <w:p>
            <w:pPr>
              <w:jc w:val="left"/>
            </w:pPr>
            <w:r>
              <w:rPr>
                <w:b/>
                <w:color w:val="FFFFFF"/>
                <w:sz w:val="17"/>
              </w:rPr>
              <w:t>Allowed Use</w:t>
            </w:r>
          </w:p>
        </w:tc>
      </w:tr>
      <w:tr>
        <w:tc>
          <w:tcPr>
            <w:tcW w:type="dxa" w:w="1872"/>
            <w:vAlign w:val="top"/>
          </w:tcPr>
          <w:p>
            <w:pPr>
              <w:spacing w:after="20"/>
            </w:pPr>
            <w:r>
              <w:rPr>
                <w:sz w:val="16"/>
              </w:rPr>
              <w:t>VERIFIED</w:t>
            </w:r>
          </w:p>
        </w:tc>
        <w:tc>
          <w:tcPr>
            <w:tcW w:type="dxa" w:w="4896"/>
            <w:vAlign w:val="top"/>
          </w:tcPr>
          <w:p>
            <w:pPr>
              <w:spacing w:after="20"/>
            </w:pPr>
            <w:r>
              <w:rPr>
                <w:sz w:val="16"/>
              </w:rPr>
              <w:t>Directly observed in connected or uploaded evidence</w:t>
            </w:r>
          </w:p>
        </w:tc>
        <w:tc>
          <w:tcPr>
            <w:tcW w:type="dxa" w:w="3024"/>
            <w:vAlign w:val="top"/>
          </w:tcPr>
          <w:p>
            <w:pPr>
              <w:spacing w:after="20"/>
            </w:pPr>
            <w:r>
              <w:rPr>
                <w:sz w:val="16"/>
              </w:rPr>
              <w:t>Factual diagnostic claims</w:t>
            </w:r>
          </w:p>
        </w:tc>
      </w:tr>
      <w:tr>
        <w:tc>
          <w:tcPr>
            <w:tcW w:type="dxa" w:w="1872"/>
            <w:vAlign w:val="top"/>
            <w:shd w:fill="F2F2F0"/>
          </w:tcPr>
          <w:p>
            <w:pPr>
              <w:spacing w:after="20"/>
            </w:pPr>
            <w:r>
              <w:rPr>
                <w:sz w:val="16"/>
              </w:rPr>
              <w:t>CLIENT-PROVIDED</w:t>
            </w:r>
          </w:p>
        </w:tc>
        <w:tc>
          <w:tcPr>
            <w:tcW w:type="dxa" w:w="4896"/>
            <w:vAlign w:val="top"/>
            <w:shd w:fill="F2F2F0"/>
          </w:tcPr>
          <w:p>
            <w:pPr>
              <w:spacing w:after="20"/>
            </w:pPr>
            <w:r>
              <w:rPr>
                <w:sz w:val="16"/>
              </w:rPr>
              <w:t>Explicitly supplied by authorized client/user</w:t>
            </w:r>
          </w:p>
        </w:tc>
        <w:tc>
          <w:tcPr>
            <w:tcW w:type="dxa" w:w="3024"/>
            <w:vAlign w:val="top"/>
            <w:shd w:fill="F2F2F0"/>
          </w:tcPr>
          <w:p>
            <w:pPr>
              <w:spacing w:after="20"/>
            </w:pPr>
            <w:r>
              <w:rPr>
                <w:sz w:val="16"/>
              </w:rPr>
              <w:t>Factual with source label</w:t>
            </w:r>
          </w:p>
        </w:tc>
      </w:tr>
      <w:tr>
        <w:tc>
          <w:tcPr>
            <w:tcW w:type="dxa" w:w="1872"/>
            <w:vAlign w:val="top"/>
          </w:tcPr>
          <w:p>
            <w:pPr>
              <w:spacing w:after="20"/>
            </w:pPr>
            <w:r>
              <w:rPr>
                <w:sz w:val="16"/>
              </w:rPr>
              <w:t>ASSUMPTION</w:t>
            </w:r>
          </w:p>
        </w:tc>
        <w:tc>
          <w:tcPr>
            <w:tcW w:type="dxa" w:w="4896"/>
            <w:vAlign w:val="top"/>
          </w:tcPr>
          <w:p>
            <w:pPr>
              <w:spacing w:after="20"/>
            </w:pPr>
            <w:r>
              <w:rPr>
                <w:sz w:val="16"/>
              </w:rPr>
              <w:t>Used only for modeling/scenario analysis</w:t>
            </w:r>
          </w:p>
        </w:tc>
        <w:tc>
          <w:tcPr>
            <w:tcW w:type="dxa" w:w="3024"/>
            <w:vAlign w:val="top"/>
          </w:tcPr>
          <w:p>
            <w:pPr>
              <w:spacing w:after="20"/>
            </w:pPr>
            <w:r>
              <w:rPr>
                <w:sz w:val="16"/>
              </w:rPr>
              <w:t>Never silently converted to fact</w:t>
            </w:r>
          </w:p>
        </w:tc>
      </w:tr>
    </w:tbl>
    <w:p/>
    <w:tbl>
      <w:tblPr>
        <w:tblW w:type="auto" w:w="0"/>
        <w:jc w:val="center"/>
        <w:tblLook w:firstColumn="1" w:firstRow="1" w:lastColumn="0" w:lastRow="0" w:noHBand="0" w:noVBand="1" w:val="04A0"/>
      </w:tblPr>
      <w:tblGrid>
        <w:gridCol w:w="10166"/>
      </w:tblGrid>
      <w:tr>
        <w:tc>
          <w:tcPr>
            <w:tcW w:type="dxa" w:w="10166"/>
            <w:shd w:fill="171717"/>
            <w:tcBorders>
              <w:top w:sz="2" w:val="single" w:color="171717"/>
              <w:left w:sz="18" w:val="single" w:color="D9A514"/>
              <w:bottom w:sz="2" w:val="single" w:color="171717"/>
              <w:right w:sz="2" w:val="single" w:color="171717"/>
            </w:tcBorders>
          </w:tcPr>
          <w:p>
            <w:pPr>
              <w:pStyle w:val="Callout"/>
            </w:pPr>
            <w:r>
              <w:rPr>
                <w:color w:val="D9A514"/>
                <w:sz w:val="17"/>
              </w:rPr>
              <w:t>UNKNOWN RULE</w:t>
              <w:br/>
            </w:r>
            <w:r>
              <w:rPr>
                <w:color w:val="FFFFFF"/>
                <w:sz w:val="21"/>
              </w:rPr>
              <w:t>When information cannot be determined, store and display: 'Not verified from available evidence.'</w:t>
            </w:r>
          </w:p>
        </w:tc>
      </w:tr>
    </w:tbl>
    <w:p/>
    <w:p>
      <w:pPr>
        <w:pStyle w:val="Heading1"/>
      </w:pPr>
      <w:r>
        <w:t>8. Scoring</w:t>
      </w:r>
    </w:p>
    <w:p>
      <w:pPr>
        <w:pStyle w:val="ListBullet"/>
        <w:spacing w:after="40"/>
      </w:pPr>
      <w:r>
        <w:t>Scores are 1-10 and traceable to evidence.</w:t>
      </w:r>
    </w:p>
    <w:p>
      <w:pPr>
        <w:pStyle w:val="ListBullet"/>
        <w:spacing w:after="40"/>
      </w:pPr>
      <w:r>
        <w:t>A score of 7+ requires strong observable evidence.</w:t>
      </w:r>
    </w:p>
    <w:p>
      <w:pPr>
        <w:pStyle w:val="ListBullet"/>
        <w:spacing w:after="40"/>
      </w:pPr>
      <w:r>
        <w:t>A score of 9-10 requires exceptional execution.</w:t>
      </w:r>
    </w:p>
    <w:p>
      <w:pPr>
        <w:pStyle w:val="ListBullet"/>
        <w:spacing w:after="40"/>
      </w:pPr>
      <w:r>
        <w:t>Do not inflate scores to preserve client feelings.</w:t>
      </w:r>
    </w:p>
    <w:p>
      <w:pPr>
        <w:pStyle w:val="ListBullet"/>
        <w:spacing w:after="40"/>
      </w:pPr>
      <w:r>
        <w:t>Attractive design cannot compensate for broken conversion infrastructure.</w:t>
      </w:r>
    </w:p>
    <w:p>
      <w:pPr>
        <w:pStyle w:val="ListBullet"/>
        <w:spacing w:after="40"/>
      </w:pPr>
      <w:r>
        <w:t>Every score stores scoring-version ID and relevant evidence IDs.</w:t>
      </w:r>
    </w:p>
    <w:p>
      <w:pPr>
        <w:pStyle w:val="Heading1"/>
      </w:pPr>
      <w:r>
        <w:t>9. Intervention Library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24"/>
            <w:shd w:fill="171717"/>
            <w:vAlign w:val="center"/>
          </w:tcPr>
          <w:p>
            <w:pPr>
              <w:jc w:val="left"/>
            </w:pPr>
            <w:r>
              <w:rPr>
                <w:b/>
                <w:color w:val="FFFFFF"/>
                <w:sz w:val="17"/>
              </w:rPr>
              <w:t>Required Field</w:t>
            </w:r>
          </w:p>
        </w:tc>
        <w:tc>
          <w:tcPr>
            <w:tcW w:type="dxa" w:w="6768"/>
            <w:shd w:fill="171717"/>
            <w:vAlign w:val="center"/>
          </w:tcPr>
          <w:p>
            <w:pPr>
              <w:jc w:val="left"/>
            </w:pPr>
            <w:r>
              <w:rPr>
                <w:b/>
                <w:color w:val="FFFFFF"/>
                <w:sz w:val="17"/>
              </w:rPr>
              <w:t>Purpose</w:t>
            </w:r>
          </w:p>
        </w:tc>
      </w:tr>
      <w:tr>
        <w:tc>
          <w:tcPr>
            <w:tcW w:type="dxa" w:w="3024"/>
            <w:vAlign w:val="top"/>
          </w:tcPr>
          <w:p>
            <w:pPr>
              <w:spacing w:after="20"/>
            </w:pPr>
            <w:r>
              <w:rPr>
                <w:sz w:val="16"/>
              </w:rPr>
              <w:t>Intervention ID / Name</w:t>
            </w:r>
          </w:p>
        </w:tc>
        <w:tc>
          <w:tcPr>
            <w:tcW w:type="dxa" w:w="6768"/>
            <w:vAlign w:val="top"/>
          </w:tcPr>
          <w:p>
            <w:pPr>
              <w:spacing w:after="20"/>
            </w:pPr>
            <w:r>
              <w:rPr>
                <w:sz w:val="16"/>
              </w:rPr>
              <w:t>Stable reference and operator language</w:t>
            </w:r>
          </w:p>
        </w:tc>
      </w:tr>
      <w:tr>
        <w:tc>
          <w:tcPr>
            <w:tcW w:type="dxa" w:w="3024"/>
            <w:vAlign w:val="top"/>
            <w:shd w:fill="F2F2F0"/>
          </w:tcPr>
          <w:p>
            <w:pPr>
              <w:spacing w:after="20"/>
            </w:pPr>
            <w:r>
              <w:rPr>
                <w:sz w:val="16"/>
              </w:rPr>
              <w:t>Problem Solved</w:t>
            </w:r>
          </w:p>
        </w:tc>
        <w:tc>
          <w:tcPr>
            <w:tcW w:type="dxa" w:w="6768"/>
            <w:vAlign w:val="top"/>
            <w:shd w:fill="F2F2F0"/>
          </w:tcPr>
          <w:p>
            <w:pPr>
              <w:spacing w:after="20"/>
            </w:pPr>
            <w:r>
              <w:rPr>
                <w:sz w:val="16"/>
              </w:rPr>
              <w:t>Which diagnosed constraint it addresses</w:t>
            </w:r>
          </w:p>
        </w:tc>
      </w:tr>
      <w:tr>
        <w:tc>
          <w:tcPr>
            <w:tcW w:type="dxa" w:w="3024"/>
            <w:vAlign w:val="top"/>
          </w:tcPr>
          <w:p>
            <w:pPr>
              <w:spacing w:after="20"/>
            </w:pPr>
            <w:r>
              <w:rPr>
                <w:sz w:val="16"/>
              </w:rPr>
              <w:t>Evidence Threshold</w:t>
            </w:r>
          </w:p>
        </w:tc>
        <w:tc>
          <w:tcPr>
            <w:tcW w:type="dxa" w:w="6768"/>
            <w:vAlign w:val="top"/>
          </w:tcPr>
          <w:p>
            <w:pPr>
              <w:spacing w:after="20"/>
            </w:pPr>
            <w:r>
              <w:rPr>
                <w:sz w:val="16"/>
              </w:rPr>
              <w:t>What must be true before recommending it</w:t>
            </w:r>
          </w:p>
        </w:tc>
      </w:tr>
      <w:tr>
        <w:tc>
          <w:tcPr>
            <w:tcW w:type="dxa" w:w="3024"/>
            <w:vAlign w:val="top"/>
            <w:shd w:fill="F2F2F0"/>
          </w:tcPr>
          <w:p>
            <w:pPr>
              <w:spacing w:after="20"/>
            </w:pPr>
            <w:r>
              <w:rPr>
                <w:sz w:val="16"/>
              </w:rPr>
              <w:t>Prerequisites</w:t>
            </w:r>
          </w:p>
        </w:tc>
        <w:tc>
          <w:tcPr>
            <w:tcW w:type="dxa" w:w="6768"/>
            <w:vAlign w:val="top"/>
            <w:shd w:fill="F2F2F0"/>
          </w:tcPr>
          <w:p>
            <w:pPr>
              <w:spacing w:after="20"/>
            </w:pPr>
            <w:r>
              <w:rPr>
                <w:sz w:val="16"/>
              </w:rPr>
              <w:t>Dependencies and exclusions</w:t>
            </w:r>
          </w:p>
        </w:tc>
      </w:tr>
      <w:tr>
        <w:tc>
          <w:tcPr>
            <w:tcW w:type="dxa" w:w="3024"/>
            <w:vAlign w:val="top"/>
          </w:tcPr>
          <w:p>
            <w:pPr>
              <w:spacing w:after="20"/>
            </w:pPr>
            <w:r>
              <w:rPr>
                <w:sz w:val="16"/>
              </w:rPr>
              <w:t>Standard Scope</w:t>
            </w:r>
          </w:p>
        </w:tc>
        <w:tc>
          <w:tcPr>
            <w:tcW w:type="dxa" w:w="6768"/>
            <w:vAlign w:val="top"/>
          </w:tcPr>
          <w:p>
            <w:pPr>
              <w:spacing w:after="20"/>
            </w:pPr>
            <w:r>
              <w:rPr>
                <w:sz w:val="16"/>
              </w:rPr>
              <w:t>What is included</w:t>
            </w:r>
          </w:p>
        </w:tc>
      </w:tr>
      <w:tr>
        <w:tc>
          <w:tcPr>
            <w:tcW w:type="dxa" w:w="3024"/>
            <w:vAlign w:val="top"/>
            <w:shd w:fill="F2F2F0"/>
          </w:tcPr>
          <w:p>
            <w:pPr>
              <w:spacing w:after="20"/>
            </w:pPr>
            <w:r>
              <w:rPr>
                <w:sz w:val="16"/>
              </w:rPr>
              <w:t>Out of Scope</w:t>
            </w:r>
          </w:p>
        </w:tc>
        <w:tc>
          <w:tcPr>
            <w:tcW w:type="dxa" w:w="6768"/>
            <w:vAlign w:val="top"/>
            <w:shd w:fill="F2F2F0"/>
          </w:tcPr>
          <w:p>
            <w:pPr>
              <w:spacing w:after="20"/>
            </w:pPr>
            <w:r>
              <w:rPr>
                <w:sz w:val="16"/>
              </w:rPr>
              <w:t>Prevents hidden customization</w:t>
            </w:r>
          </w:p>
        </w:tc>
      </w:tr>
      <w:tr>
        <w:tc>
          <w:tcPr>
            <w:tcW w:type="dxa" w:w="3024"/>
            <w:vAlign w:val="top"/>
          </w:tcPr>
          <w:p>
            <w:pPr>
              <w:spacing w:after="20"/>
            </w:pPr>
            <w:r>
              <w:rPr>
                <w:sz w:val="16"/>
              </w:rPr>
              <w:t>Effort / Capacity</w:t>
            </w:r>
          </w:p>
        </w:tc>
        <w:tc>
          <w:tcPr>
            <w:tcW w:type="dxa" w:w="6768"/>
            <w:vAlign w:val="top"/>
          </w:tcPr>
          <w:p>
            <w:pPr>
              <w:spacing w:after="20"/>
            </w:pPr>
            <w:r>
              <w:rPr>
                <w:sz w:val="16"/>
              </w:rPr>
              <w:t>Delivery planning</w:t>
            </w:r>
          </w:p>
        </w:tc>
      </w:tr>
      <w:tr>
        <w:tc>
          <w:tcPr>
            <w:tcW w:type="dxa" w:w="3024"/>
            <w:vAlign w:val="top"/>
            <w:shd w:fill="F2F2F0"/>
          </w:tcPr>
          <w:p>
            <w:pPr>
              <w:spacing w:after="20"/>
            </w:pPr>
            <w:r>
              <w:rPr>
                <w:sz w:val="16"/>
              </w:rPr>
              <w:t>Price Floor / Pricing Logic</w:t>
            </w:r>
          </w:p>
        </w:tc>
        <w:tc>
          <w:tcPr>
            <w:tcW w:type="dxa" w:w="6768"/>
            <w:vAlign w:val="top"/>
            <w:shd w:fill="F2F2F0"/>
          </w:tcPr>
          <w:p>
            <w:pPr>
              <w:spacing w:after="20"/>
            </w:pPr>
            <w:r>
              <w:rPr>
                <w:sz w:val="16"/>
              </w:rPr>
              <w:t>Commercial consistency</w:t>
            </w:r>
          </w:p>
        </w:tc>
      </w:tr>
      <w:tr>
        <w:tc>
          <w:tcPr>
            <w:tcW w:type="dxa" w:w="3024"/>
            <w:vAlign w:val="top"/>
          </w:tcPr>
          <w:p>
            <w:pPr>
              <w:spacing w:after="20"/>
            </w:pPr>
            <w:r>
              <w:rPr>
                <w:sz w:val="16"/>
              </w:rPr>
              <w:t>Gross Margin Floor</w:t>
            </w:r>
          </w:p>
        </w:tc>
        <w:tc>
          <w:tcPr>
            <w:tcW w:type="dxa" w:w="6768"/>
            <w:vAlign w:val="top"/>
          </w:tcPr>
          <w:p>
            <w:pPr>
              <w:spacing w:after="20"/>
            </w:pPr>
            <w:r>
              <w:rPr>
                <w:sz w:val="16"/>
              </w:rPr>
              <w:t>Kill or redesign threshold</w:t>
            </w:r>
          </w:p>
        </w:tc>
      </w:tr>
      <w:tr>
        <w:tc>
          <w:tcPr>
            <w:tcW w:type="dxa" w:w="3024"/>
            <w:vAlign w:val="top"/>
            <w:shd w:fill="F2F2F0"/>
          </w:tcPr>
          <w:p>
            <w:pPr>
              <w:spacing w:after="20"/>
            </w:pPr>
            <w:r>
              <w:rPr>
                <w:sz w:val="16"/>
              </w:rPr>
              <w:t>Typical Time to Value</w:t>
            </w:r>
          </w:p>
        </w:tc>
        <w:tc>
          <w:tcPr>
            <w:tcW w:type="dxa" w:w="6768"/>
            <w:vAlign w:val="top"/>
            <w:shd w:fill="F2F2F0"/>
          </w:tcPr>
          <w:p>
            <w:pPr>
              <w:spacing w:after="20"/>
            </w:pPr>
            <w:r>
              <w:rPr>
                <w:sz w:val="16"/>
              </w:rPr>
              <w:t>Expectation management</w:t>
            </w:r>
          </w:p>
        </w:tc>
      </w:tr>
      <w:tr>
        <w:tc>
          <w:tcPr>
            <w:tcW w:type="dxa" w:w="3024"/>
            <w:vAlign w:val="top"/>
          </w:tcPr>
          <w:p>
            <w:pPr>
              <w:spacing w:after="20"/>
            </w:pPr>
            <w:r>
              <w:rPr>
                <w:sz w:val="16"/>
              </w:rPr>
              <w:t>Recurring Opportunity</w:t>
            </w:r>
          </w:p>
        </w:tc>
        <w:tc>
          <w:tcPr>
            <w:tcW w:type="dxa" w:w="6768"/>
            <w:vAlign w:val="top"/>
          </w:tcPr>
          <w:p>
            <w:pPr>
              <w:spacing w:after="20"/>
            </w:pPr>
            <w:r>
              <w:rPr>
                <w:sz w:val="16"/>
              </w:rPr>
              <w:t>Optimization attachment</w:t>
            </w:r>
          </w:p>
        </w:tc>
      </w:tr>
      <w:tr>
        <w:tc>
          <w:tcPr>
            <w:tcW w:type="dxa" w:w="3024"/>
            <w:vAlign w:val="top"/>
            <w:shd w:fill="F2F2F0"/>
          </w:tcPr>
          <w:p>
            <w:pPr>
              <w:spacing w:after="20"/>
            </w:pPr>
            <w:r>
              <w:rPr>
                <w:sz w:val="16"/>
              </w:rPr>
              <w:t>Proof Required</w:t>
            </w:r>
          </w:p>
        </w:tc>
        <w:tc>
          <w:tcPr>
            <w:tcW w:type="dxa" w:w="6768"/>
            <w:vAlign w:val="top"/>
            <w:shd w:fill="F2F2F0"/>
          </w:tcPr>
          <w:p>
            <w:pPr>
              <w:spacing w:after="20"/>
            </w:pPr>
            <w:r>
              <w:rPr>
                <w:sz w:val="16"/>
              </w:rPr>
              <w:t>What outcome data should be captured</w:t>
            </w:r>
          </w:p>
        </w:tc>
      </w:tr>
    </w:tbl>
    <w:p/>
    <w:p>
      <w:pPr>
        <w:pStyle w:val="Heading2"/>
      </w:pPr>
      <w:r>
        <w:t>Initial intervention families</w:t>
      </w:r>
    </w:p>
    <w:p>
      <w:pPr>
        <w:pStyle w:val="ListBullet"/>
        <w:spacing w:after="40"/>
      </w:pPr>
      <w:r>
        <w:t>Messaging Architecture</w:t>
      </w:r>
    </w:p>
    <w:p>
      <w:pPr>
        <w:pStyle w:val="ListBullet"/>
        <w:spacing w:after="40"/>
      </w:pPr>
      <w:r>
        <w:t>Offer Repositioning</w:t>
      </w:r>
    </w:p>
    <w:p>
      <w:pPr>
        <w:pStyle w:val="ListBullet"/>
        <w:spacing w:after="40"/>
      </w:pPr>
      <w:r>
        <w:t>Revenue Website</w:t>
      </w:r>
    </w:p>
    <w:p>
      <w:pPr>
        <w:pStyle w:val="ListBullet"/>
        <w:spacing w:after="40"/>
      </w:pPr>
      <w:r>
        <w:t>Landing Funnel</w:t>
      </w:r>
    </w:p>
    <w:p>
      <w:pPr>
        <w:pStyle w:val="ListBullet"/>
        <w:spacing w:after="40"/>
      </w:pPr>
      <w:r>
        <w:t>Booking Infrastructure</w:t>
      </w:r>
    </w:p>
    <w:p>
      <w:pPr>
        <w:pStyle w:val="ListBullet"/>
        <w:spacing w:after="40"/>
      </w:pPr>
      <w:r>
        <w:t>Lead Capture</w:t>
      </w:r>
    </w:p>
    <w:p>
      <w:pPr>
        <w:pStyle w:val="ListBullet"/>
        <w:spacing w:after="40"/>
      </w:pPr>
      <w:r>
        <w:t>Missed-Call Recovery</w:t>
      </w:r>
    </w:p>
    <w:p>
      <w:pPr>
        <w:pStyle w:val="ListBullet"/>
        <w:spacing w:after="40"/>
      </w:pPr>
      <w:r>
        <w:t>Email Nurture</w:t>
      </w:r>
    </w:p>
    <w:p>
      <w:pPr>
        <w:pStyle w:val="ListBullet"/>
        <w:spacing w:after="40"/>
      </w:pPr>
      <w:r>
        <w:t>SMS Nurture</w:t>
      </w:r>
    </w:p>
    <w:p>
      <w:pPr>
        <w:pStyle w:val="ListBullet"/>
        <w:spacing w:after="40"/>
      </w:pPr>
      <w:r>
        <w:t>CRM Setup</w:t>
      </w:r>
    </w:p>
    <w:p>
      <w:pPr>
        <w:pStyle w:val="ListBullet"/>
        <w:spacing w:after="40"/>
      </w:pPr>
      <w:r>
        <w:t>Review Engine</w:t>
      </w:r>
    </w:p>
    <w:p>
      <w:pPr>
        <w:pStyle w:val="ListBullet"/>
        <w:spacing w:after="40"/>
      </w:pPr>
      <w:r>
        <w:t>Referral Engine</w:t>
      </w:r>
    </w:p>
    <w:p>
      <w:pPr>
        <w:pStyle w:val="ListBullet"/>
        <w:spacing w:after="40"/>
      </w:pPr>
      <w:r>
        <w:t>Reactivation</w:t>
      </w:r>
    </w:p>
    <w:p>
      <w:pPr>
        <w:pStyle w:val="ListBullet"/>
        <w:spacing w:after="40"/>
      </w:pPr>
      <w:r>
        <w:t>Attribution / Analytics</w:t>
      </w:r>
    </w:p>
    <w:p>
      <w:pPr>
        <w:pStyle w:val="ListBullet"/>
        <w:spacing w:after="40"/>
      </w:pPr>
      <w:r>
        <w:t>Conversion Optimization</w:t>
      </w:r>
    </w:p>
    <w:p>
      <w:pPr>
        <w:pStyle w:val="ListBullet"/>
        <w:spacing w:after="40"/>
      </w:pPr>
      <w:r>
        <w:t>AI Workflow</w:t>
      </w:r>
    </w:p>
    <w:p>
      <w:pPr>
        <w:pStyle w:val="ListBullet"/>
        <w:spacing w:after="40"/>
      </w:pPr>
      <w:r>
        <w:t>Reporting Layer</w:t>
      </w:r>
    </w:p>
    <w:p>
      <w:pPr>
        <w:pStyle w:val="Heading1"/>
      </w:pPr>
      <w:r>
        <w:t>10. Prescription Engine</w:t>
      </w:r>
    </w:p>
    <w:p>
      <w:pPr>
        <w:pStyle w:val="ListBullet"/>
        <w:spacing w:after="40"/>
      </w:pPr>
      <w:r>
        <w:t>Select interventions from the library only when evidence thresholds are met.</w:t>
      </w:r>
    </w:p>
    <w:p>
      <w:pPr>
        <w:pStyle w:val="ListBullet"/>
        <w:spacing w:after="40"/>
      </w:pPr>
      <w:r>
        <w:t>Show why each intervention is included and what is intentionally excluded.</w:t>
      </w:r>
    </w:p>
    <w:p>
      <w:pPr>
        <w:pStyle w:val="ListBullet"/>
        <w:spacing w:after="40"/>
      </w:pPr>
      <w:r>
        <w:t>Produce minimum viable prescription first.</w:t>
      </w:r>
    </w:p>
    <w:p>
      <w:pPr>
        <w:pStyle w:val="ListBullet"/>
        <w:spacing w:after="40"/>
      </w:pPr>
      <w:r>
        <w:t>Allow operator override only with reason and audit log.</w:t>
      </w:r>
    </w:p>
    <w:p>
      <w:pPr>
        <w:pStyle w:val="ListBullet"/>
        <w:spacing w:after="40"/>
      </w:pPr>
      <w:r>
        <w:t>Generate recommendation confidence based on evidence completeness, not model tone.</w:t>
      </w:r>
    </w:p>
    <w:p>
      <w:pPr>
        <w:pStyle w:val="ListBullet"/>
        <w:spacing w:after="40"/>
      </w:pPr>
      <w:r>
        <w:t>Never alter diagnosis to fit an available product.</w:t>
      </w:r>
    </w:p>
    <w:p>
      <w:pPr>
        <w:pStyle w:val="Heading2"/>
      </w:pPr>
      <w:r>
        <w:t>Prescription output</w:t>
      </w:r>
    </w:p>
    <w:p>
      <w:pPr>
        <w:pStyle w:val="ListBullet"/>
        <w:spacing w:after="40"/>
      </w:pPr>
      <w:r>
        <w:t>Primary constraint</w:t>
      </w:r>
    </w:p>
    <w:p>
      <w:pPr>
        <w:pStyle w:val="ListBullet"/>
        <w:spacing w:after="40"/>
      </w:pPr>
      <w:r>
        <w:t>Secondary leaks</w:t>
      </w:r>
    </w:p>
    <w:p>
      <w:pPr>
        <w:pStyle w:val="ListBullet"/>
        <w:spacing w:after="40"/>
      </w:pPr>
      <w:r>
        <w:t>Intervention set</w:t>
      </w:r>
    </w:p>
    <w:p>
      <w:pPr>
        <w:pStyle w:val="ListBullet"/>
        <w:spacing w:after="40"/>
      </w:pPr>
      <w:r>
        <w:t>Expected operating change</w:t>
      </w:r>
    </w:p>
    <w:p>
      <w:pPr>
        <w:pStyle w:val="ListBullet"/>
        <w:spacing w:after="40"/>
      </w:pPr>
      <w:r>
        <w:t>Evidence mapping</w:t>
      </w:r>
    </w:p>
    <w:p>
      <w:pPr>
        <w:pStyle w:val="ListBullet"/>
        <w:spacing w:after="40"/>
      </w:pPr>
      <w:r>
        <w:t>Dependencies</w:t>
      </w:r>
    </w:p>
    <w:p>
      <w:pPr>
        <w:pStyle w:val="ListBullet"/>
        <w:spacing w:after="40"/>
      </w:pPr>
      <w:r>
        <w:t>Implementation order</w:t>
      </w:r>
    </w:p>
    <w:p>
      <w:pPr>
        <w:pStyle w:val="ListBullet"/>
        <w:spacing w:after="40"/>
      </w:pPr>
      <w:r>
        <w:t>Commercial scope</w:t>
      </w:r>
    </w:p>
    <w:p>
      <w:pPr>
        <w:pStyle w:val="ListBullet"/>
        <w:spacing w:after="40"/>
      </w:pPr>
      <w:r>
        <w:t>Out of scope</w:t>
      </w:r>
    </w:p>
    <w:p>
      <w:pPr>
        <w:pStyle w:val="ListBullet"/>
        <w:spacing w:after="40"/>
      </w:pPr>
      <w:r>
        <w:t>Measurement plan</w:t>
      </w:r>
    </w:p>
    <w:p>
      <w:pPr>
        <w:pStyle w:val="ListBullet"/>
        <w:spacing w:after="40"/>
      </w:pPr>
      <w:r>
        <w:t>Recommended next decision</w:t>
      </w:r>
    </w:p>
    <w:p>
      <w:pPr>
        <w:pStyle w:val="Heading1"/>
      </w:pPr>
      <w:r>
        <w:t>11. Sales Conversion Engine</w:t>
      </w:r>
    </w:p>
    <w:p>
      <w:pPr>
        <w:pStyle w:val="Heading2"/>
      </w:pPr>
      <w:r>
        <w:t>State machine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71717"/>
            <w:vAlign w:val="center"/>
          </w:tcPr>
          <w:p>
            <w:pPr>
              <w:jc w:val="left"/>
            </w:pPr>
            <w:r>
              <w:rPr>
                <w:b/>
                <w:color w:val="FFFFFF"/>
                <w:sz w:val="17"/>
              </w:rPr>
              <w:t>State</w:t>
            </w:r>
          </w:p>
        </w:tc>
        <w:tc>
          <w:tcPr>
            <w:tcW w:type="dxa" w:w="6912"/>
            <w:shd w:fill="171717"/>
            <w:vAlign w:val="center"/>
          </w:tcPr>
          <w:p>
            <w:pPr>
              <w:jc w:val="left"/>
            </w:pPr>
            <w:r>
              <w:rPr>
                <w:b/>
                <w:color w:val="FFFFFF"/>
                <w:sz w:val="17"/>
              </w:rPr>
              <w:t>Required Exit</w:t>
            </w:r>
          </w:p>
        </w:tc>
      </w:tr>
      <w:tr>
        <w:tc>
          <w:tcPr>
            <w:tcW w:type="dxa" w:w="2880"/>
            <w:vAlign w:val="top"/>
          </w:tcPr>
          <w:p>
            <w:pPr>
              <w:spacing w:after="20"/>
            </w:pPr>
            <w:r>
              <w:rPr>
                <w:sz w:val="16"/>
              </w:rPr>
              <w:t>Diagnostic Ready</w:t>
            </w:r>
          </w:p>
        </w:tc>
        <w:tc>
          <w:tcPr>
            <w:tcW w:type="dxa" w:w="6912"/>
            <w:vAlign w:val="top"/>
          </w:tcPr>
          <w:p>
            <w:pPr>
              <w:spacing w:after="20"/>
            </w:pPr>
            <w:r>
              <w:rPr>
                <w:sz w:val="16"/>
              </w:rPr>
              <w:t>QA passes</w:t>
            </w:r>
          </w:p>
        </w:tc>
      </w:tr>
      <w:tr>
        <w:tc>
          <w:tcPr>
            <w:tcW w:type="dxa" w:w="2880"/>
            <w:vAlign w:val="top"/>
            <w:shd w:fill="F2F2F0"/>
          </w:tcPr>
          <w:p>
            <w:pPr>
              <w:spacing w:after="20"/>
            </w:pPr>
            <w:r>
              <w:rPr>
                <w:sz w:val="16"/>
              </w:rPr>
              <w:t>Strategy Call Booked</w:t>
            </w:r>
          </w:p>
        </w:tc>
        <w:tc>
          <w:tcPr>
            <w:tcW w:type="dxa" w:w="6912"/>
            <w:vAlign w:val="top"/>
            <w:shd w:fill="F2F2F0"/>
          </w:tcPr>
          <w:p>
            <w:pPr>
              <w:spacing w:after="20"/>
            </w:pPr>
            <w:r>
              <w:rPr>
                <w:sz w:val="16"/>
              </w:rPr>
              <w:t>Date/time confirmed</w:t>
            </w:r>
          </w:p>
        </w:tc>
      </w:tr>
      <w:tr>
        <w:tc>
          <w:tcPr>
            <w:tcW w:type="dxa" w:w="2880"/>
            <w:vAlign w:val="top"/>
          </w:tcPr>
          <w:p>
            <w:pPr>
              <w:spacing w:after="20"/>
            </w:pPr>
            <w:r>
              <w:rPr>
                <w:sz w:val="16"/>
              </w:rPr>
              <w:t>Strategy Call Held</w:t>
            </w:r>
          </w:p>
        </w:tc>
        <w:tc>
          <w:tcPr>
            <w:tcW w:type="dxa" w:w="6912"/>
            <w:vAlign w:val="top"/>
          </w:tcPr>
          <w:p>
            <w:pPr>
              <w:spacing w:after="20"/>
            </w:pPr>
            <w:r>
              <w:rPr>
                <w:sz w:val="16"/>
              </w:rPr>
              <w:t>Decision process and fit confirmed</w:t>
            </w:r>
          </w:p>
        </w:tc>
      </w:tr>
      <w:tr>
        <w:tc>
          <w:tcPr>
            <w:tcW w:type="dxa" w:w="2880"/>
            <w:vAlign w:val="top"/>
            <w:shd w:fill="F2F2F0"/>
          </w:tcPr>
          <w:p>
            <w:pPr>
              <w:spacing w:after="20"/>
            </w:pPr>
            <w:r>
              <w:rPr>
                <w:sz w:val="16"/>
              </w:rPr>
              <w:t>Prescription Presented</w:t>
            </w:r>
          </w:p>
        </w:tc>
        <w:tc>
          <w:tcPr>
            <w:tcW w:type="dxa" w:w="6912"/>
            <w:vAlign w:val="top"/>
            <w:shd w:fill="F2F2F0"/>
          </w:tcPr>
          <w:p>
            <w:pPr>
              <w:spacing w:after="20"/>
            </w:pPr>
            <w:r>
              <w:rPr>
                <w:sz w:val="16"/>
              </w:rPr>
              <w:t>Scope/evidence reviewed</w:t>
            </w:r>
          </w:p>
        </w:tc>
      </w:tr>
      <w:tr>
        <w:tc>
          <w:tcPr>
            <w:tcW w:type="dxa" w:w="2880"/>
            <w:vAlign w:val="top"/>
          </w:tcPr>
          <w:p>
            <w:pPr>
              <w:spacing w:after="20"/>
            </w:pPr>
            <w:r>
              <w:rPr>
                <w:sz w:val="16"/>
              </w:rPr>
              <w:t>Proposal Presented</w:t>
            </w:r>
          </w:p>
        </w:tc>
        <w:tc>
          <w:tcPr>
            <w:tcW w:type="dxa" w:w="6912"/>
            <w:vAlign w:val="top"/>
          </w:tcPr>
          <w:p>
            <w:pPr>
              <w:spacing w:after="20"/>
            </w:pPr>
            <w:r>
              <w:rPr>
                <w:sz w:val="16"/>
              </w:rPr>
              <w:t>Commercial terms delivered</w:t>
            </w:r>
          </w:p>
        </w:tc>
      </w:tr>
      <w:tr>
        <w:tc>
          <w:tcPr>
            <w:tcW w:type="dxa" w:w="2880"/>
            <w:vAlign w:val="top"/>
            <w:shd w:fill="F2F2F0"/>
          </w:tcPr>
          <w:p>
            <w:pPr>
              <w:spacing w:after="20"/>
            </w:pPr>
            <w:r>
              <w:rPr>
                <w:sz w:val="16"/>
              </w:rPr>
              <w:t>Objection Active</w:t>
            </w:r>
          </w:p>
        </w:tc>
        <w:tc>
          <w:tcPr>
            <w:tcW w:type="dxa" w:w="6912"/>
            <w:vAlign w:val="top"/>
            <w:shd w:fill="F2F2F0"/>
          </w:tcPr>
          <w:p>
            <w:pPr>
              <w:spacing w:after="20"/>
            </w:pPr>
            <w:r>
              <w:rPr>
                <w:sz w:val="16"/>
              </w:rPr>
              <w:t>Objection categorized and next step dated</w:t>
            </w:r>
          </w:p>
        </w:tc>
      </w:tr>
      <w:tr>
        <w:tc>
          <w:tcPr>
            <w:tcW w:type="dxa" w:w="2880"/>
            <w:vAlign w:val="top"/>
          </w:tcPr>
          <w:p>
            <w:pPr>
              <w:spacing w:after="20"/>
            </w:pPr>
            <w:r>
              <w:rPr>
                <w:sz w:val="16"/>
              </w:rPr>
              <w:t>Decision</w:t>
            </w:r>
          </w:p>
        </w:tc>
        <w:tc>
          <w:tcPr>
            <w:tcW w:type="dxa" w:w="6912"/>
            <w:vAlign w:val="top"/>
          </w:tcPr>
          <w:p>
            <w:pPr>
              <w:spacing w:after="20"/>
            </w:pPr>
            <w:r>
              <w:rPr>
                <w:sz w:val="16"/>
              </w:rPr>
              <w:t>WON / LOST / DEFERRED WITH DATE / DISQUALIFIED</w:t>
            </w:r>
          </w:p>
        </w:tc>
      </w:tr>
      <w:tr>
        <w:tc>
          <w:tcPr>
            <w:tcW w:type="dxa" w:w="2880"/>
            <w:vAlign w:val="top"/>
            <w:shd w:fill="F2F2F0"/>
          </w:tcPr>
          <w:p>
            <w:pPr>
              <w:spacing w:after="20"/>
            </w:pPr>
            <w:r>
              <w:rPr>
                <w:sz w:val="16"/>
              </w:rPr>
              <w:t>Agreement</w:t>
            </w:r>
          </w:p>
        </w:tc>
        <w:tc>
          <w:tcPr>
            <w:tcW w:type="dxa" w:w="6912"/>
            <w:vAlign w:val="top"/>
            <w:shd w:fill="F2F2F0"/>
          </w:tcPr>
          <w:p>
            <w:pPr>
              <w:spacing w:after="20"/>
            </w:pPr>
            <w:r>
              <w:rPr>
                <w:sz w:val="16"/>
              </w:rPr>
              <w:t>Signed</w:t>
            </w:r>
          </w:p>
        </w:tc>
      </w:tr>
      <w:tr>
        <w:tc>
          <w:tcPr>
            <w:tcW w:type="dxa" w:w="2880"/>
            <w:vAlign w:val="top"/>
          </w:tcPr>
          <w:p>
            <w:pPr>
              <w:spacing w:after="20"/>
            </w:pPr>
            <w:r>
              <w:rPr>
                <w:sz w:val="16"/>
              </w:rPr>
              <w:t>Payment</w:t>
            </w:r>
          </w:p>
        </w:tc>
        <w:tc>
          <w:tcPr>
            <w:tcW w:type="dxa" w:w="6912"/>
            <w:vAlign w:val="top"/>
          </w:tcPr>
          <w:p>
            <w:pPr>
              <w:spacing w:after="20"/>
            </w:pPr>
            <w:r>
              <w:rPr>
                <w:sz w:val="16"/>
              </w:rPr>
              <w:t>Required initial payment collected</w:t>
            </w:r>
          </w:p>
        </w:tc>
      </w:tr>
      <w:tr>
        <w:tc>
          <w:tcPr>
            <w:tcW w:type="dxa" w:w="2880"/>
            <w:vAlign w:val="top"/>
            <w:shd w:fill="F2F2F0"/>
          </w:tcPr>
          <w:p>
            <w:pPr>
              <w:spacing w:after="20"/>
            </w:pPr>
            <w:r>
              <w:rPr>
                <w:sz w:val="16"/>
              </w:rPr>
              <w:t>Install Activated</w:t>
            </w:r>
          </w:p>
        </w:tc>
        <w:tc>
          <w:tcPr>
            <w:tcW w:type="dxa" w:w="6912"/>
            <w:vAlign w:val="top"/>
            <w:shd w:fill="F2F2F0"/>
          </w:tcPr>
          <w:p>
            <w:pPr>
              <w:spacing w:after="20"/>
            </w:pPr>
            <w:r>
              <w:rPr>
                <w:sz w:val="16"/>
              </w:rPr>
              <w:t>Scope converted to install record</w:t>
            </w:r>
          </w:p>
        </w:tc>
      </w:tr>
    </w:tbl>
    <w:p/>
    <w:p>
      <w:pPr>
        <w:pStyle w:val="Heading2"/>
      </w:pPr>
      <w:r>
        <w:t>Generated strategy-call brief</w:t>
      </w:r>
    </w:p>
    <w:p>
      <w:pPr>
        <w:pStyle w:val="ListNumber"/>
        <w:spacing w:after="40"/>
      </w:pPr>
      <w:r>
        <w:t>Client objective.</w:t>
      </w:r>
    </w:p>
    <w:p>
      <w:pPr>
        <w:pStyle w:val="ListNumber"/>
        <w:spacing w:after="40"/>
      </w:pPr>
      <w:r>
        <w:t>Top three evidenced leaks.</w:t>
      </w:r>
    </w:p>
    <w:p>
      <w:pPr>
        <w:pStyle w:val="ListNumber"/>
        <w:spacing w:after="40"/>
      </w:pPr>
      <w:r>
        <w:t>Economic consequence: verified or labeled scenario.</w:t>
      </w:r>
    </w:p>
    <w:p>
      <w:pPr>
        <w:pStyle w:val="ListNumber"/>
        <w:spacing w:after="40"/>
      </w:pPr>
      <w:r>
        <w:t>Current state.</w:t>
      </w:r>
    </w:p>
    <w:p>
      <w:pPr>
        <w:pStyle w:val="ListNumber"/>
        <w:spacing w:after="40"/>
      </w:pPr>
      <w:r>
        <w:t>Desired state.</w:t>
      </w:r>
    </w:p>
    <w:p>
      <w:pPr>
        <w:pStyle w:val="ListNumber"/>
        <w:spacing w:after="40"/>
      </w:pPr>
      <w:r>
        <w:t>Gap.</w:t>
      </w:r>
    </w:p>
    <w:p>
      <w:pPr>
        <w:pStyle w:val="ListNumber"/>
        <w:spacing w:after="40"/>
      </w:pPr>
      <w:r>
        <w:t>Prescription.</w:t>
      </w:r>
    </w:p>
    <w:p>
      <w:pPr>
        <w:pStyle w:val="ListNumber"/>
        <w:spacing w:after="40"/>
      </w:pPr>
      <w:r>
        <w:t>Why this scope.</w:t>
      </w:r>
    </w:p>
    <w:p>
      <w:pPr>
        <w:pStyle w:val="ListNumber"/>
        <w:spacing w:after="40"/>
      </w:pPr>
      <w:r>
        <w:t>Why lower scope is insufficient, if applicable.</w:t>
      </w:r>
    </w:p>
    <w:p>
      <w:pPr>
        <w:pStyle w:val="ListNumber"/>
        <w:spacing w:after="40"/>
      </w:pPr>
      <w:r>
        <w:t>Why higher scope is unnecessary, if applicable.</w:t>
      </w:r>
    </w:p>
    <w:p>
      <w:pPr>
        <w:pStyle w:val="ListNumber"/>
        <w:spacing w:after="40"/>
      </w:pPr>
      <w:r>
        <w:t>Investment.</w:t>
      </w:r>
    </w:p>
    <w:p>
      <w:pPr>
        <w:pStyle w:val="ListNumber"/>
        <w:spacing w:after="40"/>
      </w:pPr>
      <w:r>
        <w:t>Decision question.</w:t>
      </w:r>
    </w:p>
    <w:p>
      <w:pPr>
        <w:pStyle w:val="Heading1"/>
      </w:pPr>
      <w:r>
        <w:t>12. Objection Intelligence</w:t>
      </w:r>
    </w:p>
    <w:p>
      <w:pPr>
        <w:pStyle w:val="ListBullet"/>
        <w:spacing w:after="40"/>
      </w:pPr>
      <w:r>
        <w:t>PRICE</w:t>
      </w:r>
    </w:p>
    <w:p>
      <w:pPr>
        <w:pStyle w:val="ListBullet"/>
        <w:spacing w:after="40"/>
      </w:pPr>
      <w:r>
        <w:t>TIMING</w:t>
      </w:r>
    </w:p>
    <w:p>
      <w:pPr>
        <w:pStyle w:val="ListBullet"/>
        <w:spacing w:after="40"/>
      </w:pPr>
      <w:r>
        <w:t>TRUST</w:t>
      </w:r>
    </w:p>
    <w:p>
      <w:pPr>
        <w:pStyle w:val="ListBullet"/>
        <w:spacing w:after="40"/>
      </w:pPr>
      <w:r>
        <w:t>DIY</w:t>
      </w:r>
    </w:p>
    <w:p>
      <w:pPr>
        <w:pStyle w:val="ListBullet"/>
        <w:spacing w:after="40"/>
      </w:pPr>
      <w:r>
        <w:t>PARTNER_APPROVAL</w:t>
      </w:r>
    </w:p>
    <w:p>
      <w:pPr>
        <w:pStyle w:val="ListBullet"/>
        <w:spacing w:after="40"/>
      </w:pPr>
      <w:r>
        <w:t>NEED_TO_THINK</w:t>
      </w:r>
    </w:p>
    <w:p>
      <w:pPr>
        <w:pStyle w:val="ListBullet"/>
        <w:spacing w:after="40"/>
      </w:pPr>
      <w:r>
        <w:t>CURRENT_PROVIDER</w:t>
      </w:r>
    </w:p>
    <w:p>
      <w:pPr>
        <w:pStyle w:val="ListBullet"/>
        <w:spacing w:after="40"/>
      </w:pPr>
      <w:r>
        <w:t>UNCLEAR_ROI</w:t>
      </w:r>
    </w:p>
    <w:p>
      <w:pPr>
        <w:pStyle w:val="ListBullet"/>
        <w:spacing w:after="40"/>
      </w:pPr>
      <w:r>
        <w:t>NO_URGENCY</w:t>
      </w:r>
    </w:p>
    <w:p>
      <w:pPr>
        <w:pStyle w:val="ListBullet"/>
        <w:spacing w:after="40"/>
      </w:pPr>
      <w:r>
        <w:t>SCOPE</w:t>
      </w:r>
    </w:p>
    <w:p>
      <w:pPr>
        <w:pStyle w:val="ListBullet"/>
        <w:spacing w:after="40"/>
      </w:pPr>
      <w:r>
        <w:t>CASH_FLOW</w:t>
      </w:r>
    </w:p>
    <w:p>
      <w:r>
        <w:t>Every objection record stores exact language, category, underlying concern, intervention/prescription, response used, evidence used, outcome, and days to decision. Use aggregate patterns for learning. Do not infer motives without evidence.</w:t>
      </w:r>
    </w:p>
    <w:p>
      <w:pPr>
        <w:pStyle w:val="Heading1"/>
      </w:pPr>
      <w:r>
        <w:t>13. Install Engine</w:t>
      </w:r>
    </w:p>
    <w:p>
      <w:pPr>
        <w:pStyle w:val="ListBullet"/>
        <w:spacing w:after="40"/>
      </w:pPr>
      <w:r>
        <w:t>A WON + PAID prescription can convert into an Install record.</w:t>
      </w:r>
    </w:p>
    <w:p>
      <w:pPr>
        <w:pStyle w:val="ListBullet"/>
        <w:spacing w:after="40"/>
      </w:pPr>
      <w:r>
        <w:t>Install inherits client, prescription items, scope, out-of-scope, owners, dependencies, deadline, and measurement plan.</w:t>
      </w:r>
    </w:p>
    <w:p>
      <w:pPr>
        <w:pStyle w:val="ListBullet"/>
        <w:spacing w:after="40"/>
      </w:pPr>
      <w:r>
        <w:t>Do not become a general project-management tool. Track only the implementation state required to preserve Revenue Spine methodology and commercial visibility.</w:t>
      </w:r>
    </w:p>
    <w:p>
      <w:pPr>
        <w:pStyle w:val="ListBullet"/>
        <w:spacing w:after="40"/>
      </w:pPr>
      <w:r>
        <w:t>Contractors see only assigned scope and relevant evidence.</w:t>
      </w:r>
    </w:p>
    <w:p>
      <w:pPr>
        <w:pStyle w:val="Heading2"/>
      </w:pPr>
      <w:r>
        <w:t>Install states</w:t>
      </w:r>
    </w:p>
    <w:p>
      <w:pPr>
        <w:pStyle w:val="ListBullet"/>
        <w:spacing w:after="40"/>
      </w:pPr>
      <w:r>
        <w:t>Onboarding</w:t>
      </w:r>
    </w:p>
    <w:p>
      <w:pPr>
        <w:pStyle w:val="ListBullet"/>
        <w:spacing w:after="40"/>
      </w:pPr>
      <w:r>
        <w:t>Assets Required</w:t>
      </w:r>
    </w:p>
    <w:p>
      <w:pPr>
        <w:pStyle w:val="ListBullet"/>
        <w:spacing w:after="40"/>
      </w:pPr>
      <w:r>
        <w:t>Build</w:t>
      </w:r>
    </w:p>
    <w:p>
      <w:pPr>
        <w:pStyle w:val="ListBullet"/>
        <w:spacing w:after="40"/>
      </w:pPr>
      <w:r>
        <w:t>Internal QA</w:t>
      </w:r>
    </w:p>
    <w:p>
      <w:pPr>
        <w:pStyle w:val="ListBullet"/>
        <w:spacing w:after="40"/>
      </w:pPr>
      <w:r>
        <w:t>Client Review</w:t>
      </w:r>
    </w:p>
    <w:p>
      <w:pPr>
        <w:pStyle w:val="ListBullet"/>
        <w:spacing w:after="40"/>
      </w:pPr>
      <w:r>
        <w:t>Launch Ready</w:t>
      </w:r>
    </w:p>
    <w:p>
      <w:pPr>
        <w:pStyle w:val="ListBullet"/>
        <w:spacing w:after="40"/>
      </w:pPr>
      <w:r>
        <w:t>Live</w:t>
      </w:r>
    </w:p>
    <w:p>
      <w:pPr>
        <w:pStyle w:val="ListBullet"/>
        <w:spacing w:after="40"/>
      </w:pPr>
      <w:r>
        <w:t>Closeout</w:t>
      </w:r>
    </w:p>
    <w:p>
      <w:pPr>
        <w:pStyle w:val="ListBullet"/>
        <w:spacing w:after="40"/>
      </w:pPr>
      <w:r>
        <w:t>Optimization Eligible</w:t>
      </w:r>
    </w:p>
    <w:p>
      <w:pPr>
        <w:pStyle w:val="Heading1"/>
      </w:pPr>
      <w:r>
        <w:t>14. Outcome and Optimization Engine</w:t>
      </w:r>
    </w:p>
    <w:p>
      <w:pPr>
        <w:pStyle w:val="Heading2"/>
      </w:pPr>
      <w:r>
        <w:t>Outcome record</w:t>
      </w:r>
    </w:p>
    <w:p>
      <w:pPr>
        <w:pStyle w:val="ListBullet"/>
        <w:spacing w:after="40"/>
      </w:pPr>
      <w:r>
        <w:t>Metric</w:t>
      </w:r>
    </w:p>
    <w:p>
      <w:pPr>
        <w:pStyle w:val="ListBullet"/>
        <w:spacing w:after="40"/>
      </w:pPr>
      <w:r>
        <w:t>Baseline</w:t>
      </w:r>
    </w:p>
    <w:p>
      <w:pPr>
        <w:pStyle w:val="ListBullet"/>
        <w:spacing w:after="40"/>
      </w:pPr>
      <w:r>
        <w:t>Baseline date</w:t>
      </w:r>
    </w:p>
    <w:p>
      <w:pPr>
        <w:pStyle w:val="ListBullet"/>
        <w:spacing w:after="40"/>
      </w:pPr>
      <w:r>
        <w:t>Current value</w:t>
      </w:r>
    </w:p>
    <w:p>
      <w:pPr>
        <w:pStyle w:val="ListBullet"/>
        <w:spacing w:after="40"/>
      </w:pPr>
      <w:r>
        <w:t>Current date</w:t>
      </w:r>
    </w:p>
    <w:p>
      <w:pPr>
        <w:pStyle w:val="ListBullet"/>
        <w:spacing w:after="40"/>
      </w:pPr>
      <w:r>
        <w:t>Target if defined</w:t>
      </w:r>
    </w:p>
    <w:p>
      <w:pPr>
        <w:pStyle w:val="ListBullet"/>
        <w:spacing w:after="40"/>
      </w:pPr>
      <w:r>
        <w:t>Evidence source</w:t>
      </w:r>
    </w:p>
    <w:p>
      <w:pPr>
        <w:pStyle w:val="ListBullet"/>
        <w:spacing w:after="40"/>
      </w:pPr>
      <w:r>
        <w:t>Verification state</w:t>
      </w:r>
    </w:p>
    <w:p>
      <w:pPr>
        <w:pStyle w:val="ListBullet"/>
        <w:spacing w:after="40"/>
      </w:pPr>
      <w:r>
        <w:t>Interventions installed</w:t>
      </w:r>
    </w:p>
    <w:p>
      <w:pPr>
        <w:pStyle w:val="ListBullet"/>
        <w:spacing w:after="40"/>
      </w:pPr>
      <w:r>
        <w:t>Time since install</w:t>
      </w:r>
    </w:p>
    <w:p>
      <w:pPr>
        <w:pStyle w:val="ListBullet"/>
        <w:spacing w:after="40"/>
      </w:pPr>
      <w:r>
        <w:t>Notes on attribution</w:t>
      </w:r>
    </w:p>
    <w:p>
      <w:pPr>
        <w:pStyle w:val="Heading2"/>
      </w:pPr>
      <w:r>
        <w:t>Optimization cycle</w:t>
      </w:r>
    </w:p>
    <w:p>
      <w:pPr>
        <w:pStyle w:val="ListNumber"/>
        <w:spacing w:after="40"/>
      </w:pPr>
      <w:r>
        <w:t>Measure.</w:t>
      </w:r>
    </w:p>
    <w:p>
      <w:pPr>
        <w:pStyle w:val="ListNumber"/>
        <w:spacing w:after="40"/>
      </w:pPr>
      <w:r>
        <w:t>Diagnose new constraint.</w:t>
      </w:r>
    </w:p>
    <w:p>
      <w:pPr>
        <w:pStyle w:val="ListNumber"/>
        <w:spacing w:after="40"/>
      </w:pPr>
      <w:r>
        <w:t>Prioritize.</w:t>
      </w:r>
    </w:p>
    <w:p>
      <w:pPr>
        <w:pStyle w:val="ListNumber"/>
        <w:spacing w:after="40"/>
      </w:pPr>
      <w:r>
        <w:t>Design test.</w:t>
      </w:r>
    </w:p>
    <w:p>
      <w:pPr>
        <w:pStyle w:val="ListNumber"/>
        <w:spacing w:after="40"/>
      </w:pPr>
      <w:r>
        <w:t>Implement.</w:t>
      </w:r>
    </w:p>
    <w:p>
      <w:pPr>
        <w:pStyle w:val="ListNumber"/>
        <w:spacing w:after="40"/>
      </w:pPr>
      <w:r>
        <w:t>Compare.</w:t>
      </w:r>
    </w:p>
    <w:p>
      <w:pPr>
        <w:pStyle w:val="ListNumber"/>
        <w:spacing w:after="40"/>
      </w:pPr>
      <w:r>
        <w:t>Document.</w:t>
      </w:r>
    </w:p>
    <w:p>
      <w:pPr>
        <w:pStyle w:val="ListNumber"/>
        <w:spacing w:after="40"/>
      </w:pPr>
      <w:r>
        <w:t>Repeat or close.</w:t>
      </w:r>
    </w:p>
    <w:p>
      <w:pPr>
        <w:pStyle w:val="Heading1"/>
      </w:pPr>
      <w:r>
        <w:t>15. Blue Ocean / Offer Intelligence Engine</w:t>
      </w:r>
    </w:p>
    <w:p>
      <w:r>
        <w:t>This module generates testable offer hypotheses, not autonomous final products.</w:t>
      </w:r>
    </w:p>
    <w:p>
      <w:pPr>
        <w:pStyle w:val="Heading2"/>
      </w:pPr>
      <w:r>
        <w:t>Inputs</w:t>
      </w:r>
    </w:p>
    <w:p>
      <w:pPr>
        <w:pStyle w:val="ListBullet"/>
        <w:spacing w:after="40"/>
      </w:pPr>
      <w:r>
        <w:t>Buyer</w:t>
      </w:r>
    </w:p>
    <w:p>
      <w:pPr>
        <w:pStyle w:val="ListBullet"/>
        <w:spacing w:after="40"/>
      </w:pPr>
      <w:r>
        <w:t>Alternatives</w:t>
      </w:r>
    </w:p>
    <w:p>
      <w:pPr>
        <w:pStyle w:val="ListBullet"/>
        <w:spacing w:after="40"/>
      </w:pPr>
      <w:r>
        <w:t>Desired outcomes</w:t>
      </w:r>
    </w:p>
    <w:p>
      <w:pPr>
        <w:pStyle w:val="ListBullet"/>
        <w:spacing w:after="40"/>
      </w:pPr>
      <w:r>
        <w:t>Expensive frustrations</w:t>
      </w:r>
    </w:p>
    <w:p>
      <w:pPr>
        <w:pStyle w:val="ListBullet"/>
        <w:spacing w:after="40"/>
      </w:pPr>
      <w:r>
        <w:t>Current promises</w:t>
      </w:r>
    </w:p>
    <w:p>
      <w:pPr>
        <w:pStyle w:val="ListBullet"/>
        <w:spacing w:after="40"/>
      </w:pPr>
      <w:r>
        <w:t>Pricing models</w:t>
      </w:r>
    </w:p>
    <w:p>
      <w:pPr>
        <w:pStyle w:val="ListBullet"/>
        <w:spacing w:after="40"/>
      </w:pPr>
      <w:r>
        <w:t>Standard deliverables</w:t>
      </w:r>
    </w:p>
    <w:p>
      <w:pPr>
        <w:pStyle w:val="ListBullet"/>
        <w:spacing w:after="40"/>
      </w:pPr>
      <w:r>
        <w:t>Common complaints</w:t>
      </w:r>
    </w:p>
    <w:p>
      <w:pPr>
        <w:pStyle w:val="ListBullet"/>
        <w:spacing w:after="40"/>
      </w:pPr>
      <w:r>
        <w:t>Noncustomers</w:t>
      </w:r>
    </w:p>
    <w:p>
      <w:pPr>
        <w:pStyle w:val="ListBullet"/>
        <w:spacing w:after="40"/>
      </w:pPr>
      <w:r>
        <w:t>Unused capabilities</w:t>
      </w:r>
    </w:p>
    <w:p>
      <w:pPr>
        <w:pStyle w:val="ListBullet"/>
        <w:spacing w:after="40"/>
      </w:pPr>
      <w:r>
        <w:t>RUN It BAC benchmark data</w:t>
      </w:r>
    </w:p>
    <w:p>
      <w:pPr>
        <w:pStyle w:val="Heading2"/>
      </w:pPr>
      <w:r>
        <w:t>Framework</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728"/>
            <w:shd w:fill="171717"/>
            <w:vAlign w:val="center"/>
          </w:tcPr>
          <w:p>
            <w:pPr>
              <w:jc w:val="left"/>
            </w:pPr>
            <w:r>
              <w:rPr>
                <w:b/>
                <w:color w:val="FFFFFF"/>
                <w:sz w:val="17"/>
              </w:rPr>
              <w:t>Move</w:t>
            </w:r>
          </w:p>
        </w:tc>
        <w:tc>
          <w:tcPr>
            <w:tcW w:type="dxa" w:w="8064"/>
            <w:shd w:fill="171717"/>
            <w:vAlign w:val="center"/>
          </w:tcPr>
          <w:p>
            <w:pPr>
              <w:jc w:val="left"/>
            </w:pPr>
            <w:r>
              <w:rPr>
                <w:b/>
                <w:color w:val="FFFFFF"/>
                <w:sz w:val="17"/>
              </w:rPr>
              <w:t>Required Output</w:t>
            </w:r>
          </w:p>
        </w:tc>
      </w:tr>
      <w:tr>
        <w:tc>
          <w:tcPr>
            <w:tcW w:type="dxa" w:w="1728"/>
            <w:vAlign w:val="top"/>
          </w:tcPr>
          <w:p>
            <w:pPr>
              <w:spacing w:after="20"/>
            </w:pPr>
            <w:r>
              <w:rPr>
                <w:sz w:val="16"/>
              </w:rPr>
              <w:t>ELIMINATE</w:t>
            </w:r>
          </w:p>
        </w:tc>
        <w:tc>
          <w:tcPr>
            <w:tcW w:type="dxa" w:w="8064"/>
            <w:vAlign w:val="top"/>
          </w:tcPr>
          <w:p>
            <w:pPr>
              <w:spacing w:after="20"/>
            </w:pPr>
            <w:r>
              <w:rPr>
                <w:sz w:val="16"/>
              </w:rPr>
              <w:t>Category convention with low buyer value</w:t>
            </w:r>
          </w:p>
        </w:tc>
      </w:tr>
      <w:tr>
        <w:tc>
          <w:tcPr>
            <w:tcW w:type="dxa" w:w="1728"/>
            <w:vAlign w:val="top"/>
            <w:shd w:fill="F2F2F0"/>
          </w:tcPr>
          <w:p>
            <w:pPr>
              <w:spacing w:after="20"/>
            </w:pPr>
            <w:r>
              <w:rPr>
                <w:sz w:val="16"/>
              </w:rPr>
              <w:t>REDUCE</w:t>
            </w:r>
          </w:p>
        </w:tc>
        <w:tc>
          <w:tcPr>
            <w:tcW w:type="dxa" w:w="8064"/>
            <w:vAlign w:val="top"/>
            <w:shd w:fill="F2F2F0"/>
          </w:tcPr>
          <w:p>
            <w:pPr>
              <w:spacing w:after="20"/>
            </w:pPr>
            <w:r>
              <w:rPr>
                <w:sz w:val="16"/>
              </w:rPr>
              <w:t>Overbuilt or expensive-to-deliver element</w:t>
            </w:r>
          </w:p>
        </w:tc>
      </w:tr>
      <w:tr>
        <w:tc>
          <w:tcPr>
            <w:tcW w:type="dxa" w:w="1728"/>
            <w:vAlign w:val="top"/>
          </w:tcPr>
          <w:p>
            <w:pPr>
              <w:spacing w:after="20"/>
            </w:pPr>
            <w:r>
              <w:rPr>
                <w:sz w:val="16"/>
              </w:rPr>
              <w:t>RAISE</w:t>
            </w:r>
          </w:p>
        </w:tc>
        <w:tc>
          <w:tcPr>
            <w:tcW w:type="dxa" w:w="8064"/>
            <w:vAlign w:val="top"/>
          </w:tcPr>
          <w:p>
            <w:pPr>
              <w:spacing w:after="20"/>
            </w:pPr>
            <w:r>
              <w:rPr>
                <w:sz w:val="16"/>
              </w:rPr>
              <w:t>Underdelivered buyer outcome or assurance</w:t>
            </w:r>
          </w:p>
        </w:tc>
      </w:tr>
      <w:tr>
        <w:tc>
          <w:tcPr>
            <w:tcW w:type="dxa" w:w="1728"/>
            <w:vAlign w:val="top"/>
            <w:shd w:fill="F2F2F0"/>
          </w:tcPr>
          <w:p>
            <w:pPr>
              <w:spacing w:after="20"/>
            </w:pPr>
            <w:r>
              <w:rPr>
                <w:sz w:val="16"/>
              </w:rPr>
              <w:t>CREATE</w:t>
            </w:r>
          </w:p>
        </w:tc>
        <w:tc>
          <w:tcPr>
            <w:tcW w:type="dxa" w:w="8064"/>
            <w:vAlign w:val="top"/>
            <w:shd w:fill="F2F2F0"/>
          </w:tcPr>
          <w:p>
            <w:pPr>
              <w:spacing w:after="20"/>
            </w:pPr>
            <w:r>
              <w:rPr>
                <w:sz w:val="16"/>
              </w:rPr>
              <w:t>New mechanism, workflow, proof, measurement, or delivery model</w:t>
            </w:r>
          </w:p>
        </w:tc>
      </w:tr>
    </w:tbl>
    <w:p/>
    <w:p>
      <w:pPr>
        <w:pStyle w:val="Heading2"/>
      </w:pPr>
      <w:r>
        <w:t>Kill rules</w:t>
      </w:r>
    </w:p>
    <w:p>
      <w:pPr>
        <w:pStyle w:val="ListBullet"/>
        <w:spacing w:after="40"/>
      </w:pPr>
      <w:r>
        <w:t>Only a new name -&gt; KILL.</w:t>
      </w:r>
    </w:p>
    <w:p>
      <w:pPr>
        <w:pStyle w:val="ListBullet"/>
        <w:spacing w:after="40"/>
      </w:pPr>
      <w:r>
        <w:t>No identifiable buyer with economic pain -&gt; KILL.</w:t>
      </w:r>
    </w:p>
    <w:p>
      <w:pPr>
        <w:pStyle w:val="ListBullet"/>
        <w:spacing w:after="40"/>
      </w:pPr>
      <w:r>
        <w:t>Differentiation requires unbounded founder customization -&gt; KILL.</w:t>
      </w:r>
    </w:p>
    <w:p>
      <w:pPr>
        <w:pStyle w:val="ListBullet"/>
        <w:spacing w:after="40"/>
      </w:pPr>
      <w:r>
        <w:t>No observable willingness-to-pay signal -&gt; TEST ONLY.</w:t>
      </w:r>
    </w:p>
    <w:p>
      <w:pPr>
        <w:pStyle w:val="ListBullet"/>
        <w:spacing w:after="40"/>
      </w:pPr>
      <w:r>
        <w:t>Competitor can copy it immediately without changing operations -&gt; LOW STRATEGIC VALUE.</w:t>
      </w:r>
    </w:p>
    <w:p>
      <w:pPr>
        <w:pStyle w:val="ListBullet"/>
        <w:spacing w:after="40"/>
      </w:pPr>
      <w:r>
        <w:t>No path to recurring revenue, reusable IP, or data advantage -&gt; LOWER PRIORITY.</w:t>
      </w:r>
    </w:p>
    <w:p>
      <w:pPr>
        <w:pStyle w:val="Heading1"/>
      </w:pPr>
      <w:r>
        <w:t>16. Data Model</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448"/>
            <w:shd w:fill="171717"/>
            <w:vAlign w:val="center"/>
          </w:tcPr>
          <w:p>
            <w:pPr>
              <w:jc w:val="left"/>
            </w:pPr>
            <w:r>
              <w:rPr>
                <w:b/>
                <w:color w:val="FFFFFF"/>
                <w:sz w:val="17"/>
              </w:rPr>
              <w:t>Entity A</w:t>
            </w:r>
          </w:p>
        </w:tc>
        <w:tc>
          <w:tcPr>
            <w:tcW w:type="dxa" w:w="2448"/>
            <w:shd w:fill="171717"/>
            <w:vAlign w:val="center"/>
          </w:tcPr>
          <w:p>
            <w:pPr>
              <w:jc w:val="left"/>
            </w:pPr>
            <w:r>
              <w:rPr>
                <w:b/>
                <w:color w:val="FFFFFF"/>
                <w:sz w:val="17"/>
              </w:rPr>
              <w:t>Entity B</w:t>
            </w:r>
          </w:p>
        </w:tc>
        <w:tc>
          <w:tcPr>
            <w:tcW w:type="dxa" w:w="2448"/>
            <w:shd w:fill="171717"/>
            <w:vAlign w:val="center"/>
          </w:tcPr>
          <w:p>
            <w:pPr>
              <w:jc w:val="left"/>
            </w:pPr>
            <w:r>
              <w:rPr>
                <w:b/>
                <w:color w:val="FFFFFF"/>
                <w:sz w:val="17"/>
              </w:rPr>
              <w:t>Entity C</w:t>
            </w:r>
          </w:p>
        </w:tc>
        <w:tc>
          <w:tcPr>
            <w:tcW w:type="dxa" w:w="2448"/>
            <w:shd w:fill="171717"/>
            <w:vAlign w:val="center"/>
          </w:tcPr>
          <w:p>
            <w:pPr>
              <w:jc w:val="left"/>
            </w:pPr>
            <w:r>
              <w:rPr>
                <w:b/>
                <w:color w:val="FFFFFF"/>
                <w:sz w:val="17"/>
              </w:rPr>
              <w:t>Entity D</w:t>
            </w:r>
          </w:p>
        </w:tc>
      </w:tr>
      <w:tr>
        <w:tc>
          <w:tcPr>
            <w:tcW w:type="dxa" w:w="2448"/>
            <w:vAlign w:val="top"/>
          </w:tcPr>
          <w:p>
            <w:pPr>
              <w:spacing w:after="20"/>
            </w:pPr>
            <w:r>
              <w:rPr>
                <w:sz w:val="16"/>
              </w:rPr>
              <w:t>User</w:t>
            </w:r>
          </w:p>
        </w:tc>
        <w:tc>
          <w:tcPr>
            <w:tcW w:type="dxa" w:w="2448"/>
            <w:vAlign w:val="top"/>
          </w:tcPr>
          <w:p>
            <w:pPr>
              <w:spacing w:after="20"/>
            </w:pPr>
            <w:r>
              <w:rPr>
                <w:sz w:val="16"/>
              </w:rPr>
              <w:t>Role</w:t>
            </w:r>
          </w:p>
        </w:tc>
        <w:tc>
          <w:tcPr>
            <w:tcW w:type="dxa" w:w="2448"/>
            <w:vAlign w:val="top"/>
          </w:tcPr>
          <w:p>
            <w:pPr>
              <w:spacing w:after="20"/>
            </w:pPr>
            <w:r>
              <w:rPr>
                <w:sz w:val="16"/>
              </w:rPr>
              <w:t>Permission</w:t>
            </w:r>
          </w:p>
        </w:tc>
        <w:tc>
          <w:tcPr>
            <w:tcW w:type="dxa" w:w="2448"/>
            <w:vAlign w:val="top"/>
          </w:tcPr>
          <w:p>
            <w:pPr>
              <w:spacing w:after="20"/>
            </w:pPr>
            <w:r>
              <w:rPr>
                <w:sz w:val="16"/>
              </w:rPr>
              <w:t>Market</w:t>
            </w:r>
          </w:p>
        </w:tc>
      </w:tr>
      <w:tr>
        <w:tc>
          <w:tcPr>
            <w:tcW w:type="dxa" w:w="2448"/>
            <w:vAlign w:val="top"/>
            <w:shd w:fill="F2F2F0"/>
          </w:tcPr>
          <w:p>
            <w:pPr>
              <w:spacing w:after="20"/>
            </w:pPr>
            <w:r>
              <w:rPr>
                <w:sz w:val="16"/>
              </w:rPr>
              <w:t>Vertical</w:t>
            </w:r>
          </w:p>
        </w:tc>
        <w:tc>
          <w:tcPr>
            <w:tcW w:type="dxa" w:w="2448"/>
            <w:vAlign w:val="top"/>
            <w:shd w:fill="F2F2F0"/>
          </w:tcPr>
          <w:p>
            <w:pPr>
              <w:spacing w:after="20"/>
            </w:pPr>
            <w:r>
              <w:rPr>
                <w:sz w:val="16"/>
              </w:rPr>
              <w:t>Competitor</w:t>
            </w:r>
          </w:p>
        </w:tc>
        <w:tc>
          <w:tcPr>
            <w:tcW w:type="dxa" w:w="2448"/>
            <w:vAlign w:val="top"/>
            <w:shd w:fill="F2F2F0"/>
          </w:tcPr>
          <w:p>
            <w:pPr>
              <w:spacing w:after="20"/>
            </w:pPr>
            <w:r>
              <w:rPr>
                <w:sz w:val="16"/>
              </w:rPr>
              <w:t>MarketObservation</w:t>
            </w:r>
          </w:p>
        </w:tc>
        <w:tc>
          <w:tcPr>
            <w:tcW w:type="dxa" w:w="2448"/>
            <w:vAlign w:val="top"/>
            <w:shd w:fill="F2F2F0"/>
          </w:tcPr>
          <w:p>
            <w:pPr>
              <w:spacing w:after="20"/>
            </w:pPr>
            <w:r>
              <w:rPr>
                <w:sz w:val="16"/>
              </w:rPr>
              <w:t>OfferHypothesis</w:t>
            </w:r>
          </w:p>
        </w:tc>
      </w:tr>
      <w:tr>
        <w:tc>
          <w:tcPr>
            <w:tcW w:type="dxa" w:w="2448"/>
            <w:vAlign w:val="top"/>
          </w:tcPr>
          <w:p>
            <w:pPr>
              <w:spacing w:after="20"/>
            </w:pPr>
            <w:r>
              <w:rPr>
                <w:sz w:val="16"/>
              </w:rPr>
              <w:t>ValidationTest</w:t>
            </w:r>
          </w:p>
        </w:tc>
        <w:tc>
          <w:tcPr>
            <w:tcW w:type="dxa" w:w="2448"/>
            <w:vAlign w:val="top"/>
          </w:tcPr>
          <w:p>
            <w:pPr>
              <w:spacing w:after="20"/>
            </w:pPr>
            <w:r>
              <w:rPr>
                <w:sz w:val="16"/>
              </w:rPr>
              <w:t>Client</w:t>
            </w:r>
          </w:p>
        </w:tc>
        <w:tc>
          <w:tcPr>
            <w:tcW w:type="dxa" w:w="2448"/>
            <w:vAlign w:val="top"/>
          </w:tcPr>
          <w:p>
            <w:pPr>
              <w:spacing w:after="20"/>
            </w:pPr>
            <w:r>
              <w:rPr>
                <w:sz w:val="16"/>
              </w:rPr>
              <w:t>Contact</w:t>
            </w:r>
          </w:p>
        </w:tc>
        <w:tc>
          <w:tcPr>
            <w:tcW w:type="dxa" w:w="2448"/>
            <w:vAlign w:val="top"/>
          </w:tcPr>
          <w:p>
            <w:pPr>
              <w:spacing w:after="20"/>
            </w:pPr>
            <w:r>
              <w:rPr>
                <w:sz w:val="16"/>
              </w:rPr>
              <w:t>Opportunity</w:t>
            </w:r>
          </w:p>
        </w:tc>
      </w:tr>
      <w:tr>
        <w:tc>
          <w:tcPr>
            <w:tcW w:type="dxa" w:w="2448"/>
            <w:vAlign w:val="top"/>
            <w:shd w:fill="F2F2F0"/>
          </w:tcPr>
          <w:p>
            <w:pPr>
              <w:spacing w:after="20"/>
            </w:pPr>
            <w:r>
              <w:rPr>
                <w:sz w:val="16"/>
              </w:rPr>
              <w:t>Deal</w:t>
            </w:r>
          </w:p>
        </w:tc>
        <w:tc>
          <w:tcPr>
            <w:tcW w:type="dxa" w:w="2448"/>
            <w:vAlign w:val="top"/>
            <w:shd w:fill="F2F2F0"/>
          </w:tcPr>
          <w:p>
            <w:pPr>
              <w:spacing w:after="20"/>
            </w:pPr>
            <w:r>
              <w:rPr>
                <w:sz w:val="16"/>
              </w:rPr>
              <w:t>Audit</w:t>
            </w:r>
          </w:p>
        </w:tc>
        <w:tc>
          <w:tcPr>
            <w:tcW w:type="dxa" w:w="2448"/>
            <w:vAlign w:val="top"/>
            <w:shd w:fill="F2F2F0"/>
          </w:tcPr>
          <w:p>
            <w:pPr>
              <w:spacing w:after="20"/>
            </w:pPr>
            <w:r>
              <w:rPr>
                <w:sz w:val="16"/>
              </w:rPr>
              <w:t>AuditIntake</w:t>
            </w:r>
          </w:p>
        </w:tc>
        <w:tc>
          <w:tcPr>
            <w:tcW w:type="dxa" w:w="2448"/>
            <w:vAlign w:val="top"/>
            <w:shd w:fill="F2F2F0"/>
          </w:tcPr>
          <w:p>
            <w:pPr>
              <w:spacing w:after="20"/>
            </w:pPr>
            <w:r>
              <w:rPr>
                <w:sz w:val="16"/>
              </w:rPr>
              <w:t>EvidenceItem</w:t>
            </w:r>
          </w:p>
        </w:tc>
      </w:tr>
      <w:tr>
        <w:tc>
          <w:tcPr>
            <w:tcW w:type="dxa" w:w="2448"/>
            <w:vAlign w:val="top"/>
          </w:tcPr>
          <w:p>
            <w:pPr>
              <w:spacing w:after="20"/>
            </w:pPr>
            <w:r>
              <w:rPr>
                <w:sz w:val="16"/>
              </w:rPr>
              <w:t>WebsitePage</w:t>
            </w:r>
          </w:p>
        </w:tc>
        <w:tc>
          <w:tcPr>
            <w:tcW w:type="dxa" w:w="2448"/>
            <w:vAlign w:val="top"/>
          </w:tcPr>
          <w:p>
            <w:pPr>
              <w:spacing w:after="20"/>
            </w:pPr>
            <w:r>
              <w:rPr>
                <w:sz w:val="16"/>
              </w:rPr>
              <w:t>ConnectedSource</w:t>
            </w:r>
          </w:p>
        </w:tc>
        <w:tc>
          <w:tcPr>
            <w:tcW w:type="dxa" w:w="2448"/>
            <w:vAlign w:val="top"/>
          </w:tcPr>
          <w:p>
            <w:pPr>
              <w:spacing w:after="20"/>
            </w:pPr>
            <w:r>
              <w:rPr>
                <w:sz w:val="16"/>
              </w:rPr>
              <w:t>DiagnosticZone</w:t>
            </w:r>
          </w:p>
        </w:tc>
        <w:tc>
          <w:tcPr>
            <w:tcW w:type="dxa" w:w="2448"/>
            <w:vAlign w:val="top"/>
          </w:tcPr>
          <w:p>
            <w:pPr>
              <w:spacing w:after="20"/>
            </w:pPr>
            <w:r>
              <w:rPr>
                <w:sz w:val="16"/>
              </w:rPr>
              <w:t>DiagnosticSection</w:t>
            </w:r>
          </w:p>
        </w:tc>
      </w:tr>
      <w:tr>
        <w:tc>
          <w:tcPr>
            <w:tcW w:type="dxa" w:w="2448"/>
            <w:vAlign w:val="top"/>
            <w:shd w:fill="F2F2F0"/>
          </w:tcPr>
          <w:p>
            <w:pPr>
              <w:spacing w:after="20"/>
            </w:pPr>
            <w:r>
              <w:rPr>
                <w:sz w:val="16"/>
              </w:rPr>
              <w:t>ScorecardMetric</w:t>
            </w:r>
          </w:p>
        </w:tc>
        <w:tc>
          <w:tcPr>
            <w:tcW w:type="dxa" w:w="2448"/>
            <w:vAlign w:val="top"/>
            <w:shd w:fill="F2F2F0"/>
          </w:tcPr>
          <w:p>
            <w:pPr>
              <w:spacing w:after="20"/>
            </w:pPr>
            <w:r>
              <w:rPr>
                <w:sz w:val="16"/>
              </w:rPr>
              <w:t>RevenueLeakScenario</w:t>
            </w:r>
          </w:p>
        </w:tc>
        <w:tc>
          <w:tcPr>
            <w:tcW w:type="dxa" w:w="2448"/>
            <w:vAlign w:val="top"/>
            <w:shd w:fill="F2F2F0"/>
          </w:tcPr>
          <w:p>
            <w:pPr>
              <w:spacing w:after="20"/>
            </w:pPr>
            <w:r>
              <w:rPr>
                <w:sz w:val="16"/>
              </w:rPr>
              <w:t>PriorityFix</w:t>
            </w:r>
          </w:p>
        </w:tc>
        <w:tc>
          <w:tcPr>
            <w:tcW w:type="dxa" w:w="2448"/>
            <w:vAlign w:val="top"/>
            <w:shd w:fill="F2F2F0"/>
          </w:tcPr>
          <w:p>
            <w:pPr>
              <w:spacing w:after="20"/>
            </w:pPr>
            <w:r>
              <w:rPr>
                <w:sz w:val="16"/>
              </w:rPr>
              <w:t>Intervention</w:t>
            </w:r>
          </w:p>
        </w:tc>
      </w:tr>
      <w:tr>
        <w:tc>
          <w:tcPr>
            <w:tcW w:type="dxa" w:w="2448"/>
            <w:vAlign w:val="top"/>
          </w:tcPr>
          <w:p>
            <w:pPr>
              <w:spacing w:after="20"/>
            </w:pPr>
            <w:r>
              <w:rPr>
                <w:sz w:val="16"/>
              </w:rPr>
              <w:t>Prescription</w:t>
            </w:r>
          </w:p>
        </w:tc>
        <w:tc>
          <w:tcPr>
            <w:tcW w:type="dxa" w:w="2448"/>
            <w:vAlign w:val="top"/>
          </w:tcPr>
          <w:p>
            <w:pPr>
              <w:spacing w:after="20"/>
            </w:pPr>
            <w:r>
              <w:rPr>
                <w:sz w:val="16"/>
              </w:rPr>
              <w:t>PrescriptionItem</w:t>
            </w:r>
          </w:p>
        </w:tc>
        <w:tc>
          <w:tcPr>
            <w:tcW w:type="dxa" w:w="2448"/>
            <w:vAlign w:val="top"/>
          </w:tcPr>
          <w:p>
            <w:pPr>
              <w:spacing w:after="20"/>
            </w:pPr>
            <w:r>
              <w:rPr>
                <w:sz w:val="16"/>
              </w:rPr>
              <w:t>Proposal</w:t>
            </w:r>
          </w:p>
        </w:tc>
        <w:tc>
          <w:tcPr>
            <w:tcW w:type="dxa" w:w="2448"/>
            <w:vAlign w:val="top"/>
          </w:tcPr>
          <w:p>
            <w:pPr>
              <w:spacing w:after="20"/>
            </w:pPr>
            <w:r>
              <w:rPr>
                <w:sz w:val="16"/>
              </w:rPr>
              <w:t>Objection</w:t>
            </w:r>
          </w:p>
        </w:tc>
      </w:tr>
      <w:tr>
        <w:tc>
          <w:tcPr>
            <w:tcW w:type="dxa" w:w="2448"/>
            <w:vAlign w:val="top"/>
            <w:shd w:fill="F2F2F0"/>
          </w:tcPr>
          <w:p>
            <w:pPr>
              <w:spacing w:after="20"/>
            </w:pPr>
            <w:r>
              <w:rPr>
                <w:sz w:val="16"/>
              </w:rPr>
              <w:t>SalesInteraction</w:t>
            </w:r>
          </w:p>
        </w:tc>
        <w:tc>
          <w:tcPr>
            <w:tcW w:type="dxa" w:w="2448"/>
            <w:vAlign w:val="top"/>
            <w:shd w:fill="F2F2F0"/>
          </w:tcPr>
          <w:p>
            <w:pPr>
              <w:spacing w:after="20"/>
            </w:pPr>
            <w:r>
              <w:rPr>
                <w:sz w:val="16"/>
              </w:rPr>
              <w:t>Agreement</w:t>
            </w:r>
          </w:p>
        </w:tc>
        <w:tc>
          <w:tcPr>
            <w:tcW w:type="dxa" w:w="2448"/>
            <w:vAlign w:val="top"/>
            <w:shd w:fill="F2F2F0"/>
          </w:tcPr>
          <w:p>
            <w:pPr>
              <w:spacing w:after="20"/>
            </w:pPr>
            <w:r>
              <w:rPr>
                <w:sz w:val="16"/>
              </w:rPr>
              <w:t>PaymentEvent</w:t>
            </w:r>
          </w:p>
        </w:tc>
        <w:tc>
          <w:tcPr>
            <w:tcW w:type="dxa" w:w="2448"/>
            <w:vAlign w:val="top"/>
            <w:shd w:fill="F2F2F0"/>
          </w:tcPr>
          <w:p>
            <w:pPr>
              <w:spacing w:after="20"/>
            </w:pPr>
            <w:r>
              <w:rPr>
                <w:sz w:val="16"/>
              </w:rPr>
              <w:t>Install</w:t>
            </w:r>
          </w:p>
        </w:tc>
      </w:tr>
      <w:tr>
        <w:tc>
          <w:tcPr>
            <w:tcW w:type="dxa" w:w="2448"/>
            <w:vAlign w:val="top"/>
          </w:tcPr>
          <w:p>
            <w:pPr>
              <w:spacing w:after="20"/>
            </w:pPr>
            <w:r>
              <w:rPr>
                <w:sz w:val="16"/>
              </w:rPr>
              <w:t>InstallTask</w:t>
            </w:r>
          </w:p>
        </w:tc>
        <w:tc>
          <w:tcPr>
            <w:tcW w:type="dxa" w:w="2448"/>
            <w:vAlign w:val="top"/>
          </w:tcPr>
          <w:p>
            <w:pPr>
              <w:spacing w:after="20"/>
            </w:pPr>
            <w:r>
              <w:rPr>
                <w:sz w:val="16"/>
              </w:rPr>
              <w:t>InstallQA</w:t>
            </w:r>
          </w:p>
        </w:tc>
        <w:tc>
          <w:tcPr>
            <w:tcW w:type="dxa" w:w="2448"/>
            <w:vAlign w:val="top"/>
          </w:tcPr>
          <w:p>
            <w:pPr>
              <w:spacing w:after="20"/>
            </w:pPr>
            <w:r>
              <w:rPr>
                <w:sz w:val="16"/>
              </w:rPr>
              <w:t>MetricDefinition</w:t>
            </w:r>
          </w:p>
        </w:tc>
        <w:tc>
          <w:tcPr>
            <w:tcW w:type="dxa" w:w="2448"/>
            <w:vAlign w:val="top"/>
          </w:tcPr>
          <w:p>
            <w:pPr>
              <w:spacing w:after="20"/>
            </w:pPr>
            <w:r>
              <w:rPr>
                <w:sz w:val="16"/>
              </w:rPr>
              <w:t>OutcomeMetric</w:t>
            </w:r>
          </w:p>
        </w:tc>
      </w:tr>
      <w:tr>
        <w:tc>
          <w:tcPr>
            <w:tcW w:type="dxa" w:w="2448"/>
            <w:vAlign w:val="top"/>
            <w:shd w:fill="F2F2F0"/>
          </w:tcPr>
          <w:p>
            <w:pPr>
              <w:spacing w:after="20"/>
            </w:pPr>
            <w:r>
              <w:rPr>
                <w:sz w:val="16"/>
              </w:rPr>
              <w:t>OutcomeRecord</w:t>
            </w:r>
          </w:p>
        </w:tc>
        <w:tc>
          <w:tcPr>
            <w:tcW w:type="dxa" w:w="2448"/>
            <w:vAlign w:val="top"/>
            <w:shd w:fill="F2F2F0"/>
          </w:tcPr>
          <w:p>
            <w:pPr>
              <w:spacing w:after="20"/>
            </w:pPr>
            <w:r>
              <w:rPr>
                <w:sz w:val="16"/>
              </w:rPr>
              <w:t>OptimizationCycle</w:t>
            </w:r>
          </w:p>
        </w:tc>
        <w:tc>
          <w:tcPr>
            <w:tcW w:type="dxa" w:w="2448"/>
            <w:vAlign w:val="top"/>
            <w:shd w:fill="F2F2F0"/>
          </w:tcPr>
          <w:p>
            <w:pPr>
              <w:spacing w:after="20"/>
            </w:pPr>
            <w:r>
              <w:rPr>
                <w:sz w:val="16"/>
              </w:rPr>
              <w:t>Experiment</w:t>
            </w:r>
          </w:p>
        </w:tc>
        <w:tc>
          <w:tcPr>
            <w:tcW w:type="dxa" w:w="2448"/>
            <w:vAlign w:val="top"/>
            <w:shd w:fill="F2F2F0"/>
          </w:tcPr>
          <w:p>
            <w:pPr>
              <w:spacing w:after="20"/>
            </w:pPr>
            <w:r>
              <w:rPr>
                <w:sz w:val="16"/>
              </w:rPr>
              <w:t>Testimonial</w:t>
            </w:r>
          </w:p>
        </w:tc>
      </w:tr>
      <w:tr>
        <w:tc>
          <w:tcPr>
            <w:tcW w:type="dxa" w:w="2448"/>
            <w:vAlign w:val="top"/>
          </w:tcPr>
          <w:p>
            <w:pPr>
              <w:spacing w:after="20"/>
            </w:pPr>
            <w:r>
              <w:rPr>
                <w:sz w:val="16"/>
              </w:rPr>
              <w:t>CaseStudy</w:t>
            </w:r>
          </w:p>
        </w:tc>
        <w:tc>
          <w:tcPr>
            <w:tcW w:type="dxa" w:w="2448"/>
            <w:vAlign w:val="top"/>
          </w:tcPr>
          <w:p>
            <w:pPr>
              <w:spacing w:after="20"/>
            </w:pPr>
            <w:r>
              <w:rPr>
                <w:sz w:val="16"/>
              </w:rPr>
              <w:t>Benchmark</w:t>
            </w:r>
          </w:p>
        </w:tc>
        <w:tc>
          <w:tcPr>
            <w:tcW w:type="dxa" w:w="2448"/>
            <w:vAlign w:val="top"/>
          </w:tcPr>
          <w:p>
            <w:pPr>
              <w:spacing w:after="20"/>
            </w:pPr>
            <w:r>
              <w:rPr>
                <w:sz w:val="16"/>
              </w:rPr>
              <w:t>FrameworkVersion</w:t>
            </w:r>
          </w:p>
        </w:tc>
        <w:tc>
          <w:tcPr>
            <w:tcW w:type="dxa" w:w="2448"/>
            <w:vAlign w:val="top"/>
          </w:tcPr>
          <w:p>
            <w:pPr>
              <w:spacing w:after="20"/>
            </w:pPr>
            <w:r>
              <w:rPr>
                <w:sz w:val="16"/>
              </w:rPr>
              <w:t>PromptVersion</w:t>
            </w:r>
          </w:p>
        </w:tc>
      </w:tr>
      <w:tr>
        <w:tc>
          <w:tcPr>
            <w:tcW w:type="dxa" w:w="2448"/>
            <w:vAlign w:val="top"/>
            <w:shd w:fill="F2F2F0"/>
          </w:tcPr>
          <w:p>
            <w:pPr>
              <w:spacing w:after="20"/>
            </w:pPr>
            <w:r>
              <w:rPr>
                <w:sz w:val="16"/>
              </w:rPr>
              <w:t>ScoringVersion</w:t>
            </w:r>
          </w:p>
        </w:tc>
        <w:tc>
          <w:tcPr>
            <w:tcW w:type="dxa" w:w="2448"/>
            <w:vAlign w:val="top"/>
            <w:shd w:fill="F2F2F0"/>
          </w:tcPr>
          <w:p>
            <w:pPr>
              <w:spacing w:after="20"/>
            </w:pPr>
            <w:r>
              <w:rPr>
                <w:sz w:val="16"/>
              </w:rPr>
              <w:t>ReportTemplateVersion</w:t>
            </w:r>
          </w:p>
        </w:tc>
        <w:tc>
          <w:tcPr>
            <w:tcW w:type="dxa" w:w="2448"/>
            <w:vAlign w:val="top"/>
            <w:shd w:fill="F2F2F0"/>
          </w:tcPr>
          <w:p>
            <w:pPr>
              <w:spacing w:after="20"/>
            </w:pPr>
            <w:r>
              <w:rPr>
                <w:sz w:val="16"/>
              </w:rPr>
              <w:t>AuditLog</w:t>
            </w:r>
          </w:p>
        </w:tc>
        <w:tc>
          <w:tcPr>
            <w:tcW w:type="dxa" w:w="2448"/>
            <w:vAlign w:val="top"/>
            <w:shd w:fill="F2F2F0"/>
          </w:tcPr>
          <w:p>
            <w:pPr>
              <w:spacing w:after="20"/>
            </w:pPr>
            <w:r>
              <w:rPr>
                <w:sz w:val="16"/>
              </w:rPr>
              <w:t>Integration</w:t>
            </w:r>
          </w:p>
        </w:tc>
      </w:tr>
    </w:tbl>
    <w:p/>
    <w:p>
      <w:pPr>
        <w:pStyle w:val="Heading1"/>
      </w:pPr>
      <w:r>
        <w:t>17. Version Control and Auditability</w:t>
      </w:r>
    </w:p>
    <w:p>
      <w:pPr>
        <w:pStyle w:val="ListBullet"/>
        <w:spacing w:after="40"/>
      </w:pPr>
      <w:r>
        <w:t>Every diagnostic stores framework, prompt, scoring, report-template, and intervention-library versions.</w:t>
      </w:r>
    </w:p>
    <w:p>
      <w:pPr>
        <w:pStyle w:val="ListBullet"/>
        <w:spacing w:after="40"/>
      </w:pPr>
      <w:r>
        <w:t>Historical reports remain reproducible.</w:t>
      </w:r>
    </w:p>
    <w:p>
      <w:pPr>
        <w:pStyle w:val="ListBullet"/>
        <w:spacing w:after="40"/>
      </w:pPr>
      <w:r>
        <w:t>No silent overwrite of finalized diagnostics.</w:t>
      </w:r>
    </w:p>
    <w:p>
      <w:pPr>
        <w:pStyle w:val="ListBullet"/>
        <w:spacing w:after="40"/>
      </w:pPr>
      <w:r>
        <w:t>Meaningful edits to finalized records create audit-log entries with user, timestamp, before/after, and reason.</w:t>
      </w:r>
    </w:p>
    <w:p>
      <w:pPr>
        <w:pStyle w:val="ListBullet"/>
        <w:spacing w:after="40"/>
      </w:pPr>
      <w:r>
        <w:t>AI model provider changes are implementation details, but material behavior changes require a prompt or framework version update.</w:t>
      </w:r>
    </w:p>
    <w:p>
      <w:pPr>
        <w:pStyle w:val="Heading1"/>
      </w:pPr>
      <w:r>
        <w:t>18. Security</w:t>
      </w:r>
    </w:p>
    <w:p>
      <w:pPr>
        <w:pStyle w:val="ListBullet"/>
        <w:spacing w:after="40"/>
      </w:pPr>
      <w:r>
        <w:t>Authenticated access and role-based authorization.</w:t>
      </w:r>
    </w:p>
    <w:p>
      <w:pPr>
        <w:pStyle w:val="ListBullet"/>
        <w:spacing w:after="40"/>
      </w:pPr>
      <w:r>
        <w:t>Tenant/client data isolation.</w:t>
      </w:r>
    </w:p>
    <w:p>
      <w:pPr>
        <w:pStyle w:val="ListBullet"/>
        <w:spacing w:after="40"/>
      </w:pPr>
      <w:r>
        <w:t>Separate client-facing report access from operator access.</w:t>
      </w:r>
    </w:p>
    <w:p>
      <w:pPr>
        <w:pStyle w:val="ListBullet"/>
        <w:spacing w:after="40"/>
      </w:pPr>
      <w:r>
        <w:t>Never expose hidden prompts, model instructions, internal notes, private sales logic, or other clients' data.</w:t>
      </w:r>
    </w:p>
    <w:p>
      <w:pPr>
        <w:pStyle w:val="ListBullet"/>
        <w:spacing w:after="40"/>
      </w:pPr>
      <w:r>
        <w:t>Encrypt sensitive data in transit and at rest using the chosen platform's supported mechanisms.</w:t>
      </w:r>
    </w:p>
    <w:p>
      <w:pPr>
        <w:pStyle w:val="ListBullet"/>
        <w:spacing w:after="40"/>
      </w:pPr>
      <w:r>
        <w:t>Use least-privilege integration tokens.</w:t>
      </w:r>
    </w:p>
    <w:p>
      <w:pPr>
        <w:pStyle w:val="ListBullet"/>
        <w:spacing w:after="40"/>
      </w:pPr>
      <w:r>
        <w:t>Maintain event logs for finalized-diagnostic changes, permission changes, and high-risk exports.</w:t>
      </w:r>
    </w:p>
    <w:p>
      <w:pPr>
        <w:pStyle w:val="ListBullet"/>
        <w:spacing w:after="40"/>
      </w:pPr>
      <w:r>
        <w:t>Provide data-retention and deletion controls consistent with business requirements and applicable law.</w:t>
      </w:r>
    </w:p>
    <w:p>
      <w:pPr>
        <w:pStyle w:val="Heading1"/>
      </w:pPr>
      <w:r>
        <w:t>19. UX and Design System</w:t>
      </w:r>
    </w:p>
    <w:p>
      <w:pPr>
        <w:pStyle w:val="Heading2"/>
      </w:pPr>
      <w:r>
        <w:t>Experience target</w:t>
      </w:r>
    </w:p>
    <w:tbl>
      <w:tblPr>
        <w:tblW w:type="auto" w:w="0"/>
        <w:jc w:val="center"/>
        <w:tblLook w:firstColumn="1" w:firstRow="1" w:lastColumn="0" w:lastRow="0" w:noHBand="0" w:noVBand="1" w:val="04A0"/>
      </w:tblPr>
      <w:tblGrid>
        <w:gridCol w:w="10166"/>
      </w:tblGrid>
      <w:tr>
        <w:tc>
          <w:tcPr>
            <w:tcW w:type="dxa" w:w="10166"/>
            <w:shd w:fill="252525"/>
            <w:tcBorders>
              <w:top w:sz="2" w:val="single" w:color="252525"/>
              <w:left w:sz="18" w:val="single" w:color="D9A514"/>
              <w:bottom w:sz="2" w:val="single" w:color="252525"/>
              <w:right w:sz="2" w:val="single" w:color="252525"/>
            </w:tcBorders>
          </w:tcPr>
          <w:p>
            <w:pPr>
              <w:pStyle w:val="Callout"/>
            </w:pPr>
            <w:r>
              <w:rPr>
                <w:color w:val="D9A514"/>
                <w:sz w:val="17"/>
              </w:rPr>
              <w:t>UX FORMULA</w:t>
              <w:br/>
            </w:r>
            <w:r>
              <w:rPr>
                <w:color w:val="FFFFFF"/>
                <w:sz w:val="21"/>
              </w:rPr>
              <w:t>Premium consulting + diagnostic laboratory + executive command center.</w:t>
            </w:r>
          </w:p>
        </w:tc>
      </w:tr>
    </w:tbl>
    <w:p/>
    <w:p>
      <w:pPr>
        <w:pStyle w:val="Heading2"/>
      </w:pPr>
      <w:r>
        <w:t>Visual direction</w:t>
      </w:r>
    </w:p>
    <w:p>
      <w:pPr>
        <w:pStyle w:val="ListBullet"/>
        <w:spacing w:after="40"/>
      </w:pPr>
      <w:r>
        <w:t>Use RUN It BAC visual language as inspiration: black/dark surfaces, red for critical action, gold for emphasis, green for verified progress.</w:t>
      </w:r>
    </w:p>
    <w:p>
      <w:pPr>
        <w:pStyle w:val="ListBullet"/>
        <w:spacing w:after="40"/>
      </w:pPr>
      <w:r>
        <w:t>Operator UI should prioritize readability over the marketing site's dramatic display type.</w:t>
      </w:r>
    </w:p>
    <w:p>
      <w:pPr>
        <w:pStyle w:val="ListBullet"/>
        <w:spacing w:after="40"/>
      </w:pPr>
      <w:r>
        <w:t>Strong typography, restrained cards, clean tables, clear statuses, meaningful numbers, minimal animation.</w:t>
      </w:r>
    </w:p>
    <w:p>
      <w:pPr>
        <w:pStyle w:val="ListBullet"/>
        <w:spacing w:after="40"/>
      </w:pPr>
      <w:r>
        <w:t>No AI sparkle icons, cyberpunk styling, gratuitous gradients, decorative metrics, or chatbot-first UI.</w:t>
      </w:r>
    </w:p>
    <w:p>
      <w:pPr>
        <w:pStyle w:val="ListBullet"/>
        <w:spacing w:after="40"/>
      </w:pPr>
      <w:r>
        <w:t>WCAG AA minimum.</w:t>
      </w:r>
    </w:p>
    <w:p>
      <w:pPr>
        <w:pStyle w:val="Heading1"/>
      </w:pPr>
      <w:r>
        <w:t>20. AI Generation Rules</w:t>
      </w:r>
    </w:p>
    <w:p>
      <w:pPr>
        <w:pStyle w:val="ListBullet"/>
        <w:spacing w:after="40"/>
      </w:pPr>
      <w:r>
        <w:t>Professional, decisive, plainspoken, specific, practical.</w:t>
      </w:r>
    </w:p>
    <w:p>
      <w:pPr>
        <w:pStyle w:val="ListBullet"/>
        <w:spacing w:after="40"/>
      </w:pPr>
      <w:r>
        <w:t>No marketing clichés, fear tactics, unsupported certainty, or consultant filler.</w:t>
      </w:r>
    </w:p>
    <w:p>
      <w:pPr>
        <w:pStyle w:val="ListBullet"/>
        <w:spacing w:after="40"/>
      </w:pPr>
      <w:r>
        <w:t>State uncertainty explicitly when evidence is incomplete.</w:t>
      </w:r>
    </w:p>
    <w:p>
      <w:pPr>
        <w:pStyle w:val="ListBullet"/>
        <w:spacing w:after="40"/>
      </w:pPr>
      <w:r>
        <w:t>No invented revenue, traffic, lead volume, conversion rate, testimonials, integrations, team size, or sales process.</w:t>
      </w:r>
    </w:p>
    <w:p>
      <w:pPr>
        <w:pStyle w:val="ListBullet"/>
        <w:spacing w:after="40"/>
      </w:pPr>
      <w:r>
        <w:t>Causal claims require appropriate evidence. Otherwise use correlation or scenario language.</w:t>
      </w:r>
    </w:p>
    <w:p>
      <w:pPr>
        <w:pStyle w:val="ListBullet"/>
        <w:spacing w:after="40"/>
      </w:pPr>
      <w:r>
        <w:t>Generated outputs must resolve into editable structured fields.</w:t>
      </w:r>
    </w:p>
    <w:p>
      <w:pPr>
        <w:pStyle w:val="Heading2"/>
      </w:pPr>
      <w:r>
        <w:t>Approved outcome labels</w:t>
      </w:r>
    </w:p>
    <w:p>
      <w:pPr>
        <w:pStyle w:val="ListBullet"/>
        <w:spacing w:after="40"/>
      </w:pPr>
      <w:r>
        <w:t>Analyze Evidence</w:t>
      </w:r>
    </w:p>
    <w:p>
      <w:pPr>
        <w:pStyle w:val="ListBullet"/>
        <w:spacing w:after="40"/>
      </w:pPr>
      <w:r>
        <w:t>Generate Diagnosis</w:t>
      </w:r>
    </w:p>
    <w:p>
      <w:pPr>
        <w:pStyle w:val="ListBullet"/>
        <w:spacing w:after="40"/>
      </w:pPr>
      <w:r>
        <w:t>Generate Priority Plan</w:t>
      </w:r>
    </w:p>
    <w:p>
      <w:pPr>
        <w:pStyle w:val="ListBullet"/>
        <w:spacing w:after="40"/>
      </w:pPr>
      <w:r>
        <w:t>Prepare Prescription</w:t>
      </w:r>
    </w:p>
    <w:p>
      <w:pPr>
        <w:pStyle w:val="ListBullet"/>
        <w:spacing w:after="40"/>
      </w:pPr>
      <w:r>
        <w:t>Prepare Strategy Call</w:t>
      </w:r>
    </w:p>
    <w:p>
      <w:pPr>
        <w:pStyle w:val="ListBullet"/>
        <w:spacing w:after="40"/>
      </w:pPr>
      <w:r>
        <w:t>Generate Client Report</w:t>
      </w:r>
    </w:p>
    <w:p>
      <w:pPr>
        <w:pStyle w:val="ListBullet"/>
        <w:spacing w:after="40"/>
      </w:pPr>
      <w:r>
        <w:t>Run QA</w:t>
      </w:r>
    </w:p>
    <w:p>
      <w:pPr>
        <w:pStyle w:val="ListBullet"/>
        <w:spacing w:after="40"/>
      </w:pPr>
      <w:r>
        <w:t>Activate Install</w:t>
      </w:r>
    </w:p>
    <w:p>
      <w:pPr>
        <w:pStyle w:val="ListBullet"/>
        <w:spacing w:after="40"/>
      </w:pPr>
      <w:r>
        <w:t>Update Outcome</w:t>
      </w:r>
    </w:p>
    <w:p>
      <w:pPr>
        <w:pStyle w:val="ListBullet"/>
        <w:spacing w:after="40"/>
      </w:pPr>
      <w:r>
        <w:t>Generate Optimization Plan</w:t>
      </w:r>
    </w:p>
    <w:p>
      <w:pPr>
        <w:pStyle w:val="Heading2"/>
      </w:pPr>
      <w:r>
        <w:t>Avoid</w:t>
      </w:r>
    </w:p>
    <w:p>
      <w:pPr>
        <w:pStyle w:val="ListBullet"/>
        <w:spacing w:after="40"/>
      </w:pPr>
      <w:r>
        <w:t>Ask AI</w:t>
      </w:r>
    </w:p>
    <w:p>
      <w:pPr>
        <w:pStyle w:val="ListBullet"/>
        <w:spacing w:after="40"/>
      </w:pPr>
      <w:r>
        <w:t>Chat With AI</w:t>
      </w:r>
    </w:p>
    <w:p>
      <w:pPr>
        <w:pStyle w:val="ListBullet"/>
        <w:spacing w:after="40"/>
      </w:pPr>
      <w:r>
        <w:t>GPT Analysis</w:t>
      </w:r>
    </w:p>
    <w:p>
      <w:pPr>
        <w:pStyle w:val="ListBullet"/>
        <w:spacing w:after="40"/>
      </w:pPr>
      <w:r>
        <w:t>Magic Recommendation</w:t>
      </w:r>
    </w:p>
    <w:p>
      <w:pPr>
        <w:pStyle w:val="ListBullet"/>
        <w:spacing w:after="40"/>
      </w:pPr>
      <w:r>
        <w:t>Instant Growth Score</w:t>
      </w:r>
    </w:p>
    <w:p>
      <w:pPr>
        <w:pStyle w:val="Heading1"/>
      </w:pPr>
      <w:r>
        <w:t>21. QA Gates</w:t>
      </w:r>
    </w:p>
    <w:p>
      <w:pPr>
        <w:pStyle w:val="Heading2"/>
      </w:pPr>
      <w:r>
        <w:t>Diagnostic QA</w:t>
      </w:r>
    </w:p>
    <w:p>
      <w:pPr>
        <w:pStyle w:val="ListBullet"/>
        <w:spacing w:after="40"/>
      </w:pPr>
      <w:r>
        <w:t>Required intake complete.</w:t>
      </w:r>
    </w:p>
    <w:p>
      <w:pPr>
        <w:pStyle w:val="ListBullet"/>
        <w:spacing w:after="40"/>
      </w:pPr>
      <w:r>
        <w:t>Five diagnostic zones complete.</w:t>
      </w:r>
    </w:p>
    <w:p>
      <w:pPr>
        <w:pStyle w:val="ListBullet"/>
        <w:spacing w:after="40"/>
      </w:pPr>
      <w:r>
        <w:t>15 diagnostic sections complete.</w:t>
      </w:r>
    </w:p>
    <w:p>
      <w:pPr>
        <w:pStyle w:val="ListBullet"/>
        <w:spacing w:after="40"/>
      </w:pPr>
      <w:r>
        <w:t>Scorecard complete.</w:t>
      </w:r>
    </w:p>
    <w:p>
      <w:pPr>
        <w:pStyle w:val="ListBullet"/>
        <w:spacing w:after="40"/>
      </w:pPr>
      <w:r>
        <w:t>Claims linked to evidence.</w:t>
      </w:r>
    </w:p>
    <w:p>
      <w:pPr>
        <w:pStyle w:val="ListBullet"/>
        <w:spacing w:after="40"/>
      </w:pPr>
      <w:r>
        <w:t>No fabricated metrics.</w:t>
      </w:r>
    </w:p>
    <w:p>
      <w:pPr>
        <w:pStyle w:val="ListBullet"/>
        <w:spacing w:after="40"/>
      </w:pPr>
      <w:r>
        <w:t>Scenario assumptions labeled.</w:t>
      </w:r>
    </w:p>
    <w:p>
      <w:pPr>
        <w:pStyle w:val="ListBullet"/>
        <w:spacing w:after="40"/>
      </w:pPr>
      <w:r>
        <w:t>Priority plan present.</w:t>
      </w:r>
    </w:p>
    <w:p>
      <w:pPr>
        <w:pStyle w:val="ListBullet"/>
        <w:spacing w:after="40"/>
      </w:pPr>
      <w:r>
        <w:t>Prescription evidence mapping present.</w:t>
      </w:r>
    </w:p>
    <w:p>
      <w:pPr>
        <w:pStyle w:val="ListBullet"/>
        <w:spacing w:after="40"/>
      </w:pPr>
      <w:r>
        <w:t>Client report complete.</w:t>
      </w:r>
    </w:p>
    <w:p>
      <w:pPr>
        <w:pStyle w:val="Heading2"/>
      </w:pPr>
      <w:r>
        <w:t>Commercial QA</w:t>
      </w:r>
    </w:p>
    <w:p>
      <w:pPr>
        <w:pStyle w:val="ListBullet"/>
        <w:spacing w:after="40"/>
      </w:pPr>
      <w:r>
        <w:t>Decision-maker / authority status recorded.</w:t>
      </w:r>
    </w:p>
    <w:p>
      <w:pPr>
        <w:pStyle w:val="ListBullet"/>
        <w:spacing w:after="40"/>
      </w:pPr>
      <w:r>
        <w:t>Prescription scope and out-of-scope clear.</w:t>
      </w:r>
    </w:p>
    <w:p>
      <w:pPr>
        <w:pStyle w:val="ListBullet"/>
        <w:spacing w:after="40"/>
      </w:pPr>
      <w:r>
        <w:t>Proposal matches approved prescription.</w:t>
      </w:r>
    </w:p>
    <w:p>
      <w:pPr>
        <w:pStyle w:val="ListBullet"/>
        <w:spacing w:after="40"/>
      </w:pPr>
      <w:r>
        <w:t>No unapproved custom scope.</w:t>
      </w:r>
    </w:p>
    <w:p>
      <w:pPr>
        <w:pStyle w:val="ListBullet"/>
        <w:spacing w:after="40"/>
      </w:pPr>
      <w:r>
        <w:t>Decision state and next date recorded.</w:t>
      </w:r>
    </w:p>
    <w:p>
      <w:pPr>
        <w:pStyle w:val="Heading2"/>
      </w:pPr>
      <w:r>
        <w:t>Install QA</w:t>
      </w:r>
    </w:p>
    <w:p>
      <w:pPr>
        <w:pStyle w:val="ListBullet"/>
        <w:spacing w:after="40"/>
      </w:pPr>
      <w:r>
        <w:t>Baseline captured before launch where possible.</w:t>
      </w:r>
    </w:p>
    <w:p>
      <w:pPr>
        <w:pStyle w:val="ListBullet"/>
        <w:spacing w:after="40"/>
      </w:pPr>
      <w:r>
        <w:t>Purchased scope completed.</w:t>
      </w:r>
    </w:p>
    <w:p>
      <w:pPr>
        <w:pStyle w:val="ListBullet"/>
        <w:spacing w:after="40"/>
      </w:pPr>
      <w:r>
        <w:t>Critical flows tested.</w:t>
      </w:r>
    </w:p>
    <w:p>
      <w:pPr>
        <w:pStyle w:val="ListBullet"/>
        <w:spacing w:after="40"/>
      </w:pPr>
      <w:r>
        <w:t>Measurement hooks active.</w:t>
      </w:r>
    </w:p>
    <w:p>
      <w:pPr>
        <w:pStyle w:val="ListBullet"/>
        <w:spacing w:after="40"/>
      </w:pPr>
      <w:r>
        <w:t>Client handoff complete.</w:t>
      </w:r>
    </w:p>
    <w:p>
      <w:pPr>
        <w:pStyle w:val="ListBullet"/>
        <w:spacing w:after="40"/>
      </w:pPr>
      <w:r>
        <w:t>Optimization eligibility determined.</w:t>
      </w:r>
    </w:p>
    <w:p>
      <w:pPr>
        <w:pStyle w:val="Heading1"/>
      </w:pPr>
      <w:r>
        <w:t>22. Reports</w:t>
      </w:r>
    </w:p>
    <w:p>
      <w:pPr>
        <w:pStyle w:val="Heading2"/>
      </w:pPr>
      <w:r>
        <w:t>Client diagnostic report sequence</w:t>
      </w:r>
    </w:p>
    <w:p>
      <w:pPr>
        <w:pStyle w:val="ListNumber"/>
        <w:spacing w:after="40"/>
      </w:pPr>
      <w:r>
        <w:t>Cover.</w:t>
      </w:r>
    </w:p>
    <w:p>
      <w:pPr>
        <w:pStyle w:val="ListNumber"/>
        <w:spacing w:after="40"/>
      </w:pPr>
      <w:r>
        <w:t>Executive Diagnosis.</w:t>
      </w:r>
    </w:p>
    <w:p>
      <w:pPr>
        <w:pStyle w:val="ListNumber"/>
        <w:spacing w:after="40"/>
      </w:pPr>
      <w:r>
        <w:t>Revenue Spine Strength.</w:t>
      </w:r>
    </w:p>
    <w:p>
      <w:pPr>
        <w:pStyle w:val="ListNumber"/>
        <w:spacing w:after="40"/>
      </w:pPr>
      <w:r>
        <w:t>Five-Zone Scorecard.</w:t>
      </w:r>
    </w:p>
    <w:p>
      <w:pPr>
        <w:pStyle w:val="ListNumber"/>
        <w:spacing w:after="40"/>
      </w:pPr>
      <w:r>
        <w:t>Biggest Constraint / Revenue Leak.</w:t>
      </w:r>
    </w:p>
    <w:p>
      <w:pPr>
        <w:pStyle w:val="ListNumber"/>
        <w:spacing w:after="40"/>
      </w:pPr>
      <w:r>
        <w:t>Evidence.</w:t>
      </w:r>
    </w:p>
    <w:p>
      <w:pPr>
        <w:pStyle w:val="ListNumber"/>
        <w:spacing w:after="40"/>
      </w:pPr>
      <w:r>
        <w:t>Priority Problems.</w:t>
      </w:r>
    </w:p>
    <w:p>
      <w:pPr>
        <w:pStyle w:val="ListNumber"/>
        <w:spacing w:after="40"/>
      </w:pPr>
      <w:r>
        <w:t>Priority Fixes.</w:t>
      </w:r>
    </w:p>
    <w:p>
      <w:pPr>
        <w:pStyle w:val="ListNumber"/>
        <w:spacing w:after="40"/>
      </w:pPr>
      <w:r>
        <w:t>Recommended Intervention / Prescription.</w:t>
      </w:r>
    </w:p>
    <w:p>
      <w:pPr>
        <w:pStyle w:val="ListNumber"/>
        <w:spacing w:after="40"/>
      </w:pPr>
      <w:r>
        <w:t>Revenue Exposure Scenario if applicable.</w:t>
      </w:r>
    </w:p>
    <w:p>
      <w:pPr>
        <w:pStyle w:val="ListNumber"/>
        <w:spacing w:after="40"/>
      </w:pPr>
      <w:r>
        <w:t>Implementation Plan.</w:t>
      </w:r>
    </w:p>
    <w:p>
      <w:pPr>
        <w:pStyle w:val="ListNumber"/>
        <w:spacing w:after="40"/>
      </w:pPr>
      <w:r>
        <w:t>Measurement Plan.</w:t>
      </w:r>
    </w:p>
    <w:p>
      <w:pPr>
        <w:pStyle w:val="ListNumber"/>
        <w:spacing w:after="40"/>
      </w:pPr>
      <w:r>
        <w:t>Next Decision.</w:t>
      </w:r>
    </w:p>
    <w:p>
      <w:pPr>
        <w:pStyle w:val="Heading2"/>
      </w:pPr>
      <w:r>
        <w:t>Formats</w:t>
      </w:r>
    </w:p>
    <w:p>
      <w:pPr>
        <w:pStyle w:val="ListBullet"/>
        <w:spacing w:after="40"/>
      </w:pPr>
      <w:r>
        <w:t>Private web report</w:t>
      </w:r>
    </w:p>
    <w:p>
      <w:pPr>
        <w:pStyle w:val="ListBullet"/>
        <w:spacing w:after="40"/>
      </w:pPr>
      <w:r>
        <w:t>PDF export</w:t>
      </w:r>
    </w:p>
    <w:p>
      <w:pPr>
        <w:pStyle w:val="ListBullet"/>
        <w:spacing w:after="40"/>
      </w:pPr>
      <w:r>
        <w:t>DOCX export if operationally useful</w:t>
      </w:r>
    </w:p>
    <w:p>
      <w:r>
        <w:t>All formats derive from the same structured source data. Do not maintain separate diagnostic content per format.</w:t>
      </w:r>
    </w:p>
    <w:p>
      <w:pPr>
        <w:pStyle w:val="Heading1"/>
      </w:pPr>
      <w:r>
        <w:t>23. MVP Sequence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728"/>
            <w:shd w:fill="171717"/>
            <w:vAlign w:val="center"/>
          </w:tcPr>
          <w:p>
            <w:pPr>
              <w:jc w:val="left"/>
            </w:pPr>
            <w:r>
              <w:rPr>
                <w:b/>
                <w:color w:val="FFFFFF"/>
                <w:sz w:val="17"/>
              </w:rPr>
              <w:t>Phase</w:t>
            </w:r>
          </w:p>
        </w:tc>
        <w:tc>
          <w:tcPr>
            <w:tcW w:type="dxa" w:w="8064"/>
            <w:shd w:fill="171717"/>
            <w:vAlign w:val="center"/>
          </w:tcPr>
          <w:p>
            <w:pPr>
              <w:jc w:val="left"/>
            </w:pPr>
            <w:r>
              <w:rPr>
                <w:b/>
                <w:color w:val="FFFFFF"/>
                <w:sz w:val="17"/>
              </w:rPr>
              <w:t>Build</w:t>
            </w:r>
          </w:p>
        </w:tc>
      </w:tr>
      <w:tr>
        <w:tc>
          <w:tcPr>
            <w:tcW w:type="dxa" w:w="1728"/>
            <w:vAlign w:val="top"/>
          </w:tcPr>
          <w:p>
            <w:pPr>
              <w:spacing w:after="20"/>
            </w:pPr>
            <w:r>
              <w:rPr>
                <w:sz w:val="16"/>
              </w:rPr>
              <w:t>MVP 1</w:t>
            </w:r>
          </w:p>
        </w:tc>
        <w:tc>
          <w:tcPr>
            <w:tcW w:type="dxa" w:w="8064"/>
            <w:vAlign w:val="top"/>
          </w:tcPr>
          <w:p>
            <w:pPr>
              <w:spacing w:after="20"/>
            </w:pPr>
            <w:r>
              <w:rPr>
                <w:sz w:val="16"/>
              </w:rPr>
              <w:t>Command, Client/Opportunity, Diagnostic, Evidence, Scoring, QA, Report</w:t>
            </w:r>
          </w:p>
        </w:tc>
      </w:tr>
      <w:tr>
        <w:tc>
          <w:tcPr>
            <w:tcW w:type="dxa" w:w="1728"/>
            <w:vAlign w:val="top"/>
            <w:shd w:fill="F2F2F0"/>
          </w:tcPr>
          <w:p>
            <w:pPr>
              <w:spacing w:after="20"/>
            </w:pPr>
            <w:r>
              <w:rPr>
                <w:sz w:val="16"/>
              </w:rPr>
              <w:t>MVP 2</w:t>
            </w:r>
          </w:p>
        </w:tc>
        <w:tc>
          <w:tcPr>
            <w:tcW w:type="dxa" w:w="8064"/>
            <w:vAlign w:val="top"/>
            <w:shd w:fill="F2F2F0"/>
          </w:tcPr>
          <w:p>
            <w:pPr>
              <w:spacing w:after="20"/>
            </w:pPr>
            <w:r>
              <w:rPr>
                <w:sz w:val="16"/>
              </w:rPr>
              <w:t>Intervention Library, Prescription, Strategy Call, Sales State Machine, Proposal metadata</w:t>
            </w:r>
          </w:p>
        </w:tc>
      </w:tr>
      <w:tr>
        <w:tc>
          <w:tcPr>
            <w:tcW w:type="dxa" w:w="1728"/>
            <w:vAlign w:val="top"/>
          </w:tcPr>
          <w:p>
            <w:pPr>
              <w:spacing w:after="20"/>
            </w:pPr>
            <w:r>
              <w:rPr>
                <w:sz w:val="16"/>
              </w:rPr>
              <w:t>MVP 3</w:t>
            </w:r>
          </w:p>
        </w:tc>
        <w:tc>
          <w:tcPr>
            <w:tcW w:type="dxa" w:w="8064"/>
            <w:vAlign w:val="top"/>
          </w:tcPr>
          <w:p>
            <w:pPr>
              <w:spacing w:after="20"/>
            </w:pPr>
            <w:r>
              <w:rPr>
                <w:sz w:val="16"/>
              </w:rPr>
              <w:t>Install conversion, baseline/outcome records, Optimization cycles</w:t>
            </w:r>
          </w:p>
        </w:tc>
      </w:tr>
      <w:tr>
        <w:tc>
          <w:tcPr>
            <w:tcW w:type="dxa" w:w="1728"/>
            <w:vAlign w:val="top"/>
            <w:shd w:fill="F2F2F0"/>
          </w:tcPr>
          <w:p>
            <w:pPr>
              <w:spacing w:after="20"/>
            </w:pPr>
            <w:r>
              <w:rPr>
                <w:sz w:val="16"/>
              </w:rPr>
              <w:t>MVP 4</w:t>
            </w:r>
          </w:p>
        </w:tc>
        <w:tc>
          <w:tcPr>
            <w:tcW w:type="dxa" w:w="8064"/>
            <w:vAlign w:val="top"/>
            <w:shd w:fill="F2F2F0"/>
          </w:tcPr>
          <w:p>
            <w:pPr>
              <w:spacing w:after="20"/>
            </w:pPr>
            <w:r>
              <w:rPr>
                <w:sz w:val="16"/>
              </w:rPr>
              <w:t>Market Intelligence, Blue Ocean tests, benchmark and objection intelligence</w:t>
            </w:r>
          </w:p>
        </w:tc>
      </w:tr>
      <w:tr>
        <w:tc>
          <w:tcPr>
            <w:tcW w:type="dxa" w:w="1728"/>
            <w:vAlign w:val="top"/>
          </w:tcPr>
          <w:p>
            <w:pPr>
              <w:spacing w:after="20"/>
            </w:pPr>
            <w:r>
              <w:rPr>
                <w:sz w:val="16"/>
              </w:rPr>
              <w:t>Later</w:t>
            </w:r>
          </w:p>
        </w:tc>
        <w:tc>
          <w:tcPr>
            <w:tcW w:type="dxa" w:w="8064"/>
            <w:vAlign w:val="top"/>
          </w:tcPr>
          <w:p>
            <w:pPr>
              <w:spacing w:after="20"/>
            </w:pPr>
            <w:r>
              <w:rPr>
                <w:sz w:val="16"/>
              </w:rPr>
              <w:t>Selective integrations, external operator licensing, multi-tenant SaaS capabilities</w:t>
            </w:r>
          </w:p>
        </w:tc>
      </w:tr>
    </w:tbl>
    <w:p/>
    <w:p>
      <w:pPr>
        <w:pStyle w:val="Heading1"/>
      </w:pPr>
      <w:r>
        <w:t>24. Do Not Build Yet</w:t>
      </w:r>
    </w:p>
    <w:p>
      <w:pPr>
        <w:pStyle w:val="ListBullet"/>
        <w:spacing w:after="40"/>
      </w:pPr>
      <w:r>
        <w:t>Full accounting or invoicing suite.</w:t>
      </w:r>
    </w:p>
    <w:p>
      <w:pPr>
        <w:pStyle w:val="ListBullet"/>
        <w:spacing w:after="40"/>
      </w:pPr>
      <w:r>
        <w:t>General-purpose CRM replacement.</w:t>
      </w:r>
    </w:p>
    <w:p>
      <w:pPr>
        <w:pStyle w:val="ListBullet"/>
        <w:spacing w:after="40"/>
      </w:pPr>
      <w:r>
        <w:t>Full project-management replacement.</w:t>
      </w:r>
    </w:p>
    <w:p>
      <w:pPr>
        <w:pStyle w:val="ListBullet"/>
        <w:spacing w:after="40"/>
      </w:pPr>
      <w:r>
        <w:t>Social scheduler.</w:t>
      </w:r>
    </w:p>
    <w:p>
      <w:pPr>
        <w:pStyle w:val="ListBullet"/>
        <w:spacing w:after="40"/>
      </w:pPr>
      <w:r>
        <w:t>Community platform.</w:t>
      </w:r>
    </w:p>
    <w:p>
      <w:pPr>
        <w:pStyle w:val="ListBullet"/>
        <w:spacing w:after="40"/>
      </w:pPr>
      <w:r>
        <w:t>Course LMS.</w:t>
      </w:r>
    </w:p>
    <w:p>
      <w:pPr>
        <w:pStyle w:val="ListBullet"/>
        <w:spacing w:after="40"/>
      </w:pPr>
      <w:r>
        <w:t>Complex marketing automation builder.</w:t>
      </w:r>
    </w:p>
    <w:p>
      <w:pPr>
        <w:pStyle w:val="ListBullet"/>
        <w:spacing w:after="40"/>
      </w:pPr>
      <w:r>
        <w:t>Autonomous offer creation without human validation.</w:t>
      </w:r>
    </w:p>
    <w:p>
      <w:pPr>
        <w:pStyle w:val="ListBullet"/>
        <w:spacing w:after="40"/>
      </w:pPr>
      <w:r>
        <w:t>Client-facing raw AI chat.</w:t>
      </w:r>
    </w:p>
    <w:p>
      <w:pPr>
        <w:pStyle w:val="Heading1"/>
      </w:pPr>
      <w:r>
        <w:t>25. Product Success Test</w:t>
      </w:r>
    </w:p>
    <w:tbl>
      <w:tblPr>
        <w:tblW w:type="auto" w:w="0"/>
        <w:jc w:val="center"/>
        <w:tblLook w:firstColumn="1" w:firstRow="1" w:lastColumn="0" w:lastRow="0" w:noHBand="0" w:noVBand="1" w:val="04A0"/>
      </w:tblPr>
      <w:tblGrid>
        <w:gridCol w:w="10166"/>
      </w:tblGrid>
      <w:tr>
        <w:tc>
          <w:tcPr>
            <w:tcW w:type="dxa" w:w="10166"/>
            <w:shd w:fill="C91524"/>
            <w:tcBorders>
              <w:top w:sz="2" w:val="single" w:color="C91524"/>
              <w:left w:sz="18" w:val="single" w:color="FFFFFF"/>
              <w:bottom w:sz="2" w:val="single" w:color="C91524"/>
              <w:right w:sz="2" w:val="single" w:color="C91524"/>
            </w:tcBorders>
          </w:tcPr>
          <w:p>
            <w:pPr>
              <w:pStyle w:val="Callout"/>
            </w:pPr>
            <w:r>
              <w:rPr>
                <w:color w:val="FFFFFF"/>
                <w:sz w:val="17"/>
              </w:rPr>
              <w:t>V2 SUCCEEDS WHEN</w:t>
              <w:br/>
            </w:r>
            <w:r>
              <w:rPr>
                <w:color w:val="FFFFFF"/>
                <w:sz w:val="21"/>
              </w:rPr>
              <w:t>A qualified operator can move from revenue target and opportunity to evidence-backed diagnosis, prescription, commercial decision, install, outcome, and optimization with substantially less founder time, while every material claim remains auditable and every engagement improves the operating intelligence of RUN It BAC Media.</w:t>
            </w:r>
          </w:p>
        </w:tc>
      </w:tr>
    </w:tbl>
    <w:p/>
    <w:p>
      <w:pPr>
        <w:pStyle w:val="Heading1"/>
      </w:pPr>
      <w:r>
        <w:t>26. Build Priority When Choices Conflict</w:t>
      </w:r>
    </w:p>
    <w:p>
      <w:pPr>
        <w:pStyle w:val="ListNumber"/>
        <w:spacing w:after="40"/>
      </w:pPr>
      <w:r>
        <w:t>Accuracy.</w:t>
      </w:r>
    </w:p>
    <w:p>
      <w:pPr>
        <w:pStyle w:val="ListNumber"/>
        <w:spacing w:after="40"/>
      </w:pPr>
      <w:r>
        <w:t>Evidence integrity.</w:t>
      </w:r>
    </w:p>
    <w:p>
      <w:pPr>
        <w:pStyle w:val="ListNumber"/>
        <w:spacing w:after="40"/>
      </w:pPr>
      <w:r>
        <w:t>Commercial usefulness.</w:t>
      </w:r>
    </w:p>
    <w:p>
      <w:pPr>
        <w:pStyle w:val="ListNumber"/>
        <w:spacing w:after="40"/>
      </w:pPr>
      <w:r>
        <w:t>Operator speed.</w:t>
      </w:r>
    </w:p>
    <w:p>
      <w:pPr>
        <w:pStyle w:val="ListNumber"/>
        <w:spacing w:after="40"/>
      </w:pPr>
      <w:r>
        <w:t>Founder time reduction.</w:t>
      </w:r>
    </w:p>
    <w:p>
      <w:pPr>
        <w:pStyle w:val="ListNumber"/>
        <w:spacing w:after="40"/>
      </w:pPr>
      <w:r>
        <w:t>Client clarity.</w:t>
      </w:r>
    </w:p>
    <w:p>
      <w:pPr>
        <w:pStyle w:val="ListNumber"/>
        <w:spacing w:after="40"/>
      </w:pPr>
      <w:r>
        <w:t>Security and reproducibility.</w:t>
      </w:r>
    </w:p>
    <w:p>
      <w:pPr>
        <w:pStyle w:val="ListNumber"/>
        <w:spacing w:after="40"/>
      </w:pPr>
      <w:r>
        <w:t>Maintainability.</w:t>
      </w:r>
    </w:p>
    <w:p>
      <w:pPr>
        <w:pStyle w:val="ListNumber"/>
        <w:spacing w:after="40"/>
      </w:pPr>
      <w:r>
        <w:t>Visual polish.</w:t>
      </w:r>
    </w:p>
    <w:p>
      <w:pPr>
        <w:pStyle w:val="ListNumber"/>
        <w:spacing w:after="40"/>
      </w:pPr>
      <w:r>
        <w:t>Novel features.</w:t>
      </w:r>
    </w:p>
    <w:p>
      <w:pPr>
        <w:pStyle w:val="Heading1"/>
      </w:pPr>
      <w:r>
        <w:t>27. Final Directive</w:t>
      </w:r>
    </w:p>
    <w:p>
      <w:r>
        <w:t>Revenue Spine App OS must not merely produce reports. It must close the loop from target to evidence to decision to execution to measured learning. Build the commercial operating system that RUN It BAC can use internally first, contractors can operate second, and external organizations can license later only after the workflow is proven.</w:t>
      </w:r>
    </w:p>
    <w:p>
      <w:pPr>
        <w:pStyle w:val="Heading1"/>
      </w:pPr>
      <w:r>
        <w:t>28. Startup Validation and Confidence Engine</w:t>
      </w:r>
    </w:p>
    <w:p>
      <w:pPr>
        <w:pStyle w:val="Heading1"/>
      </w:pPr>
      <w:r>
        <w:t>Market Reality and Confidence Framework</w:t>
      </w:r>
    </w:p>
    <w:p>
      <w:r>
        <w:t>The 2026 market strengthens the case for Revenue Spine, but it does not justify assuming demand. Small businesses are under cost pressure and increasingly prioritize efficiency, stability, and deeper customer relationships. AI use is widespread, while scaled ROI remains uneven. The operating consequence is clear: RUN It BAC should sell measurable constraint removal, not abstract transformation or AI novelty.</w:t>
      </w:r>
    </w:p>
    <w:tbl>
      <w:tblPr>
        <w:tblStyle w:val="TableGrid"/>
        <w:tblW w:type="auto" w:w="0"/>
        <w:jc w:val="center"/>
        <w:tblLook w:firstColumn="1" w:firstRow="1" w:lastColumn="0" w:lastRow="0" w:noHBand="0" w:noVBand="1" w:val="04A0"/>
      </w:tblPr>
      <w:tblGrid>
        <w:gridCol w:w="5083"/>
        <w:gridCol w:w="5083"/>
      </w:tblGrid>
      <w:tr>
        <w:tc>
          <w:tcPr>
            <w:tcW w:type="dxa" w:w="4464"/>
            <w:shd w:fill="171717"/>
            <w:vAlign w:val="center"/>
          </w:tcPr>
          <w:p>
            <w:r>
              <w:rPr>
                <w:b/>
                <w:color w:val="FFFFFF"/>
                <w:sz w:val="17"/>
              </w:rPr>
              <w:t>2026 Signal</w:t>
            </w:r>
          </w:p>
        </w:tc>
        <w:tc>
          <w:tcPr>
            <w:tcW w:type="dxa" w:w="5328"/>
            <w:shd w:fill="171717"/>
            <w:vAlign w:val="center"/>
          </w:tcPr>
          <w:p>
            <w:r>
              <w:rPr>
                <w:b/>
                <w:color w:val="FFFFFF"/>
                <w:sz w:val="17"/>
              </w:rPr>
              <w:t>Implication for RUN It BAC</w:t>
            </w:r>
          </w:p>
        </w:tc>
      </w:tr>
      <w:tr>
        <w:tc>
          <w:tcPr>
            <w:tcW w:type="dxa" w:w="4464"/>
            <w:vAlign w:val="top"/>
          </w:tcPr>
          <w:p>
            <w:r>
              <w:rPr>
                <w:sz w:val="16"/>
              </w:rPr>
              <w:t>Small-business AI use is widespread, but many firms remain early in practical adoption.</w:t>
            </w:r>
          </w:p>
        </w:tc>
        <w:tc>
          <w:tcPr>
            <w:tcW w:type="dxa" w:w="5328"/>
            <w:vAlign w:val="top"/>
          </w:tcPr>
          <w:p>
            <w:r>
              <w:rPr>
                <w:sz w:val="16"/>
              </w:rPr>
              <w:t>Do not sell AI access. Sell one measurable workflow or revenue constraint solved.</w:t>
            </w:r>
          </w:p>
        </w:tc>
      </w:tr>
      <w:tr>
        <w:tc>
          <w:tcPr>
            <w:tcW w:type="dxa" w:w="4464"/>
            <w:vAlign w:val="top"/>
            <w:shd w:fill="F2F2F0"/>
          </w:tcPr>
          <w:p>
            <w:r>
              <w:rPr>
                <w:sz w:val="16"/>
              </w:rPr>
              <w:t>Cost, unclear ROI, fragmented data, and workforce readiness are major blockers.</w:t>
            </w:r>
          </w:p>
        </w:tc>
        <w:tc>
          <w:tcPr>
            <w:tcW w:type="dxa" w:w="5328"/>
            <w:vAlign w:val="top"/>
            <w:shd w:fill="F2F2F0"/>
          </w:tcPr>
          <w:p>
            <w:r>
              <w:rPr>
                <w:sz w:val="16"/>
              </w:rPr>
              <w:t>Start with bounded interventions, explicit baselines, and human-in-the-loop adoption.</w:t>
            </w:r>
          </w:p>
        </w:tc>
      </w:tr>
      <w:tr>
        <w:tc>
          <w:tcPr>
            <w:tcW w:type="dxa" w:w="4464"/>
            <w:vAlign w:val="top"/>
          </w:tcPr>
          <w:p>
            <w:r>
              <w:rPr>
                <w:sz w:val="16"/>
              </w:rPr>
              <w:t>Small businesses face high prices and are cautious about expansion and capital spending.</w:t>
            </w:r>
          </w:p>
        </w:tc>
        <w:tc>
          <w:tcPr>
            <w:tcW w:type="dxa" w:w="5328"/>
            <w:vAlign w:val="top"/>
          </w:tcPr>
          <w:p>
            <w:r>
              <w:rPr>
                <w:sz w:val="16"/>
              </w:rPr>
              <w:t>Reduce upfront scope; use fast payback logic and staged expansion after proof.</w:t>
            </w:r>
          </w:p>
        </w:tc>
      </w:tr>
      <w:tr>
        <w:tc>
          <w:tcPr>
            <w:tcW w:type="dxa" w:w="4464"/>
            <w:vAlign w:val="top"/>
            <w:shd w:fill="F2F2F0"/>
          </w:tcPr>
          <w:p>
            <w:r>
              <w:rPr>
                <w:sz w:val="16"/>
              </w:rPr>
              <w:t>Businesses increasingly want stability and stronger customer relationships.</w:t>
            </w:r>
          </w:p>
        </w:tc>
        <w:tc>
          <w:tcPr>
            <w:tcW w:type="dxa" w:w="5328"/>
            <w:vAlign w:val="top"/>
            <w:shd w:fill="F2F2F0"/>
          </w:tcPr>
          <w:p>
            <w:r>
              <w:rPr>
                <w:sz w:val="16"/>
              </w:rPr>
              <w:t>Emphasize conversion, retention, response, follow-up, and operational reliability.</w:t>
            </w:r>
          </w:p>
        </w:tc>
      </w:tr>
      <w:tr>
        <w:tc>
          <w:tcPr>
            <w:tcW w:type="dxa" w:w="4464"/>
            <w:vAlign w:val="top"/>
          </w:tcPr>
          <w:p>
            <w:r>
              <w:rPr>
                <w:sz w:val="16"/>
              </w:rPr>
              <w:t>Enterprise AI use is broad, but most organizations are not yet scaling AI deeply into workflows.</w:t>
            </w:r>
          </w:p>
        </w:tc>
        <w:tc>
          <w:tcPr>
            <w:tcW w:type="dxa" w:w="5328"/>
            <w:vAlign w:val="top"/>
          </w:tcPr>
          <w:p>
            <w:r>
              <w:rPr>
                <w:sz w:val="16"/>
              </w:rPr>
              <w:t>Revenue Spine's workflow diagnosis + implementation layer is more defensible than generic AI consulting.</w:t>
            </w:r>
          </w:p>
        </w:tc>
      </w:tr>
    </w:tbl>
    <w:p/>
    <w:tbl>
      <w:tblPr>
        <w:tblW w:type="auto" w:w="0"/>
        <w:jc w:val="center"/>
        <w:tblLook w:firstColumn="1" w:firstRow="1" w:lastColumn="0" w:lastRow="0" w:noHBand="0" w:noVBand="1" w:val="04A0"/>
      </w:tblPr>
      <w:tblGrid>
        <w:gridCol w:w="10166"/>
      </w:tblGrid>
      <w:tr>
        <w:tc>
          <w:tcPr>
            <w:tcW w:type="dxa" w:w="10166"/>
            <w:shd w:fill="171717"/>
            <w:tcBorders>
              <w:left w:val="single" w:sz="18" w:color="D9A514"/>
              <w:top w:val="single" w:sz="2" w:color="171717"/>
              <w:bottom w:val="single" w:sz="2" w:color="171717"/>
              <w:right w:val="single" w:sz="2" w:color="171717"/>
            </w:tcBorders>
          </w:tcPr>
          <w:p>
            <w:r>
              <w:rPr>
                <w:b/>
                <w:color w:val="D9A514"/>
                <w:sz w:val="17"/>
              </w:rPr>
              <w:t>CONFIDENCE RULE</w:t>
              <w:br/>
            </w:r>
            <w:r>
              <w:rPr>
                <w:color w:val="FFFFFF"/>
                <w:sz w:val="21"/>
              </w:rPr>
              <w:t>No artifact can make a startup 95% certain to produce revenue before the market validates willingness to pay, close rate, delivery margin, and retention. The objective is 95% confidence that the operating system will discover those answers quickly, protect cash, and scale only after evidence.</w:t>
            </w:r>
          </w:p>
        </w:tc>
      </w:tr>
    </w:tbl>
    <w:p/>
    <w:p>
      <w:pPr>
        <w:pStyle w:val="Heading2"/>
      </w:pPr>
      <w:r>
        <w:t>New Required Module: Validation</w:t>
      </w:r>
    </w:p>
    <w:p>
      <w:r>
        <w:t>Add a top-level Validation view or a clearly visible Command submodule. It prevents the product from confusing activity with market proof.</w:t>
      </w:r>
    </w:p>
    <w:tbl>
      <w:tblPr>
        <w:tblStyle w:val="TableGrid"/>
        <w:tblW w:type="auto" w:w="0"/>
        <w:jc w:val="center"/>
        <w:tblLook w:firstColumn="1" w:firstRow="1" w:lastColumn="0" w:lastRow="0" w:noHBand="0" w:noVBand="1" w:val="04A0"/>
      </w:tblPr>
      <w:tblGrid>
        <w:gridCol w:w="5083"/>
        <w:gridCol w:w="5083"/>
      </w:tblGrid>
      <w:tr>
        <w:tc>
          <w:tcPr>
            <w:tcW w:type="dxa" w:w="2016"/>
            <w:shd w:fill="171717"/>
            <w:vAlign w:val="center"/>
          </w:tcPr>
          <w:p>
            <w:r>
              <w:rPr>
                <w:b/>
                <w:color w:val="FFFFFF"/>
                <w:sz w:val="17"/>
              </w:rPr>
              <w:t>Object</w:t>
            </w:r>
          </w:p>
        </w:tc>
        <w:tc>
          <w:tcPr>
            <w:tcW w:type="dxa" w:w="7776"/>
            <w:shd w:fill="171717"/>
            <w:vAlign w:val="center"/>
          </w:tcPr>
          <w:p>
            <w:r>
              <w:rPr>
                <w:b/>
                <w:color w:val="FFFFFF"/>
                <w:sz w:val="17"/>
              </w:rPr>
              <w:t>Required Fields</w:t>
            </w:r>
          </w:p>
        </w:tc>
      </w:tr>
      <w:tr>
        <w:tc>
          <w:tcPr>
            <w:tcW w:type="dxa" w:w="2016"/>
            <w:vAlign w:val="top"/>
          </w:tcPr>
          <w:p>
            <w:r>
              <w:rPr>
                <w:sz w:val="16"/>
              </w:rPr>
              <w:t>Hypothesis</w:t>
            </w:r>
          </w:p>
        </w:tc>
        <w:tc>
          <w:tcPr>
            <w:tcW w:type="dxa" w:w="7776"/>
            <w:vAlign w:val="top"/>
          </w:tcPr>
          <w:p>
            <w:r>
              <w:rPr>
                <w:sz w:val="16"/>
              </w:rPr>
              <w:t>ICP, pain, offer, channel, price/scope, expected behavior</w:t>
            </w:r>
          </w:p>
        </w:tc>
      </w:tr>
      <w:tr>
        <w:tc>
          <w:tcPr>
            <w:tcW w:type="dxa" w:w="2016"/>
            <w:vAlign w:val="top"/>
            <w:shd w:fill="F2F2F0"/>
          </w:tcPr>
          <w:p>
            <w:r>
              <w:rPr>
                <w:sz w:val="16"/>
              </w:rPr>
              <w:t>Test</w:t>
            </w:r>
          </w:p>
        </w:tc>
        <w:tc>
          <w:tcPr>
            <w:tcW w:type="dxa" w:w="7776"/>
            <w:vAlign w:val="top"/>
            <w:shd w:fill="F2F2F0"/>
          </w:tcPr>
          <w:p>
            <w:r>
              <w:rPr>
                <w:sz w:val="16"/>
              </w:rPr>
              <w:t>start/end dates, sample size target, outreach count, conversations, commercial asks</w:t>
            </w:r>
          </w:p>
        </w:tc>
      </w:tr>
      <w:tr>
        <w:tc>
          <w:tcPr>
            <w:tcW w:type="dxa" w:w="2016"/>
            <w:vAlign w:val="top"/>
          </w:tcPr>
          <w:p>
            <w:r>
              <w:rPr>
                <w:sz w:val="16"/>
              </w:rPr>
              <w:t>Evidence</w:t>
            </w:r>
          </w:p>
        </w:tc>
        <w:tc>
          <w:tcPr>
            <w:tcW w:type="dxa" w:w="7776"/>
            <w:vAlign w:val="top"/>
          </w:tcPr>
          <w:p>
            <w:r>
              <w:rPr>
                <w:sz w:val="16"/>
              </w:rPr>
              <w:t>exact buyer language, outcome, objections, payment event, source</w:t>
            </w:r>
          </w:p>
        </w:tc>
      </w:tr>
      <w:tr>
        <w:tc>
          <w:tcPr>
            <w:tcW w:type="dxa" w:w="2016"/>
            <w:vAlign w:val="top"/>
            <w:shd w:fill="F2F2F0"/>
          </w:tcPr>
          <w:p>
            <w:r>
              <w:rPr>
                <w:sz w:val="16"/>
              </w:rPr>
              <w:t>Decision</w:t>
            </w:r>
          </w:p>
        </w:tc>
        <w:tc>
          <w:tcPr>
            <w:tcW w:type="dxa" w:w="7776"/>
            <w:vAlign w:val="top"/>
            <w:shd w:fill="F2F2F0"/>
          </w:tcPr>
          <w:p>
            <w:r>
              <w:rPr>
                <w:sz w:val="16"/>
              </w:rPr>
              <w:t>DOUBLE / TWEAK / PAUSE / KILL</w:t>
            </w:r>
          </w:p>
        </w:tc>
      </w:tr>
      <w:tr>
        <w:tc>
          <w:tcPr>
            <w:tcW w:type="dxa" w:w="2016"/>
            <w:vAlign w:val="top"/>
          </w:tcPr>
          <w:p>
            <w:r>
              <w:rPr>
                <w:sz w:val="16"/>
              </w:rPr>
              <w:t>Confidence</w:t>
            </w:r>
          </w:p>
        </w:tc>
        <w:tc>
          <w:tcPr>
            <w:tcW w:type="dxa" w:w="7776"/>
            <w:vAlign w:val="top"/>
          </w:tcPr>
          <w:p>
            <w:r>
              <w:rPr>
                <w:sz w:val="16"/>
              </w:rPr>
              <w:t>LOW / MEDIUM / HIGH based on defined evidence thresholds</w:t>
            </w:r>
          </w:p>
        </w:tc>
      </w:tr>
    </w:tbl>
    <w:p/>
    <w:p>
      <w:pPr>
        <w:pStyle w:val="Heading2"/>
      </w:pPr>
      <w:r>
        <w:t>Startup Wedge Configuration</w:t>
      </w:r>
    </w:p>
    <w:p>
      <w:pPr>
        <w:pStyle w:val="ListBullet"/>
        <w:spacing w:after="40"/>
      </w:pPr>
      <w:r>
        <w:t>Default primary edition for the first 90 days: Local/Professional Service Conversion Infrastructure.</w:t>
      </w:r>
    </w:p>
    <w:p>
      <w:pPr>
        <w:pStyle w:val="ListBullet"/>
        <w:spacing w:after="40"/>
      </w:pPr>
      <w:r>
        <w:t>Do not expose all future editions as equal priorities in the operator UI.</w:t>
      </w:r>
    </w:p>
    <w:p>
      <w:pPr>
        <w:pStyle w:val="ListBullet"/>
        <w:spacing w:after="40"/>
      </w:pPr>
      <w:r>
        <w:t>Allow Admin to mark offers as PRIMARY, TEST, POST-SALE, DEFERRED, or RETIRED.</w:t>
      </w:r>
    </w:p>
    <w:p>
      <w:pPr>
        <w:pStyle w:val="ListBullet"/>
        <w:spacing w:after="40"/>
      </w:pPr>
      <w:r>
        <w:t>Dashboard must highlight PRIMARY only unless the operator deliberately opens portfolio view.</w:t>
      </w:r>
    </w:p>
    <w:p>
      <w:pPr>
        <w:pStyle w:val="Heading2"/>
      </w:pPr>
      <w:r>
        <w:t>Lead Qualification Rules</w:t>
      </w:r>
    </w:p>
    <w:p>
      <w:pPr>
        <w:pStyle w:val="ListBullet"/>
        <w:spacing w:after="40"/>
      </w:pPr>
      <w:r>
        <w:t>Reject or defer prospects with no meaningful demand source when the proposed intervention is conversion infrastructure.</w:t>
      </w:r>
    </w:p>
    <w:p>
      <w:pPr>
        <w:pStyle w:val="ListBullet"/>
        <w:spacing w:after="40"/>
      </w:pPr>
      <w:r>
        <w:t>Capture approximate average transaction/client value as CLIENT-PROVIDED, never inferred.</w:t>
      </w:r>
    </w:p>
    <w:p>
      <w:pPr>
        <w:pStyle w:val="ListBullet"/>
        <w:spacing w:after="40"/>
      </w:pPr>
      <w:r>
        <w:t>Capture monthly inquiry/lead volume only when known.</w:t>
      </w:r>
    </w:p>
    <w:p>
      <w:pPr>
        <w:pStyle w:val="ListBullet"/>
        <w:spacing w:after="40"/>
      </w:pPr>
      <w:r>
        <w:t>Require authority/decision process before generating a commercial proposal.</w:t>
      </w:r>
    </w:p>
    <w:p>
      <w:pPr>
        <w:pStyle w:val="ListBullet"/>
        <w:spacing w:after="40"/>
      </w:pPr>
      <w:r>
        <w:t>Flag low-value, high-customization work before proposal generation.</w:t>
      </w:r>
    </w:p>
    <w:p>
      <w:pPr>
        <w:pStyle w:val="Heading2"/>
      </w:pPr>
      <w:r>
        <w:t>Unit Economics Guardrails</w:t>
      </w:r>
    </w:p>
    <w:p>
      <w:pPr>
        <w:pStyle w:val="ListBullet"/>
        <w:spacing w:after="40"/>
      </w:pPr>
      <w:r>
        <w:t>Store estimated delivery hours, contractor cost, software cost, payment processing cost, and gross contribution by engagement.</w:t>
      </w:r>
    </w:p>
    <w:p>
      <w:pPr>
        <w:pStyle w:val="ListBullet"/>
        <w:spacing w:after="40"/>
      </w:pPr>
      <w:r>
        <w:t>Calculate realized gross margin after closeout.</w:t>
      </w:r>
    </w:p>
    <w:p>
      <w:pPr>
        <w:pStyle w:val="ListBullet"/>
        <w:spacing w:after="40"/>
      </w:pPr>
      <w:r>
        <w:t>Compare founder-only hours against the target capacity budget.</w:t>
      </w:r>
    </w:p>
    <w:p>
      <w:pPr>
        <w:pStyle w:val="ListBullet"/>
        <w:spacing w:after="40"/>
      </w:pPr>
      <w:r>
        <w:t>Do not mark an offer 'scalable' until multiple completed engagements show repeatable positive economics.</w:t>
      </w:r>
    </w:p>
    <w:p>
      <w:pPr>
        <w:pStyle w:val="ListBullet"/>
        <w:spacing w:after="40"/>
      </w:pPr>
      <w:r>
        <w:t>Pricing recommendations must be based on stored economics and buyer evidence, not generic industry markups.</w:t>
      </w:r>
    </w:p>
    <w:p>
      <w:pPr>
        <w:pStyle w:val="Heading2"/>
      </w:pPr>
      <w:r>
        <w:t>Marketing Claim Registry</w:t>
      </w:r>
    </w:p>
    <w:tbl>
      <w:tblPr>
        <w:tblStyle w:val="TableGrid"/>
        <w:tblW w:type="auto" w:w="0"/>
        <w:jc w:val="center"/>
        <w:tblLook w:firstColumn="1" w:firstRow="1" w:lastColumn="0" w:lastRow="0" w:noHBand="0" w:noVBand="1" w:val="04A0"/>
      </w:tblPr>
      <w:tblGrid>
        <w:gridCol w:w="5083"/>
        <w:gridCol w:w="5083"/>
      </w:tblGrid>
      <w:tr>
        <w:tc>
          <w:tcPr>
            <w:tcW w:type="dxa" w:w="2016"/>
            <w:shd w:fill="171717"/>
            <w:vAlign w:val="center"/>
          </w:tcPr>
          <w:p>
            <w:r>
              <w:rPr>
                <w:b/>
                <w:color w:val="FFFFFF"/>
                <w:sz w:val="17"/>
              </w:rPr>
              <w:t>Field</w:t>
            </w:r>
          </w:p>
        </w:tc>
        <w:tc>
          <w:tcPr>
            <w:tcW w:type="dxa" w:w="7776"/>
            <w:shd w:fill="171717"/>
            <w:vAlign w:val="center"/>
          </w:tcPr>
          <w:p>
            <w:r>
              <w:rPr>
                <w:b/>
                <w:color w:val="FFFFFF"/>
                <w:sz w:val="17"/>
              </w:rPr>
              <w:t>Rule</w:t>
            </w:r>
          </w:p>
        </w:tc>
      </w:tr>
      <w:tr>
        <w:tc>
          <w:tcPr>
            <w:tcW w:type="dxa" w:w="2016"/>
            <w:vAlign w:val="top"/>
          </w:tcPr>
          <w:p>
            <w:r>
              <w:rPr>
                <w:sz w:val="16"/>
              </w:rPr>
              <w:t>Claim</w:t>
            </w:r>
          </w:p>
        </w:tc>
        <w:tc>
          <w:tcPr>
            <w:tcW w:type="dxa" w:w="7776"/>
            <w:vAlign w:val="top"/>
          </w:tcPr>
          <w:p>
            <w:r>
              <w:rPr>
                <w:sz w:val="16"/>
              </w:rPr>
              <w:t>Exact public statement</w:t>
            </w:r>
          </w:p>
        </w:tc>
      </w:tr>
      <w:tr>
        <w:tc>
          <w:tcPr>
            <w:tcW w:type="dxa" w:w="2016"/>
            <w:vAlign w:val="top"/>
            <w:shd w:fill="F2F2F0"/>
          </w:tcPr>
          <w:p>
            <w:r>
              <w:rPr>
                <w:sz w:val="16"/>
              </w:rPr>
              <w:t>Claim Type</w:t>
            </w:r>
          </w:p>
        </w:tc>
        <w:tc>
          <w:tcPr>
            <w:tcW w:type="dxa" w:w="7776"/>
            <w:vAlign w:val="top"/>
            <w:shd w:fill="F2F2F0"/>
          </w:tcPr>
          <w:p>
            <w:r>
              <w:rPr>
                <w:sz w:val="16"/>
              </w:rPr>
              <w:t>Outcome / average / margin / speed / testimonial / benchmark</w:t>
            </w:r>
          </w:p>
        </w:tc>
      </w:tr>
      <w:tr>
        <w:tc>
          <w:tcPr>
            <w:tcW w:type="dxa" w:w="2016"/>
            <w:vAlign w:val="top"/>
          </w:tcPr>
          <w:p>
            <w:r>
              <w:rPr>
                <w:sz w:val="16"/>
              </w:rPr>
              <w:t>Evidence IDs</w:t>
            </w:r>
          </w:p>
        </w:tc>
        <w:tc>
          <w:tcPr>
            <w:tcW w:type="dxa" w:w="7776"/>
            <w:vAlign w:val="top"/>
          </w:tcPr>
          <w:p>
            <w:r>
              <w:rPr>
                <w:sz w:val="16"/>
              </w:rPr>
              <w:t>Required for publication</w:t>
            </w:r>
          </w:p>
        </w:tc>
      </w:tr>
      <w:tr>
        <w:tc>
          <w:tcPr>
            <w:tcW w:type="dxa" w:w="2016"/>
            <w:vAlign w:val="top"/>
            <w:shd w:fill="F2F2F0"/>
          </w:tcPr>
          <w:p>
            <w:r>
              <w:rPr>
                <w:sz w:val="16"/>
              </w:rPr>
              <w:t>Cohort Definition</w:t>
            </w:r>
          </w:p>
        </w:tc>
        <w:tc>
          <w:tcPr>
            <w:tcW w:type="dxa" w:w="7776"/>
            <w:vAlign w:val="top"/>
            <w:shd w:fill="F2F2F0"/>
          </w:tcPr>
          <w:p>
            <w:r>
              <w:rPr>
                <w:sz w:val="16"/>
              </w:rPr>
              <w:t>Required for averages or percentages</w:t>
            </w:r>
          </w:p>
        </w:tc>
      </w:tr>
      <w:tr>
        <w:tc>
          <w:tcPr>
            <w:tcW w:type="dxa" w:w="2016"/>
            <w:vAlign w:val="top"/>
          </w:tcPr>
          <w:p>
            <w:r>
              <w:rPr>
                <w:sz w:val="16"/>
              </w:rPr>
              <w:t>Time Window</w:t>
            </w:r>
          </w:p>
        </w:tc>
        <w:tc>
          <w:tcPr>
            <w:tcW w:type="dxa" w:w="7776"/>
            <w:vAlign w:val="top"/>
          </w:tcPr>
          <w:p>
            <w:r>
              <w:rPr>
                <w:sz w:val="16"/>
              </w:rPr>
              <w:t>Required</w:t>
            </w:r>
          </w:p>
        </w:tc>
      </w:tr>
      <w:tr>
        <w:tc>
          <w:tcPr>
            <w:tcW w:type="dxa" w:w="2016"/>
            <w:vAlign w:val="top"/>
            <w:shd w:fill="F2F2F0"/>
          </w:tcPr>
          <w:p>
            <w:r>
              <w:rPr>
                <w:sz w:val="16"/>
              </w:rPr>
              <w:t>Calculation</w:t>
            </w:r>
          </w:p>
        </w:tc>
        <w:tc>
          <w:tcPr>
            <w:tcW w:type="dxa" w:w="7776"/>
            <w:vAlign w:val="top"/>
            <w:shd w:fill="F2F2F0"/>
          </w:tcPr>
          <w:p>
            <w:r>
              <w:rPr>
                <w:sz w:val="16"/>
              </w:rPr>
              <w:t>Reproducible formula</w:t>
            </w:r>
          </w:p>
        </w:tc>
      </w:tr>
      <w:tr>
        <w:tc>
          <w:tcPr>
            <w:tcW w:type="dxa" w:w="2016"/>
            <w:vAlign w:val="top"/>
          </w:tcPr>
          <w:p>
            <w:r>
              <w:rPr>
                <w:sz w:val="16"/>
              </w:rPr>
              <w:t>Approval</w:t>
            </w:r>
          </w:p>
        </w:tc>
        <w:tc>
          <w:tcPr>
            <w:tcW w:type="dxa" w:w="7776"/>
            <w:vAlign w:val="top"/>
          </w:tcPr>
          <w:p>
            <w:r>
              <w:rPr>
                <w:sz w:val="16"/>
              </w:rPr>
              <w:t>Admin / authorized operator</w:t>
            </w:r>
          </w:p>
        </w:tc>
      </w:tr>
      <w:tr>
        <w:tc>
          <w:tcPr>
            <w:tcW w:type="dxa" w:w="2016"/>
            <w:vAlign w:val="top"/>
            <w:shd w:fill="F2F2F0"/>
          </w:tcPr>
          <w:p>
            <w:r>
              <w:rPr>
                <w:sz w:val="16"/>
              </w:rPr>
              <w:t>Status</w:t>
            </w:r>
          </w:p>
        </w:tc>
        <w:tc>
          <w:tcPr>
            <w:tcW w:type="dxa" w:w="7776"/>
            <w:vAlign w:val="top"/>
            <w:shd w:fill="F2F2F0"/>
          </w:tcPr>
          <w:p>
            <w:r>
              <w:rPr>
                <w:sz w:val="16"/>
              </w:rPr>
              <w:t>DRAFT / VERIFIED / EXPIRED / BLOCKED</w:t>
            </w:r>
          </w:p>
        </w:tc>
      </w:tr>
    </w:tbl>
    <w:p/>
    <w:tbl>
      <w:tblPr>
        <w:tblW w:type="auto" w:w="0"/>
        <w:jc w:val="center"/>
        <w:tblLook w:firstColumn="1" w:firstRow="1" w:lastColumn="0" w:lastRow="0" w:noHBand="0" w:noVBand="1" w:val="04A0"/>
      </w:tblPr>
      <w:tblGrid>
        <w:gridCol w:w="10166"/>
      </w:tblGrid>
      <w:tr>
        <w:tc>
          <w:tcPr>
            <w:tcW w:type="dxa" w:w="10166"/>
            <w:shd w:fill="171717"/>
            <w:tcBorders>
              <w:left w:val="single" w:sz="18" w:color="D9A514"/>
              <w:top w:val="single" w:sz="2" w:color="171717"/>
              <w:bottom w:val="single" w:sz="2" w:color="171717"/>
              <w:right w:val="single" w:sz="2" w:color="171717"/>
            </w:tcBorders>
          </w:tcPr>
          <w:p>
            <w:r>
              <w:rPr>
                <w:b/>
                <w:color w:val="D9A514"/>
                <w:sz w:val="17"/>
              </w:rPr>
              <w:t>PUBLICATION LOCK</w:t>
              <w:br/>
            </w:r>
            <w:r>
              <w:rPr>
                <w:color w:val="FFFFFF"/>
                <w:sz w:val="21"/>
              </w:rPr>
              <w:t>The system must block or visibly warn against publishing quantitative claims without verified evidence records.</w:t>
            </w:r>
          </w:p>
        </w:tc>
      </w:tr>
    </w:tbl>
    <w:p/>
    <w:p>
      <w:pPr>
        <w:pStyle w:val="Heading2"/>
      </w:pPr>
      <w:r>
        <w:t>Confidence Scoring</w:t>
      </w:r>
    </w:p>
    <w:p>
      <w:r>
        <w:t>Do not calculate a fake single probability that the business will succeed. Instead score confidence by dimension: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160"/>
            <w:shd w:fill="171717"/>
            <w:vAlign w:val="center"/>
          </w:tcPr>
          <w:p>
            <w:r>
              <w:rPr>
                <w:b/>
                <w:color w:val="FFFFFF"/>
                <w:sz w:val="17"/>
              </w:rPr>
              <w:t>Dimension</w:t>
            </w:r>
          </w:p>
        </w:tc>
        <w:tc>
          <w:tcPr>
            <w:tcW w:type="dxa" w:w="2592"/>
            <w:shd w:fill="171717"/>
            <w:vAlign w:val="center"/>
          </w:tcPr>
          <w:p>
            <w:r>
              <w:rPr>
                <w:b/>
                <w:color w:val="FFFFFF"/>
                <w:sz w:val="17"/>
              </w:rPr>
              <w:t>LOW</w:t>
            </w:r>
          </w:p>
        </w:tc>
        <w:tc>
          <w:tcPr>
            <w:tcW w:type="dxa" w:w="3024"/>
            <w:shd w:fill="171717"/>
            <w:vAlign w:val="center"/>
          </w:tcPr>
          <w:p>
            <w:r>
              <w:rPr>
                <w:b/>
                <w:color w:val="FFFFFF"/>
                <w:sz w:val="17"/>
              </w:rPr>
              <w:t>MEDIUM</w:t>
            </w:r>
          </w:p>
        </w:tc>
        <w:tc>
          <w:tcPr>
            <w:tcW w:type="dxa" w:w="2880"/>
            <w:shd w:fill="171717"/>
            <w:vAlign w:val="center"/>
          </w:tcPr>
          <w:p>
            <w:r>
              <w:rPr>
                <w:b/>
                <w:color w:val="FFFFFF"/>
                <w:sz w:val="17"/>
              </w:rPr>
              <w:t>HIGH</w:t>
            </w:r>
          </w:p>
        </w:tc>
      </w:tr>
      <w:tr>
        <w:tc>
          <w:tcPr>
            <w:tcW w:type="dxa" w:w="2160"/>
            <w:vAlign w:val="top"/>
          </w:tcPr>
          <w:p>
            <w:r>
              <w:rPr>
                <w:sz w:val="16"/>
              </w:rPr>
              <w:t>Demand</w:t>
            </w:r>
          </w:p>
        </w:tc>
        <w:tc>
          <w:tcPr>
            <w:tcW w:type="dxa" w:w="2592"/>
            <w:vAlign w:val="top"/>
          </w:tcPr>
          <w:p>
            <w:r>
              <w:rPr>
                <w:sz w:val="16"/>
              </w:rPr>
              <w:t>&lt;3 qualified conversations</w:t>
            </w:r>
          </w:p>
        </w:tc>
        <w:tc>
          <w:tcPr>
            <w:tcW w:type="dxa" w:w="3024"/>
            <w:vAlign w:val="top"/>
          </w:tcPr>
          <w:p>
            <w:r>
              <w:rPr>
                <w:sz w:val="16"/>
              </w:rPr>
              <w:t>3-9 qualified conversations with repeated pain</w:t>
            </w:r>
          </w:p>
        </w:tc>
        <w:tc>
          <w:tcPr>
            <w:tcW w:type="dxa" w:w="2880"/>
            <w:vAlign w:val="top"/>
          </w:tcPr>
          <w:p>
            <w:r>
              <w:rPr>
                <w:sz w:val="16"/>
              </w:rPr>
              <w:t>10+ qualified conversations with repeated pain and commercial advancement</w:t>
            </w:r>
          </w:p>
        </w:tc>
      </w:tr>
      <w:tr>
        <w:tc>
          <w:tcPr>
            <w:tcW w:type="dxa" w:w="2160"/>
            <w:vAlign w:val="top"/>
            <w:shd w:fill="F2F2F0"/>
          </w:tcPr>
          <w:p>
            <w:r>
              <w:rPr>
                <w:sz w:val="16"/>
              </w:rPr>
              <w:t>Willingness to Pay</w:t>
            </w:r>
          </w:p>
        </w:tc>
        <w:tc>
          <w:tcPr>
            <w:tcW w:type="dxa" w:w="2592"/>
            <w:vAlign w:val="top"/>
            <w:shd w:fill="F2F2F0"/>
          </w:tcPr>
          <w:p>
            <w:r>
              <w:rPr>
                <w:sz w:val="16"/>
              </w:rPr>
              <w:t>No paid proof</w:t>
            </w:r>
          </w:p>
        </w:tc>
        <w:tc>
          <w:tcPr>
            <w:tcW w:type="dxa" w:w="3024"/>
            <w:vAlign w:val="top"/>
            <w:shd w:fill="F2F2F0"/>
          </w:tcPr>
          <w:p>
            <w:r>
              <w:rPr>
                <w:sz w:val="16"/>
              </w:rPr>
              <w:t>1 paid test</w:t>
            </w:r>
          </w:p>
        </w:tc>
        <w:tc>
          <w:tcPr>
            <w:tcW w:type="dxa" w:w="2880"/>
            <w:vAlign w:val="top"/>
            <w:shd w:fill="F2F2F0"/>
          </w:tcPr>
          <w:p>
            <w:r>
              <w:rPr>
                <w:sz w:val="16"/>
              </w:rPr>
              <w:t>3+ paid engagements at target scope/price</w:t>
            </w:r>
          </w:p>
        </w:tc>
      </w:tr>
      <w:tr>
        <w:tc>
          <w:tcPr>
            <w:tcW w:type="dxa" w:w="2160"/>
            <w:vAlign w:val="top"/>
          </w:tcPr>
          <w:p>
            <w:r>
              <w:rPr>
                <w:sz w:val="16"/>
              </w:rPr>
              <w:t>Delivery</w:t>
            </w:r>
          </w:p>
        </w:tc>
        <w:tc>
          <w:tcPr>
            <w:tcW w:type="dxa" w:w="2592"/>
            <w:vAlign w:val="top"/>
          </w:tcPr>
          <w:p>
            <w:r>
              <w:rPr>
                <w:sz w:val="16"/>
              </w:rPr>
              <w:t>Unbounded / founder-heavy</w:t>
            </w:r>
          </w:p>
        </w:tc>
        <w:tc>
          <w:tcPr>
            <w:tcW w:type="dxa" w:w="3024"/>
            <w:vAlign w:val="top"/>
          </w:tcPr>
          <w:p>
            <w:r>
              <w:rPr>
                <w:sz w:val="16"/>
              </w:rPr>
              <w:t>Delivered once with documented friction</w:t>
            </w:r>
          </w:p>
        </w:tc>
        <w:tc>
          <w:tcPr>
            <w:tcW w:type="dxa" w:w="2880"/>
            <w:vAlign w:val="top"/>
          </w:tcPr>
          <w:p>
            <w:r>
              <w:rPr>
                <w:sz w:val="16"/>
              </w:rPr>
              <w:t>3+ repeatable deliveries within target capacity</w:t>
            </w:r>
          </w:p>
        </w:tc>
      </w:tr>
      <w:tr>
        <w:tc>
          <w:tcPr>
            <w:tcW w:type="dxa" w:w="2160"/>
            <w:vAlign w:val="top"/>
            <w:shd w:fill="F2F2F0"/>
          </w:tcPr>
          <w:p>
            <w:r>
              <w:rPr>
                <w:sz w:val="16"/>
              </w:rPr>
              <w:t>Outcome</w:t>
            </w:r>
          </w:p>
        </w:tc>
        <w:tc>
          <w:tcPr>
            <w:tcW w:type="dxa" w:w="2592"/>
            <w:vAlign w:val="top"/>
            <w:shd w:fill="F2F2F0"/>
          </w:tcPr>
          <w:p>
            <w:r>
              <w:rPr>
                <w:sz w:val="16"/>
              </w:rPr>
              <w:t>No verified outcome</w:t>
            </w:r>
          </w:p>
        </w:tc>
        <w:tc>
          <w:tcPr>
            <w:tcW w:type="dxa" w:w="3024"/>
            <w:vAlign w:val="top"/>
            <w:shd w:fill="F2F2F0"/>
          </w:tcPr>
          <w:p>
            <w:r>
              <w:rPr>
                <w:sz w:val="16"/>
              </w:rPr>
              <w:t>1-2 verified outcomes</w:t>
            </w:r>
          </w:p>
        </w:tc>
        <w:tc>
          <w:tcPr>
            <w:tcW w:type="dxa" w:w="2880"/>
            <w:vAlign w:val="top"/>
            <w:shd w:fill="F2F2F0"/>
          </w:tcPr>
          <w:p>
            <w:r>
              <w:rPr>
                <w:sz w:val="16"/>
              </w:rPr>
              <w:t>3+ comparable verified outcomes</w:t>
            </w:r>
          </w:p>
        </w:tc>
      </w:tr>
      <w:tr>
        <w:tc>
          <w:tcPr>
            <w:tcW w:type="dxa" w:w="2160"/>
            <w:vAlign w:val="top"/>
          </w:tcPr>
          <w:p>
            <w:r>
              <w:rPr>
                <w:sz w:val="16"/>
              </w:rPr>
              <w:t>Recurring</w:t>
            </w:r>
          </w:p>
        </w:tc>
        <w:tc>
          <w:tcPr>
            <w:tcW w:type="dxa" w:w="2592"/>
            <w:vAlign w:val="top"/>
          </w:tcPr>
          <w:p>
            <w:r>
              <w:rPr>
                <w:sz w:val="16"/>
              </w:rPr>
              <w:t>No continuing job</w:t>
            </w:r>
          </w:p>
        </w:tc>
        <w:tc>
          <w:tcPr>
            <w:tcW w:type="dxa" w:w="3024"/>
            <w:vAlign w:val="top"/>
          </w:tcPr>
          <w:p>
            <w:r>
              <w:rPr>
                <w:sz w:val="16"/>
              </w:rPr>
              <w:t>One retained client</w:t>
            </w:r>
          </w:p>
        </w:tc>
        <w:tc>
          <w:tcPr>
            <w:tcW w:type="dxa" w:w="2880"/>
            <w:vAlign w:val="top"/>
          </w:tcPr>
          <w:p>
            <w:r>
              <w:rPr>
                <w:sz w:val="16"/>
              </w:rPr>
              <w:t>Multiple retained clients with explicit ongoing job</w:t>
            </w:r>
          </w:p>
        </w:tc>
      </w:tr>
    </w:tbl>
    <w:p/>
    <w:p>
      <w:pPr>
        <w:pStyle w:val="Heading2"/>
      </w:pPr>
      <w:r>
        <w:t>Blue Ocean Evidence Rules</w:t>
      </w:r>
    </w:p>
    <w:p>
      <w:pPr>
        <w:pStyle w:val="ListBullet"/>
        <w:spacing w:after="40"/>
      </w:pPr>
      <w:r>
        <w:t>Store competitor/category factors separately from RUN It BAC factors.</w:t>
      </w:r>
    </w:p>
    <w:p>
      <w:pPr>
        <w:pStyle w:val="ListBullet"/>
        <w:spacing w:after="40"/>
      </w:pPr>
      <w:r>
        <w:t>Record buyer reaction to each differentiation factor.</w:t>
      </w:r>
    </w:p>
    <w:p>
      <w:pPr>
        <w:pStyle w:val="ListBullet"/>
        <w:spacing w:after="40"/>
      </w:pPr>
      <w:r>
        <w:t>Do not mark an offer 'Blue Ocean Validated' until buyers demonstrate reduced price-only comparison or select RUN It BAC specifically for the created factors.</w:t>
      </w:r>
    </w:p>
    <w:p>
      <w:pPr>
        <w:pStyle w:val="ListBullet"/>
        <w:spacing w:after="40"/>
      </w:pPr>
      <w:r>
        <w:t>Every Blue Ocean hypothesis must have a test date, target sample, success threshold, and kill condition.</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 xml:space="preserve">PROPRIETARY WORKING DOCUMENT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left"/>
    </w:pPr>
    <w:r>
      <w:rPr>
        <w:b/>
        <w:color w:val="C91524"/>
      </w:rPr>
      <w:t>RUN IT BAC MEDIA  |  REVENUE SPINE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7" w:lineRule="auto"/>
    </w:pPr>
    <w:rPr>
      <w:rFonts w:ascii="Aptos" w:hAnsi="Aptos"/>
      <w:color w:val="1717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0A0A0A"/>
      <w:sz w:val="38"/>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ptos Display" w:hAnsi="Aptos Display"/>
      <w:b/>
      <w:bCs/>
      <w:color w:val="C91524"/>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D9A51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0A0A0A"/>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Display" w:hAnsi="Aptos Display"/>
      <w:b/>
      <w:i/>
      <w:iCs/>
      <w:color w:val="70707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keepNext/>
      <w:spacing w:after="120"/>
    </w:pPr>
    <w:rPr>
      <w:rFonts w:ascii="Aptos" w:hAnsi="Aptos"/>
      <w:b/>
      <w:color w:val="D9A514"/>
      <w:sz w:val="17"/>
    </w:rPr>
  </w:style>
  <w:style w:type="paragraph" w:customStyle="1" w:styleId="Callout">
    <w:name w:val="Callout"/>
    <w:pPr>
      <w:spacing w:after="0" w:line="252" w:lineRule="auto"/>
    </w:pPr>
    <w:rPr>
      <w:rFonts w:ascii="Aptos" w:hAnsi="Aptos"/>
      <w:b/>
      <w:color w:val="FFFFFF"/>
      <w:sz w:val="22"/>
    </w:rPr>
  </w:style>
  <w:style w:type="paragraph" w:customStyle="1" w:styleId="Small">
    <w:name w:val="Small"/>
    <w:pPr>
      <w:spacing w:after="60"/>
    </w:pPr>
    <w:rPr>
      <w:rFonts w:ascii="Aptos" w:hAnsi="Aptos"/>
      <w:color w:val="70707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