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5B158">
      <w:pPr>
        <w:jc w:val="right"/>
        <w:rPr>
          <w:sz w:val="24"/>
        </w:rPr>
      </w:pPr>
    </w:p>
    <w:p w14:paraId="351188D0">
      <w:pPr>
        <w:keepNext/>
        <w:pBdr>
          <w:bottom w:val="single" w:color="0B3D91" w:sz="18" w:space="4"/>
        </w:pBdr>
        <w:spacing w:before="360" w:after="80"/>
        <w:jc w:val="center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0B3D91"/>
          <w:sz w:val="40"/>
          <w:szCs w:val="28"/>
        </w:rPr>
        <w:t>Bitácora Científica: Oxidación de Estructuras Metálicas</w:t>
      </w:r>
    </w:p>
    <w:p w14:paraId="7B714605">
      <w:pPr>
        <w:keepNext/>
        <w:spacing w:before="20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/>
          <w:color w:val="2E4A6B"/>
          <w:sz w:val="26"/>
          <w:szCs w:val="28"/>
        </w:rPr>
        <w:t>Índice</w:t>
      </w:r>
    </w:p>
    <w:p w14:paraId="676DCA86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1. Introducción</w:t>
      </w:r>
    </w:p>
    <w:p w14:paraId="79FF529D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2. Desarrollo</w:t>
      </w:r>
    </w:p>
    <w:p w14:paraId="53114C5E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3. Evidencias</w:t>
      </w:r>
    </w:p>
    <w:p w14:paraId="546EF064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4. Referencias APA</w:t>
      </w:r>
    </w:p>
    <w:p w14:paraId="33F0F016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Introducción</w:t>
      </w:r>
    </w:p>
    <w:p w14:paraId="783B0A8A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La oxidación de estructuras metálicas es un proceso químico que ocurre cuando los metales reaccionan con el oxígeno y la humedad del ambiente. Este fenómeno provoca corrosión y debilita las estructuras con el tiempo.</w:t>
      </w:r>
    </w:p>
    <w:p w14:paraId="0629B25D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Desarrollo</w:t>
      </w:r>
    </w:p>
    <w:p w14:paraId="20D454A9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Durante la observación de estructuras metálicas se identificaron cambios en la superficie del metal, como manchas rojizas y pérdida de brillo. La oxidación es más frecuente en lugares húmedos o expuestos a la lluvia.</w:t>
      </w:r>
    </w:p>
    <w:p w14:paraId="2C785EA9">
      <w:pPr>
        <w:keepNext/>
        <w:spacing w:before="160" w:after="40"/>
        <w:jc w:val="center"/>
        <w:rPr>
          <w:b/>
          <w:bCs/>
          <w:color w:val="2F5597" w:themeColor="accent5" w:themeShade="BF"/>
          <w:sz w:val="28"/>
          <w:szCs w:val="28"/>
        </w:rPr>
      </w:pPr>
      <w:r>
        <w:rPr>
          <w:b/>
          <w:bCs/>
          <w:color w:val="4472C4" w:themeColor="accent5"/>
          <w:sz w:val="28"/>
          <w:szCs w:val="28"/>
          <w14:textFill>
            <w14:solidFill>
              <w14:schemeClr w14:val="accent5"/>
            </w14:solidFill>
          </w14:textFill>
        </w:rPr>
        <w:drawing>
          <wp:inline distT="0" distB="0" distL="0" distR="0">
            <wp:extent cx="3611880" cy="1203960"/>
            <wp:effectExtent l="0" t="0" r="7620" b="0"/>
            <wp:docPr id="352950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50679" name="Imagen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342A">
      <w:pPr>
        <w:keepNext w:val="0"/>
        <w:spacing w:before="40" w:after="200"/>
        <w:jc w:val="center"/>
      </w:pPr>
      <w:r>
        <w:rPr>
          <w:rFonts w:ascii="Calibri" w:hAnsi="Calibri" w:cs="Calibri"/>
          <w:b w:val="0"/>
          <w:i/>
          <w:color w:val="666666"/>
          <w:sz w:val="20"/>
        </w:rPr>
        <w:t>Figura 1. Ejemplo de una estructura metálica oxidada.</w:t>
      </w:r>
    </w:p>
    <w:p w14:paraId="26FA989E">
      <w:pPr>
        <w:keepNext w:val="0"/>
        <w:spacing w:before="0" w:after="120" w:line="312" w:lineRule="auto"/>
        <w:jc w:val="both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libri" w:hAnsi="Calibri" w:cs="Calibri"/>
          <w:b w:val="0"/>
          <w:i w:val="0"/>
          <w:color w:val="222222"/>
          <w:sz w:val="22"/>
        </w:rPr>
        <w:t>El hierro es uno de los metales más afectados por la oxidación. Cuando el hierro entra en contacto con agua y oxígeno, se forma óxido de hierro</w:t>
      </w:r>
    </w:p>
    <w:p w14:paraId="0A40EFC5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Evidencias</w:t>
      </w:r>
    </w:p>
    <w:p w14:paraId="2BE97F5E">
      <w:pPr>
        <w:keepNext w:val="0"/>
        <w:spacing w:before="0" w:after="120" w:line="312" w:lineRule="auto"/>
        <w:jc w:val="both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libri" w:hAnsi="Calibri" w:cs="Calibri"/>
          <w:b w:val="0"/>
          <w:i w:val="0"/>
          <w:color w:val="222222"/>
          <w:sz w:val="22"/>
        </w:rPr>
        <w:t>Se registró el deterioro progresivo del metal y la presencia de corrosión en diferentes áreas</w:t>
      </w:r>
    </w:p>
    <w:p w14:paraId="047D049D">
      <w:pPr>
        <w:keepNext/>
        <w:spacing w:before="160" w:after="40"/>
        <w:jc w:val="center"/>
        <w:rPr>
          <w:b/>
          <w:bCs/>
          <w:color w:val="2F5597" w:themeColor="accent5" w:themeShade="BF"/>
          <w:sz w:val="28"/>
          <w:szCs w:val="28"/>
        </w:rPr>
      </w:pPr>
      <w:r>
        <w:drawing>
          <wp:inline distT="0" distB="0" distL="0" distR="0">
            <wp:extent cx="4572000" cy="2473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1423">
      <w:pPr>
        <w:keepNext w:val="0"/>
        <w:spacing w:before="40" w:after="200"/>
        <w:jc w:val="center"/>
      </w:pPr>
      <w:r>
        <w:rPr>
          <w:rFonts w:ascii="Calibri" w:hAnsi="Calibri" w:cs="Calibri"/>
          <w:b w:val="0"/>
          <w:i/>
          <w:color w:val="666666"/>
          <w:sz w:val="20"/>
        </w:rPr>
        <w:t>Figura 2. Comparación del estado del metal antes y después de la oxidación</w:t>
      </w:r>
    </w:p>
    <w:p w14:paraId="537E7F8C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Referencias APA</w:t>
      </w:r>
    </w:p>
    <w:p w14:paraId="203E1351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Callister, W. D., &amp; Rethwisch, D. G. (2018). Ciencia e ingeniería de materiales. Reverté.</w:t>
      </w:r>
    </w:p>
    <w:p w14:paraId="0877C76C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Jones, D. A. (1996). Principles and Prevention of Corrosion. Prentice Hall.</w:t>
      </w:r>
    </w:p>
    <w:p w14:paraId="762A282A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Smith, W. F. (2010). Fundamentos de la ciencia e ingeniería de materiales. McGraw-Hill.</w:t>
      </w:r>
    </w:p>
    <w:p w14:paraId="21EC09C4">
      <w:pPr>
        <w:rPr>
          <w:b/>
          <w:bCs/>
          <w:color w:val="2F5597" w:themeColor="accent5" w:themeShade="BF"/>
          <w:sz w:val="28"/>
          <w:szCs w:val="28"/>
        </w:rPr>
      </w:pPr>
    </w:p>
    <w:p w14:paraId="60CE5A5F">
      <w:pPr>
        <w:jc w:val="both"/>
        <w:rPr>
          <w:b/>
          <w:bCs/>
          <w:color w:val="2F5597" w:themeColor="accent5" w:themeShade="BF"/>
          <w:sz w:val="24"/>
        </w:rPr>
      </w:pPr>
    </w:p>
    <w:p w14:paraId="35B9676B">
      <w:pPr>
        <w:jc w:val="center"/>
        <w:rPr>
          <w:b/>
          <w:bCs/>
          <w:color w:val="2F5597" w:themeColor="accent5" w:themeShade="BF"/>
          <w:sz w:val="28"/>
          <w:szCs w:val="28"/>
        </w:rPr>
      </w:pPr>
    </w:p>
    <w:p w14:paraId="6B085D8D">
      <w:pPr>
        <w:keepNext/>
        <w:pBdr>
          <w:bottom w:val="single" w:color="0B3D91" w:sz="18" w:space="4"/>
        </w:pBdr>
        <w:spacing w:before="360" w:after="80"/>
        <w:jc w:val="center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0B3D91"/>
          <w:sz w:val="40"/>
          <w:szCs w:val="28"/>
        </w:rPr>
        <w:t>Bitácora Científica: Conservación de las Momias de Guanajuato</w:t>
      </w:r>
    </w:p>
    <w:p w14:paraId="403276E7">
      <w:pPr>
        <w:keepNext/>
        <w:spacing w:before="20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/>
          <w:color w:val="2E4A6B"/>
          <w:sz w:val="26"/>
          <w:szCs w:val="28"/>
        </w:rPr>
        <w:t>Índice</w:t>
      </w:r>
    </w:p>
    <w:p w14:paraId="4B4941EB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1. Introducción</w:t>
      </w:r>
    </w:p>
    <w:p w14:paraId="5472ADE9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2. Desarrollo</w:t>
      </w:r>
    </w:p>
    <w:p w14:paraId="4E869FCE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3. Evidencias</w:t>
      </w:r>
    </w:p>
    <w:p w14:paraId="25D591D8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4. Conclusión</w:t>
      </w:r>
    </w:p>
    <w:p w14:paraId="0D48E550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5. Referencias APA</w:t>
      </w:r>
    </w:p>
    <w:p w14:paraId="7A2373D1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Introducción</w:t>
      </w:r>
    </w:p>
    <w:p w14:paraId="3F9165BD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Las momias de Guanajuato son cuerpos naturalmente momificados debido a las condiciones climáticas y del suelo en el panteón de Santa Paula. Su conservación ha permitido estudiar aspectos históricos, culturales y científicos.</w:t>
      </w:r>
    </w:p>
    <w:p w14:paraId="0012C639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Desarrollo</w:t>
      </w:r>
    </w:p>
    <w:p w14:paraId="0D6E1418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La conservación de las momias ocurre gracias a la baja humedad, la ventilación y las características minerales del suelo. Estas condiciones ayudan a evitar la descomposición rápida de los cuerpos</w:t>
      </w:r>
    </w:p>
    <w:p w14:paraId="2BFCDF3E">
      <w:pPr>
        <w:keepNext/>
        <w:spacing w:before="160" w:after="40"/>
        <w:jc w:val="center"/>
        <w:rPr>
          <w:b/>
          <w:bCs/>
          <w:color w:val="2F5597" w:themeColor="accent5" w:themeShade="BF"/>
          <w:sz w:val="28"/>
          <w:szCs w:val="28"/>
        </w:rPr>
      </w:pPr>
      <w:r>
        <w:rPr>
          <w:b/>
          <w:bCs/>
          <w:color w:val="4472C4" w:themeColor="accent5"/>
          <w:sz w:val="28"/>
          <w:szCs w:val="28"/>
          <w14:textFill>
            <w14:solidFill>
              <w14:schemeClr w14:val="accent5"/>
            </w14:solidFill>
          </w14:textFill>
        </w:rPr>
        <w:drawing>
          <wp:inline distT="0" distB="0" distL="0" distR="0">
            <wp:extent cx="4099560" cy="1912620"/>
            <wp:effectExtent l="0" t="0" r="0" b="0"/>
            <wp:docPr id="203134615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46152" name="Imagen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7171">
      <w:pPr>
        <w:keepNext w:val="0"/>
        <w:spacing w:before="40" w:after="200"/>
        <w:jc w:val="center"/>
      </w:pPr>
      <w:r>
        <w:rPr>
          <w:rFonts w:ascii="Calibri" w:hAnsi="Calibri" w:cs="Calibri"/>
          <w:b w:val="0"/>
          <w:i/>
          <w:color w:val="666666"/>
          <w:sz w:val="20"/>
        </w:rPr>
        <w:t>Figura 1. Representación de una momia de Guanajuato</w:t>
      </w:r>
    </w:p>
    <w:p w14:paraId="163C4F49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Actualmente las momias se encuentran en el Museo de las Momias de Guanajuato, donde son preservadas bajo cuidados especiales para evitar daños por humedad, luz intensa o cambios de temperatura</w:t>
      </w:r>
    </w:p>
    <w:p w14:paraId="071059A9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Evidencias</w:t>
      </w:r>
    </w:p>
    <w:p w14:paraId="4FFAACFC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Se observó que las condiciones ambientales son importantes para mantener la conservación de las momias y protegerlas como patrimonio cultural.</w:t>
      </w:r>
    </w:p>
    <w:p w14:paraId="0E4BD9AC">
      <w:pPr>
        <w:keepNext/>
        <w:spacing w:before="160" w:after="40"/>
        <w:jc w:val="center"/>
        <w:rPr>
          <w:b/>
          <w:bCs/>
          <w:color w:val="2F5597" w:themeColor="accent5" w:themeShade="BF"/>
          <w:sz w:val="28"/>
          <w:szCs w:val="28"/>
        </w:rPr>
      </w:pPr>
      <w:r>
        <w:drawing>
          <wp:inline distT="0" distB="0" distL="0" distR="0">
            <wp:extent cx="4572000" cy="2528570"/>
            <wp:effectExtent l="0" t="0" r="0" b="0"/>
            <wp:docPr id="427047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47527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114E">
      <w:pPr>
        <w:keepNext w:val="0"/>
        <w:spacing w:before="40" w:after="200"/>
        <w:jc w:val="center"/>
      </w:pPr>
      <w:r>
        <w:rPr>
          <w:rFonts w:ascii="Calibri" w:hAnsi="Calibri" w:cs="Calibri"/>
          <w:b w:val="0"/>
          <w:i/>
          <w:color w:val="666666"/>
          <w:sz w:val="20"/>
        </w:rPr>
        <w:t>Figura 2. Factores relacionados con la conservación de las momias</w:t>
      </w:r>
    </w:p>
    <w:p w14:paraId="4AECA074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Conclusión</w:t>
      </w:r>
    </w:p>
    <w:p w14:paraId="039715A8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La conservación de las momias de Guanajuato es importante porque permite preservar parte de la historia y cultura de México. El cuidado adecuado de las condiciones ambientales ayuda a evitar el deterioro y garantiza su preservación para futuras generaciones.</w:t>
      </w:r>
    </w:p>
    <w:p w14:paraId="1D529126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Referencias APA</w:t>
      </w:r>
    </w:p>
    <w:p w14:paraId="4C995F4F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Museo de las Momias de Guanajuato. (2024). Historia y conservación de las momias. Gobierno de Guanajuato.</w:t>
      </w:r>
    </w:p>
    <w:p w14:paraId="32EA3CC1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Tiesler, V. (2012). La momificación natural en México. UNAM.</w:t>
      </w:r>
    </w:p>
    <w:p w14:paraId="5F2996E5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Secretaría de Turismo de Guanajuato. (2023). Museo de las Momias de Guanajuato.</w:t>
      </w:r>
    </w:p>
    <w:p w14:paraId="2BE988B4">
      <w:pPr>
        <w:rPr>
          <w:b/>
          <w:bCs/>
          <w:color w:val="2F5597" w:themeColor="accent5" w:themeShade="BF"/>
          <w:sz w:val="28"/>
          <w:szCs w:val="28"/>
        </w:rPr>
      </w:pPr>
    </w:p>
    <w:p w14:paraId="147B474C">
      <w:pPr>
        <w:rPr>
          <w:b/>
          <w:bCs/>
          <w:color w:val="2F5597" w:themeColor="accent5" w:themeShade="BF"/>
          <w:sz w:val="28"/>
          <w:szCs w:val="28"/>
        </w:rPr>
      </w:pPr>
    </w:p>
    <w:p w14:paraId="739DCEC2">
      <w:pPr>
        <w:rPr>
          <w:b/>
          <w:bCs/>
          <w:color w:val="2F5597" w:themeColor="accent5" w:themeShade="BF"/>
          <w:sz w:val="28"/>
          <w:szCs w:val="28"/>
        </w:rPr>
      </w:pPr>
    </w:p>
    <w:p w14:paraId="244CEF41"/>
    <w:p w14:paraId="2F26937C">
      <w:pPr>
        <w:rPr>
          <w:b/>
          <w:bCs/>
          <w:color w:val="2F5597" w:themeColor="accent5" w:themeShade="BF"/>
          <w:sz w:val="28"/>
          <w:szCs w:val="28"/>
        </w:rPr>
      </w:pPr>
    </w:p>
    <w:p w14:paraId="646841EE">
      <w:pPr>
        <w:spacing w:after="160" w:line="259" w:lineRule="auto"/>
        <w:rPr>
          <w:b/>
          <w:bCs/>
          <w:color w:val="2F5597" w:themeColor="accent5" w:themeShade="BF"/>
          <w:sz w:val="28"/>
          <w:szCs w:val="28"/>
        </w:rPr>
      </w:pPr>
      <w:r>
        <w:rPr>
          <w:b/>
          <w:bCs/>
          <w:color w:val="2F5597" w:themeColor="accent5" w:themeShade="BF"/>
          <w:sz w:val="28"/>
          <w:szCs w:val="28"/>
        </w:rPr>
        <w:br w:type="page"/>
      </w:r>
    </w:p>
    <w:p w14:paraId="5140BA35">
      <w:pPr>
        <w:rPr>
          <w:b/>
          <w:bCs/>
          <w:color w:val="2F5597" w:themeColor="accent5" w:themeShade="BF"/>
          <w:sz w:val="28"/>
          <w:szCs w:val="28"/>
        </w:rPr>
      </w:pPr>
    </w:p>
    <w:p w14:paraId="48554855">
      <w:pPr>
        <w:keepNext/>
        <w:pBdr>
          <w:bottom w:val="single" w:color="0B3D91" w:sz="18" w:space="4"/>
        </w:pBdr>
        <w:spacing w:before="360" w:after="80"/>
        <w:jc w:val="center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0B3D91"/>
          <w:sz w:val="40"/>
          <w:szCs w:val="28"/>
        </w:rPr>
        <w:t>Bitácora científica: Biodiversidad Local</w:t>
      </w:r>
    </w:p>
    <w:p w14:paraId="0AC4C085">
      <w:pPr>
        <w:keepNext/>
        <w:spacing w:before="20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/>
          <w:color w:val="2E4A6B"/>
          <w:sz w:val="26"/>
          <w:szCs w:val="28"/>
        </w:rPr>
        <w:t>Índice</w:t>
      </w:r>
    </w:p>
    <w:p w14:paraId="391A676A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1. Introducción</w:t>
      </w:r>
    </w:p>
    <w:p w14:paraId="44FE10B8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2. Desarrollo</w:t>
      </w:r>
    </w:p>
    <w:p w14:paraId="61D43A0F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3. Evidencias</w:t>
      </w:r>
    </w:p>
    <w:p w14:paraId="7435EB1A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4. Conclusión</w:t>
      </w:r>
    </w:p>
    <w:p w14:paraId="53892BEC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5. Referencias APA</w:t>
      </w:r>
    </w:p>
    <w:p w14:paraId="5066D0BA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Introducción</w:t>
      </w:r>
    </w:p>
    <w:p w14:paraId="1362612A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La biodiversidad local se refiere a la variedad de plantas, animales y ecosistemas que existen en una región específica. Esta diversidad es importante porque mantiene el equilibrio natural y ayuda a la vida humana.</w:t>
      </w:r>
    </w:p>
    <w:p w14:paraId="403649D2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Desarrollo</w:t>
      </w:r>
    </w:p>
    <w:p w14:paraId="7DBAD4A7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En la comunidad se pueden observar diferentes especies de árboles, aves, insectos y otros organismos que forman parte del ecosistema local. La biodiversidad proporciona alimentos, oxígeno y recursos naturales</w:t>
      </w:r>
    </w:p>
    <w:p w14:paraId="037D02EF">
      <w:pPr>
        <w:keepNext/>
        <w:spacing w:before="160" w:after="40"/>
        <w:jc w:val="center"/>
        <w:rPr>
          <w:b/>
          <w:bCs/>
          <w:color w:val="2F5597" w:themeColor="accent5" w:themeShade="BF"/>
          <w:sz w:val="28"/>
          <w:szCs w:val="28"/>
        </w:rPr>
      </w:pPr>
      <w:r>
        <w:rPr>
          <w:b/>
          <w:bCs/>
          <w:color w:val="2F5597" w:themeColor="accent5" w:themeShade="BF"/>
          <w:sz w:val="28"/>
          <w:szCs w:val="28"/>
        </w:rPr>
        <w:drawing>
          <wp:inline distT="0" distB="0" distL="0" distR="0">
            <wp:extent cx="5612130" cy="1821180"/>
            <wp:effectExtent l="0" t="0" r="7620" b="7620"/>
            <wp:docPr id="566115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15638" name="Imagen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2C77">
      <w:pPr>
        <w:keepNext w:val="0"/>
        <w:spacing w:before="40" w:after="200"/>
        <w:jc w:val="center"/>
      </w:pPr>
      <w:r>
        <w:rPr>
          <w:rFonts w:ascii="Calibri" w:hAnsi="Calibri" w:cs="Calibri"/>
          <w:b w:val="0"/>
          <w:i/>
          <w:color w:val="666666"/>
          <w:sz w:val="20"/>
        </w:rPr>
        <w:t>Figura 1. Representación de la biodiversidad local</w:t>
      </w:r>
    </w:p>
    <w:p w14:paraId="3244C06D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Los ecosistemas locales pueden verse afectados por la contaminación, la tala de árboles y el crecimiento urbano. Por ello es importante promover acciones de conservación y cuidado ambiental.</w:t>
      </w:r>
    </w:p>
    <w:p w14:paraId="1296DE5B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Evidencias</w:t>
      </w:r>
    </w:p>
    <w:p w14:paraId="40DD0AD9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Durante la observación del entorno se identificaron diferentes tipos de plantas y animales que forman parte de la biodiversidad local.</w:t>
      </w:r>
    </w:p>
    <w:p w14:paraId="7AF5ECBD">
      <w:pPr>
        <w:keepNext/>
        <w:spacing w:before="160" w:after="40"/>
        <w:jc w:val="center"/>
        <w:rPr>
          <w:b/>
          <w:bCs/>
          <w:color w:val="2F5597" w:themeColor="accent5" w:themeShade="BF"/>
          <w:sz w:val="28"/>
          <w:szCs w:val="28"/>
        </w:rPr>
      </w:pPr>
      <w:r>
        <w:drawing>
          <wp:inline distT="0" distB="0" distL="0" distR="0">
            <wp:extent cx="4572000" cy="2454910"/>
            <wp:effectExtent l="0" t="0" r="0" b="0"/>
            <wp:docPr id="1699418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1806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FA8F">
      <w:pPr>
        <w:keepNext w:val="0"/>
        <w:spacing w:before="40" w:after="200"/>
        <w:jc w:val="center"/>
      </w:pPr>
      <w:r>
        <w:rPr>
          <w:rFonts w:ascii="Calibri" w:hAnsi="Calibri" w:cs="Calibri"/>
          <w:b w:val="0"/>
          <w:i/>
          <w:color w:val="666666"/>
          <w:sz w:val="20"/>
        </w:rPr>
        <w:t>Figura 2. Elementos principales de la biodiversidad local.</w:t>
      </w:r>
    </w:p>
    <w:p w14:paraId="02358956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Conclusión</w:t>
      </w:r>
    </w:p>
    <w:p w14:paraId="649BD56B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La biodiversidad local es esencial para mantener el equilibrio ecológico y mejorar la calidad de vida. Proteger los ecosistemas y las especies permite conservar los recursos naturales para el futuro.</w:t>
      </w:r>
    </w:p>
    <w:p w14:paraId="26CF199A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Referencias APA</w:t>
      </w:r>
    </w:p>
    <w:p w14:paraId="4922E430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CONABIO. (2023). Biodiversidad mexicana. Comisión Nacional para el Conocimiento y Uso de la Biodiversidad.</w:t>
      </w:r>
    </w:p>
    <w:p w14:paraId="5A98D2C3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SEMARNAT. (2022). Conservación de ecosistemas y especies en México.</w:t>
      </w:r>
    </w:p>
    <w:p w14:paraId="7EF41870">
      <w:pPr>
        <w:keepNext w:val="0"/>
        <w:spacing w:before="0" w:after="120" w:line="312" w:lineRule="auto"/>
        <w:jc w:val="both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libri" w:hAnsi="Calibri" w:cs="Calibri"/>
          <w:b w:val="0"/>
          <w:i w:val="0"/>
          <w:color w:val="222222"/>
          <w:sz w:val="22"/>
        </w:rPr>
        <w:t>Odum, E. P. (2006). Fundamentos de ecología. Thomson.</w:t>
      </w:r>
    </w:p>
    <w:p w14:paraId="1254981F">
      <w:pPr>
        <w:keepNext/>
        <w:pBdr>
          <w:bottom w:val="single" w:color="0B3D91" w:sz="18" w:space="4"/>
        </w:pBdr>
        <w:spacing w:before="360" w:after="80"/>
        <w:jc w:val="center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0B3D91"/>
          <w:sz w:val="40"/>
          <w:szCs w:val="28"/>
        </w:rPr>
        <w:t>Bitácora Científica: Minerales y Composición Química</w:t>
      </w:r>
    </w:p>
    <w:p w14:paraId="43351F53">
      <w:pPr>
        <w:keepNext/>
        <w:spacing w:before="20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/>
          <w:color w:val="2E4A6B"/>
          <w:sz w:val="26"/>
          <w:szCs w:val="28"/>
        </w:rPr>
        <w:t>Índice</w:t>
      </w:r>
    </w:p>
    <w:p w14:paraId="67FF918F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1. Introducción</w:t>
      </w:r>
    </w:p>
    <w:p w14:paraId="5280160E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2. Desarrollo</w:t>
      </w:r>
    </w:p>
    <w:p w14:paraId="16DB01A3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3. Evidencias</w:t>
      </w:r>
    </w:p>
    <w:p w14:paraId="5CC3ED93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4. Conclusión</w:t>
      </w:r>
    </w:p>
    <w:p w14:paraId="637DF572">
      <w:pPr>
        <w:keepNext w:val="0"/>
        <w:spacing w:before="0" w:after="40"/>
        <w:ind w:left="454"/>
        <w:jc w:val="left"/>
      </w:pPr>
      <w:r>
        <w:rPr>
          <w:rFonts w:ascii="Calibri" w:hAnsi="Calibri" w:cs="Calibri"/>
          <w:b w:val="0"/>
          <w:i w:val="0"/>
          <w:color w:val="222222"/>
          <w:sz w:val="22"/>
        </w:rPr>
        <w:t>5. Referencias APA</w:t>
      </w:r>
    </w:p>
    <w:p w14:paraId="723DF678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Introducción</w:t>
      </w:r>
    </w:p>
    <w:p w14:paraId="4E25548D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Los minerales son sustancias naturales que forman parte de la corteza terrestre. Cada mineral posee una composición química específica y propiedades físicas que los diferencian. El estudio de los minerales ayuda a comprender la formación de las rocas, la industria y la vida diaria.</w:t>
      </w:r>
    </w:p>
    <w:p w14:paraId="092981EA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Desarrollo</w:t>
      </w:r>
    </w:p>
    <w:p w14:paraId="18699593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La composición química de los minerales está formada por elementos químicos como oxígeno, silicio, hierro, calcio y aluminio. Algunos minerales importantes son el cuarzo, la calcita y la hematita. Estos materiales son utilizados en la construcción, la tecnología y la fabricación de objetos cotidianos.</w:t>
      </w:r>
    </w:p>
    <w:p w14:paraId="259BD849">
      <w:pPr>
        <w:keepNext/>
        <w:spacing w:before="160" w:after="40"/>
        <w:jc w:val="center"/>
      </w:pPr>
      <w:r>
        <w:drawing>
          <wp:inline distT="0" distB="0" distL="0" distR="0">
            <wp:extent cx="4831080" cy="1783080"/>
            <wp:effectExtent l="0" t="0" r="7620" b="7620"/>
            <wp:docPr id="8038285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8590" name="Imagen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1E9E">
      <w:pPr>
        <w:keepNext w:val="0"/>
        <w:spacing w:before="40" w:after="200"/>
        <w:jc w:val="center"/>
      </w:pPr>
      <w:r>
        <w:rPr>
          <w:rFonts w:ascii="Calibri" w:hAnsi="Calibri" w:cs="Calibri"/>
          <w:b w:val="0"/>
          <w:i/>
          <w:color w:val="666666"/>
          <w:sz w:val="20"/>
        </w:rPr>
        <w:t>Figura 1. Representación de minerales cristalinos.</w:t>
      </w:r>
    </w:p>
    <w:p w14:paraId="333472C9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Los minerales se clasifican de acuerdo con su composición química. Existen minerales silicatos, óxidos, carbonatos y sulfuros. Cada grupo tiene características y usos diferentes.</w:t>
      </w:r>
    </w:p>
    <w:p w14:paraId="7E244542">
      <w:pPr>
        <w:keepNext/>
        <w:spacing w:before="160" w:after="40"/>
        <w:jc w:val="center"/>
      </w:pPr>
      <w:r>
        <w:drawing>
          <wp:inline distT="0" distB="0" distL="0" distR="0">
            <wp:extent cx="3147060" cy="3337560"/>
            <wp:effectExtent l="0" t="0" r="0" b="0"/>
            <wp:docPr id="18204391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9138" name="Imagen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F6AD">
      <w:pPr>
        <w:keepNext w:val="0"/>
        <w:spacing w:before="40" w:after="200"/>
        <w:jc w:val="center"/>
      </w:pPr>
      <w:r>
        <w:rPr>
          <w:rFonts w:ascii="Calibri" w:hAnsi="Calibri" w:cs="Calibri"/>
          <w:b w:val="0"/>
          <w:i/>
          <w:color w:val="666666"/>
          <w:sz w:val="20"/>
        </w:rPr>
        <w:t>Figura 2. Ejemplo de composición química de minerales.</w:t>
      </w:r>
    </w:p>
    <w:p w14:paraId="24E134E0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Evidencias</w:t>
      </w:r>
    </w:p>
    <w:p w14:paraId="6EB629AC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* Observación de imágenes y muestras de minerales.</w:t>
      </w:r>
    </w:p>
    <w:p w14:paraId="5D69A371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* Identificación de colores, brillo y dureza.</w:t>
      </w:r>
    </w:p>
    <w:p w14:paraId="38B01EE9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* Investigación de la composición química de distintos minerales.</w:t>
      </w:r>
    </w:p>
    <w:p w14:paraId="579EA9F5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* Registro de información en tablas y apuntes científicos.</w:t>
      </w:r>
    </w:p>
    <w:p w14:paraId="3E953EC1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Conclusión</w:t>
      </w:r>
    </w:p>
    <w:p w14:paraId="7E953E16">
      <w:pPr>
        <w:keepNext w:val="0"/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color w:val="222222"/>
          <w:sz w:val="22"/>
        </w:rPr>
        <w:t>Los minerales son recursos importantes para la sociedad y tienen diferentes composiciones químicas que determinan sus propiedades. Su estudio permite conocer mejor la naturaleza y entender la importancia de cuidar los recursos naturales para evitar problemas ambientales.</w:t>
      </w:r>
    </w:p>
    <w:p w14:paraId="3E7BD93D">
      <w:pPr>
        <w:keepNext/>
        <w:pBdr>
          <w:bottom w:val="single" w:color="B71232" w:sz="8" w:space="4"/>
        </w:pBdr>
        <w:spacing w:before="280" w:after="80"/>
        <w:jc w:val="left"/>
        <w:rPr>
          <w:b/>
          <w:bCs/>
          <w:color w:val="2F5597" w:themeColor="accent5" w:themeShade="BF"/>
          <w:sz w:val="28"/>
          <w:szCs w:val="28"/>
        </w:rPr>
      </w:pPr>
      <w:r>
        <w:rPr>
          <w:rFonts w:ascii="Cambria" w:hAnsi="Cambria" w:cs="Cambria"/>
          <w:b/>
          <w:bCs/>
          <w:i w:val="0"/>
          <w:color w:val="B71232"/>
          <w:sz w:val="28"/>
          <w:szCs w:val="28"/>
        </w:rPr>
        <w:t>Referencias APA</w:t>
      </w:r>
    </w:p>
    <w:p w14:paraId="66EBBC50">
      <w:pPr>
        <w:keepNext w:val="0"/>
        <w:spacing w:before="0" w:after="120" w:line="312" w:lineRule="auto"/>
        <w:jc w:val="both"/>
        <w:rPr>
          <w:rFonts w:hint="default"/>
          <w:b/>
          <w:bCs/>
          <w:color w:val="2F5597" w:themeColor="accent5" w:themeShade="BF"/>
          <w:sz w:val="28"/>
          <w:szCs w:val="28"/>
          <w:lang w:val="es-MX"/>
        </w:rPr>
      </w:pPr>
      <w:r>
        <w:rPr>
          <w:rFonts w:hint="default" w:cs="Calibri"/>
          <w:b w:val="0"/>
          <w:i w:val="0"/>
          <w:color w:val="222222"/>
          <w:sz w:val="22"/>
          <w:lang w:val="es-MX"/>
        </w:rPr>
        <w:t>(</w:t>
      </w:r>
      <w:r>
        <w:rPr>
          <w:rFonts w:ascii="Calibri" w:hAnsi="Calibri" w:cs="Calibri"/>
          <w:b w:val="0"/>
          <w:i w:val="0"/>
          <w:color w:val="222222"/>
          <w:sz w:val="22"/>
        </w:rPr>
        <w:t>Klein, C., &amp; Dutrow, B. (2007). Manual de mineralogía. John Wiley &amp; Sons.</w:t>
      </w:r>
      <w:r>
        <w:rPr>
          <w:rFonts w:hint="default" w:cs="Calibri"/>
          <w:b w:val="0"/>
          <w:i w:val="0"/>
          <w:color w:val="222222"/>
          <w:sz w:val="22"/>
          <w:lang w:val="es-MX"/>
        </w:rPr>
        <w:t>) (</w:t>
      </w:r>
      <w:r>
        <w:rPr>
          <w:rFonts w:ascii="Calibri" w:hAnsi="Calibri" w:cs="Calibri"/>
          <w:b w:val="0"/>
          <w:i w:val="0"/>
          <w:color w:val="222222"/>
          <w:sz w:val="22"/>
        </w:rPr>
        <w:t>Tarbuck, E. J., &amp; Lutgens, F. K. (2015). Ciencias de la Tierra: una introducción a la geología física. Pearson.</w:t>
      </w:r>
      <w:r>
        <w:rPr>
          <w:rFonts w:hint="default" w:cs="Calibri"/>
          <w:b w:val="0"/>
          <w:i w:val="0"/>
          <w:color w:val="222222"/>
          <w:sz w:val="22"/>
          <w:lang w:val="es-MX"/>
        </w:rPr>
        <w:t>)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247" w:right="1417" w:bottom="1247" w:left="1417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igh Tower Text">
    <w:panose1 w:val="02040502050506030303"/>
    <w:charset w:val="00"/>
    <w:family w:val="roman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82E6A">
    <w:pPr>
      <w:pStyle w:val="20"/>
      <w:ind w:left="-1701"/>
    </w:pPr>
    <w:r>
      <w:rPr>
        <w:lang w:eastAsia="es-MX"/>
      </w:rPr>
      <w:drawing>
        <wp:inline distT="0" distB="0" distL="0" distR="0">
          <wp:extent cx="7780020" cy="1614805"/>
          <wp:effectExtent l="0" t="0" r="0" b="4445"/>
          <wp:docPr id="62" name="Imagen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 6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13667" cy="16846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A4CF5">
    <w:pPr>
      <w:pStyle w:val="17"/>
      <w:ind w:left="-1134" w:hanging="142"/>
    </w:pPr>
    <w:r>
      <w:rPr>
        <w:lang w:eastAsia="es-MX"/>
      </w:rPr>
      <w:drawing>
        <wp:inline distT="0" distB="0" distL="0" distR="0">
          <wp:extent cx="8251825" cy="1068705"/>
          <wp:effectExtent l="0" t="0" r="0" b="0"/>
          <wp:docPr id="61" name="Imagen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n 61"/>
                  <pic:cNvPicPr>
                    <a:picLocks noChangeAspect="1"/>
                  </pic:cNvPicPr>
                </pic:nvPicPr>
                <pic:blipFill>
                  <a:blip r:embed="rId1"/>
                  <a:srcRect l="6629"/>
                  <a:stretch>
                    <a:fillRect/>
                  </a:stretch>
                </pic:blipFill>
                <pic:spPr>
                  <a:xfrm>
                    <a:off x="0" y="0"/>
                    <a:ext cx="8311693" cy="107640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484"/>
    <w:rsid w:val="00007894"/>
    <w:rsid w:val="000223C8"/>
    <w:rsid w:val="000237F0"/>
    <w:rsid w:val="0005329C"/>
    <w:rsid w:val="000545C8"/>
    <w:rsid w:val="0007552A"/>
    <w:rsid w:val="00094025"/>
    <w:rsid w:val="000C56B1"/>
    <w:rsid w:val="000D082D"/>
    <w:rsid w:val="000E60FF"/>
    <w:rsid w:val="001140D5"/>
    <w:rsid w:val="0012621D"/>
    <w:rsid w:val="001269B2"/>
    <w:rsid w:val="001B1DA9"/>
    <w:rsid w:val="001C7F4D"/>
    <w:rsid w:val="001D627D"/>
    <w:rsid w:val="00233060"/>
    <w:rsid w:val="00245C19"/>
    <w:rsid w:val="002A275C"/>
    <w:rsid w:val="00303878"/>
    <w:rsid w:val="00305DE2"/>
    <w:rsid w:val="00310D69"/>
    <w:rsid w:val="00323206"/>
    <w:rsid w:val="00326891"/>
    <w:rsid w:val="00326F53"/>
    <w:rsid w:val="0035512B"/>
    <w:rsid w:val="0035791B"/>
    <w:rsid w:val="00360878"/>
    <w:rsid w:val="0037324A"/>
    <w:rsid w:val="00392098"/>
    <w:rsid w:val="003A0EEB"/>
    <w:rsid w:val="003C61E9"/>
    <w:rsid w:val="003D21F9"/>
    <w:rsid w:val="003D481F"/>
    <w:rsid w:val="003E04FD"/>
    <w:rsid w:val="004117A1"/>
    <w:rsid w:val="00416DFE"/>
    <w:rsid w:val="00417536"/>
    <w:rsid w:val="00425421"/>
    <w:rsid w:val="00475CCE"/>
    <w:rsid w:val="004C5199"/>
    <w:rsid w:val="005051E9"/>
    <w:rsid w:val="00570D86"/>
    <w:rsid w:val="0058207B"/>
    <w:rsid w:val="0058411A"/>
    <w:rsid w:val="00590562"/>
    <w:rsid w:val="005A3CFC"/>
    <w:rsid w:val="005C79B9"/>
    <w:rsid w:val="005D1E57"/>
    <w:rsid w:val="005D5A5D"/>
    <w:rsid w:val="005E48D6"/>
    <w:rsid w:val="005E64F2"/>
    <w:rsid w:val="0060738E"/>
    <w:rsid w:val="00607F19"/>
    <w:rsid w:val="00612A27"/>
    <w:rsid w:val="00653669"/>
    <w:rsid w:val="00662441"/>
    <w:rsid w:val="006700EF"/>
    <w:rsid w:val="00676474"/>
    <w:rsid w:val="00677C22"/>
    <w:rsid w:val="006D7635"/>
    <w:rsid w:val="006E7AE1"/>
    <w:rsid w:val="006F573A"/>
    <w:rsid w:val="00701158"/>
    <w:rsid w:val="00704C46"/>
    <w:rsid w:val="007120DC"/>
    <w:rsid w:val="0075575C"/>
    <w:rsid w:val="007646BF"/>
    <w:rsid w:val="007B7983"/>
    <w:rsid w:val="007E6ACD"/>
    <w:rsid w:val="0080661B"/>
    <w:rsid w:val="008100B8"/>
    <w:rsid w:val="00873051"/>
    <w:rsid w:val="008842A7"/>
    <w:rsid w:val="008916F6"/>
    <w:rsid w:val="008947CD"/>
    <w:rsid w:val="008B3E4F"/>
    <w:rsid w:val="008B461F"/>
    <w:rsid w:val="008D04D7"/>
    <w:rsid w:val="00924F70"/>
    <w:rsid w:val="0095076E"/>
    <w:rsid w:val="00954959"/>
    <w:rsid w:val="0095737C"/>
    <w:rsid w:val="009C4343"/>
    <w:rsid w:val="009D320B"/>
    <w:rsid w:val="009D3AC9"/>
    <w:rsid w:val="009F4965"/>
    <w:rsid w:val="00A03FA0"/>
    <w:rsid w:val="00A5483C"/>
    <w:rsid w:val="00A6034C"/>
    <w:rsid w:val="00A67FBD"/>
    <w:rsid w:val="00A86349"/>
    <w:rsid w:val="00A92D3C"/>
    <w:rsid w:val="00AB66DC"/>
    <w:rsid w:val="00AD1A3A"/>
    <w:rsid w:val="00AD3B8C"/>
    <w:rsid w:val="00AE1002"/>
    <w:rsid w:val="00B058AE"/>
    <w:rsid w:val="00B5454D"/>
    <w:rsid w:val="00B8764A"/>
    <w:rsid w:val="00BC310F"/>
    <w:rsid w:val="00C03622"/>
    <w:rsid w:val="00C229D8"/>
    <w:rsid w:val="00C52EAA"/>
    <w:rsid w:val="00CA17FC"/>
    <w:rsid w:val="00CA64ED"/>
    <w:rsid w:val="00CB440E"/>
    <w:rsid w:val="00D058EB"/>
    <w:rsid w:val="00D114E5"/>
    <w:rsid w:val="00D6074D"/>
    <w:rsid w:val="00D640AB"/>
    <w:rsid w:val="00D7541F"/>
    <w:rsid w:val="00D80FD5"/>
    <w:rsid w:val="00D95E29"/>
    <w:rsid w:val="00DD6E21"/>
    <w:rsid w:val="00E05451"/>
    <w:rsid w:val="00E073AB"/>
    <w:rsid w:val="00E1033C"/>
    <w:rsid w:val="00E51E32"/>
    <w:rsid w:val="00E67C62"/>
    <w:rsid w:val="00E86951"/>
    <w:rsid w:val="00EA0953"/>
    <w:rsid w:val="00EE678B"/>
    <w:rsid w:val="00F04C86"/>
    <w:rsid w:val="00F53A5F"/>
    <w:rsid w:val="00F67141"/>
    <w:rsid w:val="00F7185E"/>
    <w:rsid w:val="00FA0DC3"/>
    <w:rsid w:val="00FA61CF"/>
    <w:rsid w:val="00FB5484"/>
    <w:rsid w:val="00FD5412"/>
    <w:rsid w:val="00FD6530"/>
    <w:rsid w:val="00FD7E69"/>
    <w:rsid w:val="0A3A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name="Body Text 3"/>
    <w:lsdException w:qFormat="1" w:uiPriority="99" w:name="Body Text Indent 2"/>
    <w:lsdException w:uiPriority="99" w:name="Body Text Indent 3"/>
    <w:lsdException w:qFormat="1" w:uiPriority="99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s-MX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shd w:val="clear" w:color="auto" w:fill="00B050"/>
      <w:jc w:val="center"/>
      <w:outlineLvl w:val="0"/>
    </w:pPr>
    <w:rPr>
      <w:rFonts w:eastAsia="Verdana" w:asciiTheme="minorHAnsi" w:hAnsiTheme="minorHAnsi" w:cstheme="minorHAnsi"/>
      <w:b/>
      <w:color w:val="002060"/>
      <w:sz w:val="36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jc w:val="center"/>
      <w:outlineLvl w:val="1"/>
    </w:pPr>
    <w:rPr>
      <w:rFonts w:eastAsia="Verdana" w:asciiTheme="minorHAnsi" w:hAnsiTheme="minorHAnsi" w:cstheme="minorHAnsi"/>
      <w:b/>
      <w:sz w:val="28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ind w:left="850"/>
      <w:jc w:val="center"/>
      <w:outlineLvl w:val="2"/>
    </w:pPr>
    <w:rPr>
      <w:rFonts w:eastAsia="Verdana" w:asciiTheme="minorHAnsi" w:hAnsiTheme="minorHAnsi" w:cstheme="minorHAnsi"/>
      <w:b/>
      <w:sz w:val="24"/>
      <w:szCs w:val="24"/>
      <w:lang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tabs>
        <w:tab w:val="left" w:pos="426"/>
      </w:tabs>
      <w:spacing w:after="0" w:line="240" w:lineRule="auto"/>
      <w:ind w:left="850" w:right="850"/>
      <w:jc w:val="center"/>
      <w:outlineLvl w:val="3"/>
    </w:pPr>
    <w:rPr>
      <w:rFonts w:eastAsia="Verdana" w:asciiTheme="minorHAnsi" w:hAnsiTheme="minorHAnsi" w:cstheme="minorHAnsi"/>
      <w:b/>
      <w:color w:val="002060"/>
      <w:sz w:val="24"/>
      <w:szCs w:val="24"/>
      <w:lang/>
    </w:rPr>
  </w:style>
  <w:style w:type="paragraph" w:styleId="6">
    <w:name w:val="heading 5"/>
    <w:basedOn w:val="1"/>
    <w:next w:val="1"/>
    <w:link w:val="34"/>
    <w:unhideWhenUsed/>
    <w:qFormat/>
    <w:uiPriority w:val="9"/>
    <w:pPr>
      <w:keepNext/>
      <w:spacing w:after="160" w:line="259" w:lineRule="auto"/>
      <w:jc w:val="center"/>
      <w:outlineLvl w:val="4"/>
    </w:pPr>
    <w:rPr>
      <w:rFonts w:eastAsia="Verdana" w:asciiTheme="minorHAnsi" w:hAnsiTheme="minorHAnsi" w:cstheme="minorHAnsi"/>
      <w:b/>
      <w:color w:val="002060"/>
      <w:sz w:val="24"/>
      <w:szCs w:val="24"/>
      <w:lang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spacing w:after="0" w:line="240" w:lineRule="auto"/>
      <w:ind w:left="426"/>
      <w:outlineLvl w:val="5"/>
    </w:pPr>
    <w:rPr>
      <w:rFonts w:ascii="High Tower Text" w:hAnsi="High Tower Text" w:cs="Arial"/>
      <w:b/>
      <w:color w:val="222222"/>
      <w:sz w:val="24"/>
      <w:szCs w:val="24"/>
      <w:shd w:val="clear" w:color="auto" w:fill="FFFFFF"/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9"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link w:val="47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6">
    <w:name w:val="Body Text 2"/>
    <w:basedOn w:val="1"/>
    <w:link w:val="35"/>
    <w:unhideWhenUsed/>
    <w:qFormat/>
    <w:uiPriority w:val="99"/>
    <w:pPr>
      <w:jc w:val="both"/>
    </w:pPr>
    <w:rPr>
      <w:rFonts w:ascii="Book Antiqua" w:hAnsi="Book Antiqua"/>
      <w:b/>
      <w:sz w:val="24"/>
    </w:rPr>
  </w:style>
  <w:style w:type="paragraph" w:styleId="17">
    <w:name w:val="header"/>
    <w:basedOn w:val="1"/>
    <w:link w:val="2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8">
    <w:name w:val="Body Text Indent 3"/>
    <w:basedOn w:val="1"/>
    <w:link w:val="41"/>
    <w:semiHidden/>
    <w:unhideWhenUsed/>
    <w:uiPriority w:val="99"/>
    <w:pPr>
      <w:spacing w:after="120"/>
      <w:ind w:left="283"/>
    </w:pPr>
    <w:rPr>
      <w:sz w:val="16"/>
      <w:szCs w:val="16"/>
    </w:rPr>
  </w:style>
  <w:style w:type="paragraph" w:styleId="19">
    <w:name w:val="Body Text Indent"/>
    <w:basedOn w:val="1"/>
    <w:link w:val="40"/>
    <w:semiHidden/>
    <w:unhideWhenUsed/>
    <w:qFormat/>
    <w:uiPriority w:val="99"/>
    <w:pPr>
      <w:spacing w:after="120"/>
      <w:ind w:left="283"/>
    </w:pPr>
  </w:style>
  <w:style w:type="paragraph" w:styleId="20">
    <w:name w:val="footer"/>
    <w:basedOn w:val="1"/>
    <w:link w:val="2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1">
    <w:name w:val="Body Text Indent 2"/>
    <w:basedOn w:val="1"/>
    <w:link w:val="42"/>
    <w:semiHidden/>
    <w:unhideWhenUsed/>
    <w:qFormat/>
    <w:uiPriority w:val="99"/>
    <w:pPr>
      <w:spacing w:after="120" w:line="480" w:lineRule="auto"/>
      <w:ind w:left="283"/>
    </w:pPr>
  </w:style>
  <w:style w:type="paragraph" w:styleId="22">
    <w:name w:val="Block Text"/>
    <w:basedOn w:val="1"/>
    <w:unhideWhenUsed/>
    <w:qFormat/>
    <w:uiPriority w:val="99"/>
    <w:pPr>
      <w:tabs>
        <w:tab w:val="left" w:pos="426"/>
      </w:tabs>
      <w:spacing w:after="0" w:line="240" w:lineRule="auto"/>
      <w:ind w:left="850" w:right="850"/>
      <w:jc w:val="center"/>
    </w:pPr>
    <w:rPr>
      <w:rFonts w:eastAsia="Verdana" w:asciiTheme="minorHAnsi" w:hAnsiTheme="minorHAnsi" w:cstheme="minorHAnsi"/>
      <w:b/>
      <w:sz w:val="24"/>
      <w:szCs w:val="24"/>
      <w:u w:val="single"/>
      <w:lang/>
    </w:rPr>
  </w:style>
  <w:style w:type="paragraph" w:styleId="23">
    <w:name w:val="Body Text"/>
    <w:basedOn w:val="1"/>
    <w:link w:val="31"/>
    <w:unhideWhenUsed/>
    <w:qFormat/>
    <w:uiPriority w:val="99"/>
    <w:pPr>
      <w:spacing w:after="0" w:line="240" w:lineRule="auto"/>
      <w:jc w:val="center"/>
    </w:pPr>
    <w:rPr>
      <w:rFonts w:eastAsia="Verdana" w:asciiTheme="minorHAnsi" w:hAnsiTheme="minorHAnsi" w:cstheme="minorHAnsi"/>
      <w:sz w:val="36"/>
    </w:rPr>
  </w:style>
  <w:style w:type="paragraph" w:styleId="24">
    <w:name w:val="Body Text 3"/>
    <w:basedOn w:val="1"/>
    <w:link w:val="46"/>
    <w:semiHidden/>
    <w:unhideWhenUsed/>
    <w:qFormat/>
    <w:uiPriority w:val="99"/>
    <w:pPr>
      <w:spacing w:after="120"/>
    </w:pPr>
    <w:rPr>
      <w:sz w:val="16"/>
      <w:szCs w:val="16"/>
    </w:rPr>
  </w:style>
  <w:style w:type="table" w:styleId="2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Encabezado Car"/>
    <w:basedOn w:val="11"/>
    <w:link w:val="17"/>
    <w:qFormat/>
    <w:uiPriority w:val="99"/>
  </w:style>
  <w:style w:type="character" w:customStyle="1" w:styleId="27">
    <w:name w:val="Pie de página Car"/>
    <w:basedOn w:val="11"/>
    <w:link w:val="20"/>
    <w:uiPriority w:val="99"/>
  </w:style>
  <w:style w:type="character" w:customStyle="1" w:styleId="28">
    <w:name w:val="Título 2 Car"/>
    <w:basedOn w:val="11"/>
    <w:link w:val="3"/>
    <w:uiPriority w:val="9"/>
    <w:rPr>
      <w:rFonts w:eastAsia="Verdana" w:cstheme="minorHAnsi"/>
      <w:b/>
      <w:sz w:val="28"/>
    </w:rPr>
  </w:style>
  <w:style w:type="character" w:customStyle="1" w:styleId="29">
    <w:name w:val="Título 3 Car"/>
    <w:basedOn w:val="11"/>
    <w:link w:val="4"/>
    <w:qFormat/>
    <w:uiPriority w:val="9"/>
    <w:rPr>
      <w:rFonts w:eastAsia="Verdana" w:cstheme="minorHAnsi"/>
      <w:b/>
      <w:sz w:val="24"/>
      <w:szCs w:val="24"/>
      <w:lang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Texto independiente Car"/>
    <w:basedOn w:val="11"/>
    <w:link w:val="23"/>
    <w:qFormat/>
    <w:uiPriority w:val="99"/>
    <w:rPr>
      <w:rFonts w:eastAsia="Verdana" w:cstheme="minorHAnsi"/>
      <w:sz w:val="36"/>
    </w:rPr>
  </w:style>
  <w:style w:type="character" w:customStyle="1" w:styleId="32">
    <w:name w:val="Título 1 Car"/>
    <w:basedOn w:val="11"/>
    <w:link w:val="2"/>
    <w:qFormat/>
    <w:uiPriority w:val="9"/>
    <w:rPr>
      <w:rFonts w:eastAsia="Verdana" w:cstheme="minorHAnsi"/>
      <w:b/>
      <w:color w:val="002060"/>
      <w:sz w:val="36"/>
      <w:shd w:val="clear" w:color="auto" w:fill="00B050"/>
    </w:rPr>
  </w:style>
  <w:style w:type="character" w:customStyle="1" w:styleId="33">
    <w:name w:val="Título 4 Car"/>
    <w:basedOn w:val="11"/>
    <w:link w:val="5"/>
    <w:qFormat/>
    <w:uiPriority w:val="9"/>
    <w:rPr>
      <w:rFonts w:eastAsia="Verdana" w:cstheme="minorHAnsi"/>
      <w:b/>
      <w:color w:val="002060"/>
      <w:sz w:val="24"/>
      <w:szCs w:val="24"/>
      <w:lang/>
    </w:rPr>
  </w:style>
  <w:style w:type="character" w:customStyle="1" w:styleId="34">
    <w:name w:val="Título 5 Car"/>
    <w:basedOn w:val="11"/>
    <w:link w:val="6"/>
    <w:qFormat/>
    <w:uiPriority w:val="9"/>
    <w:rPr>
      <w:rFonts w:eastAsia="Verdana" w:cstheme="minorHAnsi"/>
      <w:b/>
      <w:color w:val="002060"/>
      <w:sz w:val="24"/>
      <w:szCs w:val="24"/>
      <w:lang/>
    </w:rPr>
  </w:style>
  <w:style w:type="character" w:customStyle="1" w:styleId="35">
    <w:name w:val="Texto independiente 2 Car"/>
    <w:basedOn w:val="11"/>
    <w:link w:val="16"/>
    <w:qFormat/>
    <w:uiPriority w:val="99"/>
    <w:rPr>
      <w:rFonts w:ascii="Book Antiqua" w:hAnsi="Book Antiqua" w:eastAsia="Calibri" w:cs="Times New Roman"/>
      <w:b/>
      <w:sz w:val="24"/>
    </w:rPr>
  </w:style>
  <w:style w:type="character" w:customStyle="1" w:styleId="36">
    <w:name w:val="selectable-text"/>
    <w:basedOn w:val="11"/>
    <w:uiPriority w:val="0"/>
  </w:style>
  <w:style w:type="character" w:customStyle="1" w:styleId="37">
    <w:name w:val="Título 7 C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38">
    <w:name w:val="Título 8 C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Título 9 Car"/>
    <w:basedOn w:val="11"/>
    <w:link w:val="10"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Sangría de texto normal Car"/>
    <w:basedOn w:val="11"/>
    <w:link w:val="19"/>
    <w:semiHidden/>
    <w:uiPriority w:val="99"/>
    <w:rPr>
      <w:rFonts w:ascii="Calibri" w:hAnsi="Calibri" w:eastAsia="Calibri" w:cs="Times New Roman"/>
    </w:rPr>
  </w:style>
  <w:style w:type="character" w:customStyle="1" w:styleId="41">
    <w:name w:val="Sangría 3 de t. independiente Car"/>
    <w:basedOn w:val="11"/>
    <w:link w:val="18"/>
    <w:semiHidden/>
    <w:qFormat/>
    <w:uiPriority w:val="99"/>
    <w:rPr>
      <w:rFonts w:ascii="Calibri" w:hAnsi="Calibri" w:eastAsia="Calibri" w:cs="Times New Roman"/>
      <w:sz w:val="16"/>
      <w:szCs w:val="16"/>
    </w:rPr>
  </w:style>
  <w:style w:type="character" w:customStyle="1" w:styleId="42">
    <w:name w:val="Sangría 2 de t. independiente Car"/>
    <w:basedOn w:val="11"/>
    <w:link w:val="21"/>
    <w:semiHidden/>
    <w:qFormat/>
    <w:uiPriority w:val="99"/>
    <w:rPr>
      <w:rFonts w:ascii="Calibri" w:hAnsi="Calibri" w:eastAsia="Calibri" w:cs="Times New Roman"/>
    </w:rPr>
  </w:style>
  <w:style w:type="table" w:customStyle="1" w:styleId="43">
    <w:name w:val="Grid Table 7 Colorful Accent 5"/>
    <w:basedOn w:val="12"/>
    <w:uiPriority w:val="52"/>
    <w:pPr>
      <w:spacing w:after="0" w:line="240" w:lineRule="auto"/>
    </w:pPr>
    <w:rPr>
      <w:rFonts w:eastAsia="Calibri"/>
      <w:color w:val="2F5597" w:themeColor="accent5" w:themeShade="BF"/>
    </w:r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  <w:tblStylePr w:type="neCell">
      <w:tcPr>
        <w:tcBorders>
          <w:bottom w:val="single" w:color="8EAADB" w:themeColor="accent5" w:themeTint="99" w:sz="4" w:space="0"/>
        </w:tcBorders>
      </w:tcPr>
    </w:tblStylePr>
    <w:tblStylePr w:type="nwCell">
      <w:tcPr>
        <w:tcBorders>
          <w:bottom w:val="single" w:color="8EAADB" w:themeColor="accent5" w:themeTint="99" w:sz="4" w:space="0"/>
        </w:tcBorders>
      </w:tcPr>
    </w:tblStylePr>
    <w:tblStylePr w:type="seCell">
      <w:tcPr>
        <w:tcBorders>
          <w:top w:val="single" w:color="8EAADB" w:themeColor="accent5" w:themeTint="99" w:sz="4" w:space="0"/>
        </w:tcBorders>
      </w:tcPr>
    </w:tblStylePr>
    <w:tblStylePr w:type="swCell">
      <w:tcPr>
        <w:tcBorders>
          <w:top w:val="single" w:color="8EAADB" w:themeColor="accent5" w:themeTint="99" w:sz="4" w:space="0"/>
        </w:tcBorders>
      </w:tcPr>
    </w:tblStylePr>
  </w:style>
  <w:style w:type="table" w:customStyle="1" w:styleId="44">
    <w:name w:val="Grid Table 1 Light Accent 6"/>
    <w:basedOn w:val="12"/>
    <w:qFormat/>
    <w:uiPriority w:val="46"/>
    <w:pPr>
      <w:spacing w:after="0" w:line="240" w:lineRule="auto"/>
    </w:pPr>
    <w:rPr>
      <w:rFonts w:eastAsia="Calibri"/>
    </w:rPr>
    <w:tblPr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45">
    <w:name w:val="Título 6 Car"/>
    <w:basedOn w:val="11"/>
    <w:link w:val="7"/>
    <w:uiPriority w:val="9"/>
    <w:rPr>
      <w:rFonts w:ascii="High Tower Text" w:hAnsi="High Tower Text" w:eastAsia="Calibri" w:cs="Arial"/>
      <w:b/>
      <w:color w:val="222222"/>
      <w:sz w:val="24"/>
      <w:szCs w:val="24"/>
    </w:rPr>
  </w:style>
  <w:style w:type="character" w:customStyle="1" w:styleId="46">
    <w:name w:val="Texto independiente 3 Car"/>
    <w:basedOn w:val="11"/>
    <w:link w:val="24"/>
    <w:semiHidden/>
    <w:uiPriority w:val="99"/>
    <w:rPr>
      <w:rFonts w:ascii="Calibri" w:hAnsi="Calibri" w:eastAsia="Calibri" w:cs="Times New Roman"/>
      <w:sz w:val="16"/>
      <w:szCs w:val="16"/>
    </w:rPr>
  </w:style>
  <w:style w:type="character" w:customStyle="1" w:styleId="47">
    <w:name w:val="Texto de globo Car"/>
    <w:basedOn w:val="11"/>
    <w:link w:val="15"/>
    <w:semiHidden/>
    <w:uiPriority w:val="99"/>
    <w:rPr>
      <w:rFonts w:ascii="Segoe UI" w:hAnsi="Segoe UI" w:eastAsia="Calibri" w:cs="Segoe UI"/>
      <w:sz w:val="18"/>
      <w:szCs w:val="18"/>
    </w:rPr>
  </w:style>
  <w:style w:type="character" w:customStyle="1" w:styleId="48">
    <w:name w:val="uv3um"/>
    <w:basedOn w:val="11"/>
    <w:uiPriority w:val="0"/>
  </w:style>
  <w:style w:type="table" w:customStyle="1" w:styleId="49">
    <w:name w:val="Plain Table 5"/>
    <w:basedOn w:val="12"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5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883</Words>
  <Characters>5164</Characters>
  <Lines>49</Lines>
  <Paragraphs>13</Paragraphs>
  <TotalTime>2</TotalTime>
  <ScaleCrop>false</ScaleCrop>
  <LinksUpToDate>false</LinksUpToDate>
  <CharactersWithSpaces>5960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2026-05-24T19:30:00Z</dcterms:created>
  <dc:creator>Kamy</dc:creator>
  <cp:lastModifiedBy>ejerc</cp:lastModifiedBy>
  <cp:lastPrinted>2026-05-24T19:28:00Z</cp:lastPrinted>
  <dcterms:modified xsi:type="dcterms:W3CDTF">2026-05-25T01:10:26Z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eyJoZGlkIjoiNTRlOWE5OWIwZjVjMjZiNGI0MmU5ZTQ1YmZhNDFmZjciLCJ1c2VySWQiOiIxNTI5NzM2MzAzNTY2In0=</vt:lpwstr>
  </property>
  <property fmtid="{D5CDD505-2E9C-101B-9397-08002B2CF9AE}" pid="3" name="KSOProductBuildVer">
    <vt:lpwstr>3082-12.1.0.26372</vt:lpwstr>
  </property>
  <property fmtid="{D5CDD505-2E9C-101B-9397-08002B2CF9AE}" pid="4" name="ICV">
    <vt:lpwstr>A75E75B289F64A8F98BB675519130417_12</vt:lpwstr>
  </property>
</Properties>
</file>