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Evaluation Package</w:t>
      </w:r>
    </w:p>
    <w:p>
      <w:pPr>
        <w:pStyle w:val="Subtitle"/>
      </w:pPr>
      <w:r>
        <w:t>Method, executable checks, current results and evidence still required</w:t>
      </w:r>
    </w:p>
    <w:p>
      <w:pPr>
        <w:spacing w:after="440"/>
      </w:pPr>
      <w:r>
        <w:rPr>
          <w:b/>
        </w:rPr>
        <w:t>EVALUATION PACKAGE</w:t>
      </w:r>
      <w:r>
        <w:br/>
        <w:t>Prepared by Elvis</w:t>
        <w:br/>
        <w:t>7 September 2026</w:t>
      </w:r>
    </w:p>
    <w:p>
      <w:pPr>
        <w:pStyle w:val="Heading1"/>
      </w:pPr>
      <w:r>
        <w:t>Current conclusion</w:t>
      </w:r>
    </w:p>
    <w:p>
      <w:r>
        <w:t>The implementation currently passes twelve automated tests and all nine report cases in the deterministic demo harness. The tenth case is a mocked retry contract. These results verify the software paths described here. They do not prove time savings, live model quality or adoption. I will add those claims only after the same frozen cases run with the configured models and the delivery manager completes the observed workflow.</w:t>
      </w:r>
    </w:p>
    <w:p>
      <w:pPr>
        <w:pStyle w:val="Heading1"/>
      </w:pPr>
      <w:r>
        <w:t>Evaluation question</w:t>
      </w:r>
    </w:p>
    <w:p>
      <w:r>
        <w:t>Can a delivery manager prepare a weekly client update faster without increasing factual or privacy risk? I separate report quality, workflow time, reliability and correction effort because one score would hide the reason a result passed or failed.</w:t>
      </w:r>
    </w:p>
    <w:p>
      <w:pPr>
        <w:pStyle w:val="Heading1"/>
      </w:pPr>
      <w:r>
        <w:t>Current verification</w:t>
      </w:r>
    </w:p>
    <w:tbl>
      <w:tblPr>
        <w:tblW w:type="auto" w:w="0"/>
        <w:jc w:val="center"/>
        <w:tblLayout w:type="fixed"/>
        <w:tblLook w:firstColumn="1" w:firstRow="1" w:lastColumn="0" w:lastRow="0" w:noHBand="0" w:noVBand="1" w:val="04A0"/>
      </w:tblPr>
      <w:tblGrid>
        <w:gridCol w:w="3264"/>
        <w:gridCol w:w="3264"/>
        <w:gridCol w:w="3264"/>
      </w:tblGrid>
      <w:tr>
        <w:tc>
          <w:tcPr>
            <w:tcW w:type="dxa" w:w="1944"/>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Check</w:t>
            </w:r>
          </w:p>
        </w:tc>
        <w:tc>
          <w:tcPr>
            <w:tcW w:type="dxa" w:w="2088"/>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Executed result</w:t>
            </w:r>
          </w:p>
        </w:tc>
        <w:tc>
          <w:tcPr>
            <w:tcW w:type="dxa" w:w="5688"/>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What it proves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Automated tests</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12 passed</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Core generators, validators, exports, storage and retry behavior</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Static analysis</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Ruff and mypy passed</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Current Python source meets configured lint and type checks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Demo report cases</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9 of 9 passed</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Deterministic sample behavior against the frozen manifest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Transient API case</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Covered by mocked contract test</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GitHub retry stops after the configured successful attempt</w:t>
            </w:r>
          </w:p>
        </w:tc>
      </w:tr>
    </w:tbl>
    <w:p>
      <w:pPr>
        <w:spacing w:after="40"/>
      </w:pPr>
    </w:p>
    <w:p>
      <w:pPr>
        <w:pStyle w:val="Heading1"/>
      </w:pPr>
      <w:r>
        <w:t>Evidence boundary</w:t>
      </w:r>
    </w:p>
    <w:p>
      <w:r>
        <w:t>The public demo uses labeled sample evidence. A perfect deterministic score is not a claim about Claude or a real manager. The final submission must attach the Haiku, Sonnet, direct-prompt and field-run result files before reporting the release thresholds as achieved.</w:t>
      </w:r>
    </w:p>
    <w:p>
      <w:r>
        <w:br w:type="page"/>
      </w:r>
    </w:p>
    <w:p>
      <w:pPr>
        <w:pStyle w:val="Heading1"/>
      </w:pPr>
      <w:r>
        <w:t>Baselines and comparison</w:t>
      </w:r>
    </w:p>
    <w:p>
      <w:pPr>
        <w:pStyle w:val="Heading2"/>
      </w:pPr>
      <w:r>
        <w:t>Previous workflow</w:t>
      </w:r>
    </w:p>
    <w:p>
      <w:r>
        <w:t>For three anonymized real weeks, the manager follows the existing process while I record collection, drafting, verification, correction and approval time. I also count source switches, omissions and changes before sending.</w:t>
      </w:r>
    </w:p>
    <w:p>
      <w:pPr>
        <w:pStyle w:val="Heading2"/>
      </w:pPr>
      <w:r>
        <w:t>Direct model baseline</w:t>
      </w:r>
    </w:p>
    <w:p>
      <w:r>
        <w:t>All ten frozen cases run through one Claude prompt without stable evidence IDs, source adapters, deterministic validation or approval controls. This isolates the value supplied by the workflow around the model.</w:t>
      </w:r>
    </w:p>
    <w:p>
      <w:pPr>
        <w:pStyle w:val="Heading2"/>
      </w:pPr>
      <w:r>
        <w:t>Final workflow</w:t>
      </w:r>
    </w:p>
    <w:p>
      <w:r>
        <w:t>The same cases run through Haiku, Sonnet and the validated workflow. Each result records the model ID, prompt version, timestamp, token use, latency and configured token rates.</w:t>
      </w:r>
    </w:p>
    <w:p>
      <w:pPr>
        <w:pStyle w:val="Heading1"/>
      </w:pPr>
      <w:r>
        <w:t>Measures and reasons</w:t>
      </w:r>
    </w:p>
    <w:tbl>
      <w:tblPr>
        <w:tblW w:type="auto" w:w="0"/>
        <w:jc w:val="center"/>
        <w:tblLayout w:type="fixed"/>
        <w:tblLook w:firstColumn="1" w:firstRow="1" w:lastColumn="0" w:lastRow="0" w:noHBand="0" w:noVBand="1" w:val="04A0"/>
      </w:tblPr>
      <w:tblGrid>
        <w:gridCol w:w="3264"/>
        <w:gridCol w:w="3264"/>
        <w:gridCol w:w="3264"/>
      </w:tblGrid>
      <w:tr>
        <w:tc>
          <w:tcPr>
            <w:tcW w:type="dxa" w:w="1800"/>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Measure</w:t>
            </w:r>
          </w:p>
        </w:tc>
        <w:tc>
          <w:tcPr>
            <w:tcW w:type="dxa" w:w="3024"/>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Calculation</w:t>
            </w:r>
          </w:p>
        </w:tc>
        <w:tc>
          <w:tcPr>
            <w:tcW w:type="dxa" w:w="4896"/>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Reason</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Grounding</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Supported cited facts / cited facts</w:t>
            </w:r>
          </w:p>
        </w:tc>
        <w:tc>
          <w:tcPr>
            <w:tcW w:type="dxa" w:w="48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Unsupported client claims create direct trust risk</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Coverage</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Expected facts represented / expected facts</w:t>
            </w:r>
          </w:p>
        </w:tc>
        <w:tc>
          <w:tcPr>
            <w:tcW w:type="dxa" w:w="48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A fluent report can omit important work or risk</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Action accuracy</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Supported action fields / expected fields</w:t>
            </w:r>
          </w:p>
        </w:tc>
        <w:tc>
          <w:tcPr>
            <w:tcW w:type="dxa" w:w="48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Wrong ownership creates operational rework</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Exception handling</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Expected behaviors observed / expected behaviors</w:t>
            </w:r>
          </w:p>
        </w:tc>
        <w:tc>
          <w:tcPr>
            <w:tcW w:type="dxa" w:w="48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Reliability requires more than a happy path</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Human edit rate</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Changed fields / generated fields</w:t>
            </w:r>
          </w:p>
        </w:tc>
        <w:tc>
          <w:tcPr>
            <w:tcW w:type="dxa" w:w="48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Measures correction burden left to the manager</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Workflow time</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Minutes from collection through approval</w:t>
            </w:r>
          </w:p>
        </w:tc>
        <w:tc>
          <w:tcPr>
            <w:tcW w:type="dxa" w:w="48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Tests the operational benefit</w:t>
            </w:r>
          </w:p>
        </w:tc>
      </w:tr>
    </w:tbl>
    <w:p>
      <w:pPr>
        <w:spacing w:after="40"/>
      </w:pPr>
    </w:p>
    <w:p>
      <w:r>
        <w:br w:type="page"/>
      </w:r>
    </w:p>
    <w:p>
      <w:pPr>
        <w:pStyle w:val="Heading1"/>
      </w:pPr>
      <w:r>
        <w:t>Ten frozen cases</w:t>
      </w:r>
    </w:p>
    <w:tbl>
      <w:tblPr>
        <w:tblW w:type="auto" w:w="0"/>
        <w:jc w:val="center"/>
        <w:tblLayout w:type="fixed"/>
        <w:tblLook w:firstColumn="1" w:firstRow="1" w:lastColumn="0" w:lastRow="0" w:noHBand="0" w:noVBand="1" w:val="04A0"/>
      </w:tblPr>
      <w:tblGrid>
        <w:gridCol w:w="3264"/>
        <w:gridCol w:w="3264"/>
        <w:gridCol w:w="3264"/>
      </w:tblGrid>
      <w:tr>
        <w:tc>
          <w:tcPr>
            <w:tcW w:type="dxa" w:w="936"/>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Case</w:t>
            </w:r>
          </w:p>
        </w:tc>
        <w:tc>
          <w:tcPr>
            <w:tcW w:type="dxa" w:w="3096"/>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Condition</w:t>
            </w:r>
          </w:p>
        </w:tc>
        <w:tc>
          <w:tcPr>
            <w:tcW w:type="dxa" w:w="5688"/>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Expected behavior</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01</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Normal week</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Supported completion and action</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02</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No completed work</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Do not invent completion</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03</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Multiple repositories</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Preserve evidence across repositories</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04</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Source conflict</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Block approval and identify both records</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05</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Duplicate evidence</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Avoid duplicate client bullets</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06</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Missing action fields</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Warn without inventing owner or date</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07</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Empty document</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Block empty evidence</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08</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Long notes</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Preserve supported weekly fact and action</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09</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Transient API error</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Retry three times and return a useful failure</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10</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Injection and PII</w:t>
            </w:r>
          </w:p>
        </w:tc>
        <w:tc>
          <w:tcPr>
            <w:tcW w:type="dxa" w:w="56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Treat instructions as content and prevent a leak</w:t>
            </w:r>
          </w:p>
        </w:tc>
      </w:tr>
    </w:tbl>
    <w:p>
      <w:pPr>
        <w:spacing w:after="40"/>
      </w:pPr>
    </w:p>
    <w:p>
      <w:pPr>
        <w:pStyle w:val="Heading1"/>
      </w:pPr>
      <w:r>
        <w:t>Release criteria</w:t>
      </w:r>
    </w:p>
    <w:p>
      <w:pPr>
        <w:pStyle w:val="ListBullet"/>
        <w:spacing w:after="60"/>
      </w:pPr>
      <w:r>
        <w:t>At least 9 of 10 total cases pass, and every safety case passes.</w:t>
      </w:r>
    </w:p>
    <w:p>
      <w:pPr>
        <w:pStyle w:val="ListBullet"/>
        <w:spacing w:after="60"/>
      </w:pPr>
      <w:r>
        <w:t>Grounding reaches 95 percent and coverage reaches 90 percent.</w:t>
      </w:r>
    </w:p>
    <w:p>
      <w:pPr>
        <w:pStyle w:val="ListBullet"/>
        <w:spacing w:after="60"/>
      </w:pPr>
      <w:r>
        <w:t>Action accuracy reaches 85 percent.</w:t>
      </w:r>
    </w:p>
    <w:p>
      <w:pPr>
        <w:pStyle w:val="ListBullet"/>
        <w:spacing w:after="60"/>
      </w:pPr>
      <w:r>
        <w:t>Median user workflow time falls by at least 60 percent.</w:t>
      </w:r>
    </w:p>
    <w:p>
      <w:pPr>
        <w:pStyle w:val="ListBullet"/>
        <w:spacing w:after="60"/>
      </w:pPr>
      <w:r>
        <w:t>Blocking findings cannot be approved.</w:t>
      </w:r>
    </w:p>
    <w:p>
      <w:r>
        <w:t>Grounding and safety receive the strictest thresholds because a wrong client claim matters more than a missing low-priority detail. Ten cases remain too few for a broad production reliability claim.</w:t>
      </w:r>
    </w:p>
    <w:p>
      <w:r>
        <w:br w:type="page"/>
      </w:r>
    </w:p>
    <w:p>
      <w:pPr>
        <w:pStyle w:val="Heading1"/>
      </w:pPr>
      <w:r>
        <w:t>Failure analysis and remaining work</w:t>
      </w:r>
    </w:p>
    <w:p>
      <w:pPr>
        <w:pStyle w:val="Heading2"/>
      </w:pPr>
      <w:r>
        <w:t>Required failure record</w:t>
      </w:r>
    </w:p>
    <w:p>
      <w:r>
        <w:t>For at least three executed failures I will record the observed behavior, affected case, root cause, reason the original design allowed it, change made, regression result and remaining limitation. Each record will link to a test or result file.</w:t>
      </w:r>
    </w:p>
    <w:p>
      <w:pPr>
        <w:pStyle w:val="Heading2"/>
      </w:pPr>
      <w:r>
        <w:t>Evidence still required</w:t>
      </w:r>
    </w:p>
    <w:p>
      <w:pPr>
        <w:pStyle w:val="ListBullet"/>
        <w:spacing w:after="60"/>
      </w:pPr>
      <w:r>
        <w:t>Three measured manual workflow runs and the manager's edit record</w:t>
      </w:r>
    </w:p>
    <w:p>
      <w:pPr>
        <w:pStyle w:val="ListBullet"/>
        <w:spacing w:after="60"/>
      </w:pPr>
      <w:r>
        <w:t>Ten direct-prompt baseline outputs</w:t>
      </w:r>
    </w:p>
    <w:p>
      <w:pPr>
        <w:pStyle w:val="ListBullet"/>
        <w:spacing w:after="60"/>
      </w:pPr>
      <w:r>
        <w:t>Haiku and Sonnet runs over the frozen cases</w:t>
      </w:r>
    </w:p>
    <w:p>
      <w:pPr>
        <w:pStyle w:val="ListBullet"/>
        <w:spacing w:after="60"/>
      </w:pPr>
      <w:r>
        <w:t>One unaided user run and Day 4 feedback</w:t>
      </w:r>
    </w:p>
    <w:p>
      <w:pPr>
        <w:pStyle w:val="ListBullet"/>
        <w:spacing w:after="60"/>
      </w:pPr>
      <w:r>
        <w:t>Final model decision, cost, latency and regression table</w:t>
      </w:r>
    </w:p>
    <w:p>
      <w:pPr>
        <w:pStyle w:val="Heading2"/>
      </w:pPr>
      <w:r>
        <w:t>Current limits</w:t>
      </w:r>
    </w:p>
    <w:p>
      <w:r>
        <w:t>The first evaluation covers one project, one manager and ten cases. Pattern checks can produce false positives. Read-only access reduces source-system risk but cannot determine whether client wording represents the manager's judgment. The manager remains the approver.</w:t>
      </w:r>
    </w:p>
    <w:sectPr w:rsidR="00FC693F" w:rsidRPr="0006063C" w:rsidSect="00034616">
      <w:footerReference w:type="default" r:id="rId9"/>
      <w:pgSz w:w="12240" w:h="15840"/>
      <w:pgMar w:top="1080"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DeliveryBrief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1820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400"/>
    </w:pPr>
    <w:rPr>
      <w:rFonts w:asciiTheme="majorHAnsi" w:eastAsiaTheme="majorEastAsia" w:hAnsiTheme="majorHAnsi" w:cstheme="majorBidi" w:ascii="Aptos Display" w:hAnsi="Aptos Display"/>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DeliveryBrief Evaluation Package</dc:title>
  <dc:subject>DeliveryBrief Quest submission</dc:subject>
  <dc:creator>Elvis</dc:creator>
  <cp:keywords/>
  <dc:description>generated by python-docx</dc:description>
  <cp:lastModifiedBy/>
  <cp:revision>1</cp:revision>
  <dcterms:created xsi:type="dcterms:W3CDTF">2013-12-23T23:15:00Z</dcterms:created>
  <dcterms:modified xsi:type="dcterms:W3CDTF">2013-12-23T23:15:00Z</dcterms:modified>
  <cp:category/>
</cp:coreProperties>
</file>