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Política de Compliance e Prevenção à Lavagem de Dinheiro e ao Financiamento do Terrorismo (PLD/FT)</w:t>
      </w:r>
    </w:p>
    <w:p/>
    <w:p>
      <w:r/>
      <w:r>
        <w:rPr>
          <w:b/>
        </w:rPr>
        <w:t>Versão:</w:t>
      </w:r>
      <w:r>
        <w:t xml:space="preserve"> 1.0</w:t>
      </w:r>
    </w:p>
    <w:p/>
    <w:p>
      <w:r/>
      <w:r>
        <w:rPr>
          <w:b/>
        </w:rPr>
        <w:t>Data de Aprovação:</w:t>
      </w:r>
      <w:r>
        <w:t xml:space="preserve"> 13/01/2026</w:t>
      </w:r>
    </w:p>
    <w:p/>
    <w:p>
      <w:pPr>
        <w:pStyle w:val="Heading1"/>
      </w:pPr>
      <w:r>
        <w:t>1. Objetivo</w:t>
      </w:r>
    </w:p>
    <w:p/>
    <w:p>
      <w:r>
        <w:t>Esta política estabelece as diretrizes e os procedimentos que devem ser observados pela instituição para prevenir e combater os crimes de lavagem de dinheiro e financiamento ao terrorismo (PLD/FT), em conformidade com a Lei nº 9.613/98 e as regulamentações do Banco Central do Brasil e do COAF (Conselho de Controle de Atividades Financeiras).</w:t>
      </w:r>
    </w:p>
    <w:p/>
    <w:p>
      <w:pPr>
        <w:pStyle w:val="Heading1"/>
      </w:pPr>
      <w:r>
        <w:t>2. Abrangência</w:t>
      </w:r>
    </w:p>
    <w:p/>
    <w:p>
      <w:r>
        <w:t>Esta política se aplica a todos os colaboradores, administradores, parceiros de negócios e prestadores de serviços da instituição, em todas as áreas e processos, especialmente na abertura de contas, na concessão de crédito e na realização de transações financeiras.</w:t>
      </w:r>
    </w:p>
    <w:p/>
    <w:p>
      <w:pPr>
        <w:pStyle w:val="Heading1"/>
      </w:pPr>
      <w:r>
        <w:t>3. Princípios Fundamentais</w:t>
      </w:r>
    </w:p>
    <w:p/>
    <w:p>
      <w:pPr>
        <w:pStyle w:val="ListBullet"/>
      </w:pPr>
      <w:r/>
      <w:r>
        <w:rPr>
          <w:b/>
        </w:rPr>
        <w:t>Tolerância Zero:</w:t>
      </w:r>
      <w:r>
        <w:t xml:space="preserve"> A instituição adota uma postura de tolerância zero em relação à lavagem de dinheiro e ao financiamento do terrorismo.</w:t>
      </w:r>
    </w:p>
    <w:p>
      <w:pPr>
        <w:pStyle w:val="ListBullet"/>
      </w:pPr>
      <w:r/>
      <w:r>
        <w:rPr>
          <w:b/>
        </w:rPr>
        <w:t>Conheça seu Cliente (KYC - Know Your Customer):</w:t>
      </w:r>
      <w:r>
        <w:t xml:space="preserve"> Implementação de procedimentos rigorosos para a identificação e qualificação de todos os clientes.</w:t>
      </w:r>
    </w:p>
    <w:p>
      <w:pPr>
        <w:pStyle w:val="ListBullet"/>
      </w:pPr>
      <w:r/>
      <w:r>
        <w:rPr>
          <w:b/>
        </w:rPr>
        <w:t>Conheça seu Funcionário (KYE - Know Your Employee):</w:t>
      </w:r>
      <w:r>
        <w:t xml:space="preserve"> Adoção de práticas para garantir a integridade e a idoneidade dos colaboradores.</w:t>
      </w:r>
    </w:p>
    <w:p>
      <w:pPr>
        <w:pStyle w:val="ListBullet"/>
      </w:pPr>
      <w:r/>
      <w:r>
        <w:rPr>
          <w:b/>
        </w:rPr>
        <w:t>Monitoramento Contínuo:</w:t>
      </w:r>
      <w:r>
        <w:t xml:space="preserve"> Acompanhamento constante das operações e transações dos clientes para identificar atividades atípicas ou suspeitas.</w:t>
      </w:r>
    </w:p>
    <w:p>
      <w:pPr>
        <w:pStyle w:val="ListBullet"/>
      </w:pPr>
      <w:r/>
      <w:r>
        <w:rPr>
          <w:b/>
        </w:rPr>
        <w:t>Comunicação ao COAF:</w:t>
      </w:r>
      <w:r>
        <w:t xml:space="preserve"> Comunicação de todas as operações e situações suspeitas ao COAF, nos prazos e formas estabelecidos pela regulamentação.</w:t>
      </w:r>
    </w:p>
    <w:p/>
    <w:p>
      <w:pPr>
        <w:pStyle w:val="Heading1"/>
      </w:pPr>
      <w:r>
        <w:t>4. Procedimentos de PLD/FT</w:t>
      </w:r>
    </w:p>
    <w:p/>
    <w:p>
      <w:pPr>
        <w:pStyle w:val="Heading2"/>
      </w:pPr>
      <w:r>
        <w:t>4.1. Cadastro de Clientes (KYC)</w:t>
      </w:r>
    </w:p>
    <w:p/>
    <w:p>
      <w:pPr>
        <w:pStyle w:val="ListBullet"/>
      </w:pPr>
      <w:r/>
      <w:r>
        <w:rPr>
          <w:b/>
        </w:rPr>
        <w:t>Identificação:</w:t>
      </w:r>
      <w:r>
        <w:t xml:space="preserve"> Coleta de informações e documentos para a completa identificação do cliente (pessoa física ou jurídica), incluindo beneficiários finais.</w:t>
      </w:r>
    </w:p>
    <w:p>
      <w:pPr>
        <w:pStyle w:val="ListBullet"/>
      </w:pPr>
      <w:r/>
      <w:r>
        <w:rPr>
          <w:b/>
        </w:rPr>
        <w:t>Qualificação:</w:t>
      </w:r>
      <w:r>
        <w:t xml:space="preserve"> Análise da compatibilidade entre a capacidade financeira declarada, a atividade econômica e as operações realizadas pelo cliente.</w:t>
      </w:r>
    </w:p>
    <w:p>
      <w:pPr>
        <w:pStyle w:val="ListBullet"/>
      </w:pPr>
      <w:r/>
      <w:r>
        <w:rPr>
          <w:b/>
        </w:rPr>
        <w:t>Classificação de Risco:</w:t>
      </w:r>
      <w:r>
        <w:t xml:space="preserve"> Os clientes serão classificados em categorias de risco (baixo, médio, alto) para fins de PLD/FT, determinando o nível de monitoramento a ser aplicado.</w:t>
      </w:r>
    </w:p>
    <w:p>
      <w:pPr>
        <w:pStyle w:val="ListBullet"/>
      </w:pPr>
      <w:r/>
      <w:r>
        <w:rPr>
          <w:b/>
        </w:rPr>
        <w:t>Pessoas Expostas Politicamente (PEP):</w:t>
      </w:r>
      <w:r>
        <w:t xml:space="preserve"> Identificação e tratamento diferenciado para clientes que se enquadrem na definição de PEP, conforme regulamentação.</w:t>
      </w:r>
    </w:p>
    <w:p/>
    <w:p>
      <w:pPr>
        <w:pStyle w:val="Heading2"/>
      </w:pPr>
      <w:r>
        <w:t>4.2. Monitoramento e Análise de Operações</w:t>
      </w:r>
    </w:p>
    <w:p/>
    <w:p>
      <w:pPr>
        <w:pStyle w:val="ListBullet"/>
      </w:pPr>
      <w:r>
        <w:t>A instituição utilizará um sistema de monitoramento transacional para identificar operações que apresentem indícios de lavagem de dinheiro ou financiamento ao terrorismo.</w:t>
      </w:r>
    </w:p>
    <w:p>
      <w:pPr>
        <w:pStyle w:val="ListBullet"/>
      </w:pPr>
      <w:r>
        <w:t>Serão considerados sinais de alerta, entre outros:</w:t>
      </w:r>
    </w:p>
    <w:p>
      <w:r>
        <w:t xml:space="preserve">    - Operações com valores incompatíveis com a capacidade financeira do cliente.</w:t>
      </w:r>
    </w:p>
    <w:p>
      <w:r>
        <w:t xml:space="preserve">    - Transações fracionadas para fugir dos limites de comunicação.</w:t>
      </w:r>
    </w:p>
    <w:p>
      <w:r>
        <w:t xml:space="preserve">    - Operações envolvendo paraísos fiscais ou países com deficiências em PLD/FT.</w:t>
      </w:r>
    </w:p>
    <w:p>
      <w:r>
        <w:t xml:space="preserve">    - Resistência do cliente em fornecer informações ou apresentação de informações falsas.</w:t>
      </w:r>
    </w:p>
    <w:p/>
    <w:p>
      <w:pPr>
        <w:pStyle w:val="Heading2"/>
      </w:pPr>
      <w:r>
        <w:t>4.3. Comunicação ao COAF</w:t>
      </w:r>
    </w:p>
    <w:p/>
    <w:p>
      <w:pPr>
        <w:pStyle w:val="ListBullet"/>
      </w:pPr>
      <w:r/>
      <w:r>
        <w:rPr>
          <w:b/>
        </w:rPr>
        <w:t>Comunicação Automática:</w:t>
      </w:r>
      <w:r>
        <w:t xml:space="preserve"> As operações que atingirem os limites de valor definidos pela regulamentação serão comunicadas automaticamente ao COAF.</w:t>
      </w:r>
    </w:p>
    <w:p>
      <w:pPr>
        <w:pStyle w:val="ListBullet"/>
      </w:pPr>
      <w:r/>
      <w:r>
        <w:rPr>
          <w:b/>
        </w:rPr>
        <w:t>Comunicação de Suspeita:</w:t>
      </w:r>
      <w:r>
        <w:t xml:space="preserve"> Qualquer operação ou situação que, após análise, for considerada suspeita de lavagem de dinheiro ou financiamento ao terrorismo, será comunicada ao COAF em até 24 horas, independentemente de seu valor.</w:t>
      </w:r>
    </w:p>
    <w:p/>
    <w:p>
      <w:pPr>
        <w:pStyle w:val="Heading1"/>
      </w:pPr>
      <w:r>
        <w:t>5. Treinamento</w:t>
      </w:r>
    </w:p>
    <w:p/>
    <w:p>
      <w:r>
        <w:t>Todos os colaboradores da instituição deverão participar de treinamentos periódicos sobre PLD/FT, a fim de se manterem atualizados sobre a legislação, as políticas internas e os procedimentos para identificar e comunicar operações suspeitas.</w:t>
      </w:r>
    </w:p>
    <w:p/>
    <w:p>
      <w:pPr>
        <w:pStyle w:val="Heading1"/>
      </w:pPr>
      <w:r>
        <w:t>6. Governança</w:t>
      </w:r>
    </w:p>
    <w:p/>
    <w:p>
      <w:pPr>
        <w:pStyle w:val="ListBullet"/>
      </w:pPr>
      <w:r/>
      <w:r>
        <w:rPr>
          <w:b/>
        </w:rPr>
        <w:t>Diretor Responsável:</w:t>
      </w:r>
      <w:r>
        <w:t xml:space="preserve"> A instituição designará um diretor estatutário como responsável pelo cumprimento da política de PLD/FT.</w:t>
      </w:r>
    </w:p>
    <w:p>
      <w:pPr>
        <w:pStyle w:val="ListBullet"/>
      </w:pPr>
      <w:r/>
      <w:r>
        <w:rPr>
          <w:b/>
        </w:rPr>
        <w:t>Área de Compliance:</w:t>
      </w:r>
      <w:r>
        <w:t xml:space="preserve"> A área de Compliance será responsável pela implementação, disseminação e monitoramento desta política.</w:t>
      </w:r>
    </w:p>
    <w:p>
      <w:pPr>
        <w:pStyle w:val="ListBullet"/>
      </w:pPr>
      <w:r/>
      <w:r>
        <w:rPr>
          <w:b/>
        </w:rPr>
        <w:t>Auditoria Interna:</w:t>
      </w:r>
      <w:r>
        <w:t xml:space="preserve"> A eficácia dos controles de PLD/FT será avaliada periodicamente pela auditoria interna.</w:t>
      </w:r>
    </w:p>
    <w:p/>
    <w:p>
      <w:pPr>
        <w:pStyle w:val="Heading1"/>
      </w:pPr>
      <w:r>
        <w:t>7. Revisão da Política</w:t>
      </w:r>
    </w:p>
    <w:p/>
    <w:p>
      <w:r>
        <w:t>Esta política será revisada anualmente ou sempre que houver alterações na legislação ou nas recomendações dos órgãos reguladores.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