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Política de Concessão de Crédito</w:t>
      </w:r>
    </w:p>
    <w:p/>
    <w:p>
      <w:r/>
      <w:r>
        <w:rPr>
          <w:b/>
        </w:rPr>
        <w:t>Versão:</w:t>
      </w:r>
      <w:r>
        <w:t xml:space="preserve"> 1.0</w:t>
      </w:r>
    </w:p>
    <w:p/>
    <w:p>
      <w:r/>
      <w:r>
        <w:rPr>
          <w:b/>
        </w:rPr>
        <w:t>Data de Aprovação:</w:t>
      </w:r>
      <w:r>
        <w:t xml:space="preserve"> 13/01/2026</w:t>
      </w:r>
    </w:p>
    <w:p/>
    <w:p>
      <w:pPr>
        <w:pStyle w:val="Heading1"/>
      </w:pPr>
      <w:r>
        <w:t>1. Objetivo</w:t>
      </w:r>
    </w:p>
    <w:p/>
    <w:p>
      <w:r>
        <w:t>Esta política estabelece as diretrizes e os critérios para a concessão de crédito a pessoas físicas e jurídicas, visando garantir a segurança das operações, a saúde da carteira de crédito da instituição e o cumprimento das regulamentações vigentes. O objetivo é conceder crédito de forma responsável, minimizando os riscos de inadimplência e superendividamento dos clientes.</w:t>
      </w:r>
    </w:p>
    <w:p/>
    <w:p>
      <w:pPr>
        <w:pStyle w:val="Heading1"/>
      </w:pPr>
      <w:r>
        <w:t>2. Abrangência</w:t>
      </w:r>
    </w:p>
    <w:p/>
    <w:p>
      <w:r>
        <w:t>Esta política se aplica a todos os produtos de crédito oferecidos pela instituição, incluindo, mas não se limitando a:</w:t>
      </w:r>
    </w:p>
    <w:p/>
    <w:p>
      <w:pPr>
        <w:pStyle w:val="ListBullet"/>
      </w:pPr>
      <w:r>
        <w:t>Empréstimos Pessoais</w:t>
      </w:r>
    </w:p>
    <w:p>
      <w:pPr>
        <w:pStyle w:val="ListBullet"/>
      </w:pPr>
      <w:r>
        <w:t>Financiamentos de Veículos</w:t>
      </w:r>
    </w:p>
    <w:p>
      <w:pPr>
        <w:pStyle w:val="ListBullet"/>
      </w:pPr>
      <w:r>
        <w:t>Crédito Imobiliário</w:t>
      </w:r>
    </w:p>
    <w:p>
      <w:pPr>
        <w:pStyle w:val="ListBullet"/>
      </w:pPr>
      <w:r>
        <w:t>Cartões de Crédito</w:t>
      </w:r>
    </w:p>
    <w:p>
      <w:pPr>
        <w:pStyle w:val="ListBullet"/>
      </w:pPr>
      <w:r>
        <w:t>Cheque Especial</w:t>
      </w:r>
    </w:p>
    <w:p>
      <w:pPr>
        <w:pStyle w:val="ListBullet"/>
      </w:pPr>
      <w:r>
        <w:t>Capital de Giro para Empresas</w:t>
      </w:r>
    </w:p>
    <w:p/>
    <w:p>
      <w:pPr>
        <w:pStyle w:val="Heading1"/>
      </w:pPr>
      <w:r>
        <w:t>3. Diretrizes Gerais</w:t>
      </w:r>
    </w:p>
    <w:p/>
    <w:p>
      <w:pPr>
        <w:pStyle w:val="ListBullet"/>
      </w:pPr>
      <w:r/>
      <w:r>
        <w:rPr>
          <w:b/>
        </w:rPr>
        <w:t>Análise Cadastral:</w:t>
      </w:r>
      <w:r>
        <w:t xml:space="preserve"> Toda concessão de crédito será precedida de uma análise cadastral completa do proponente, incluindo a verificação de documentos de identificação, comprovantes de renda e residência, e consulta a órgãos de proteção ao crédito (Serasa, SPC, etc.).</w:t>
      </w:r>
    </w:p>
    <w:p>
      <w:pPr>
        <w:pStyle w:val="ListBullet"/>
      </w:pPr>
      <w:r/>
      <w:r>
        <w:rPr>
          <w:b/>
        </w:rPr>
        <w:t>Análise de Risco:</w:t>
      </w:r>
      <w:r>
        <w:t xml:space="preserve"> A análise de risco de crédito avaliará a capacidade de pagamento do cliente, seu histórico de crédito, e o risco associado à operação. A instituição utilizará um sistema de score de crédito para classificar os proponentes.</w:t>
      </w:r>
    </w:p>
    <w:p>
      <w:pPr>
        <w:pStyle w:val="ListBullet"/>
      </w:pPr>
      <w:r/>
      <w:r>
        <w:rPr>
          <w:b/>
        </w:rPr>
        <w:t>Comprometimento de Renda:</w:t>
      </w:r>
      <w:r>
        <w:t xml:space="preserve"> O valor total das obrigações financeiras do cliente, incluindo a nova parcela do crédito solicitado, </w:t>
      </w:r>
      <w:r>
        <w:rPr>
          <w:b/>
        </w:rPr>
        <w:t>não deverá exceder 80% de sua renda mensal comprovada</w:t>
      </w:r>
      <w:r>
        <w:t>. Em casos excepcionais, e com a devida justificativa e aprovação de alçada superior, este limite poderá ser flexibilizado.</w:t>
      </w:r>
    </w:p>
    <w:p>
      <w:pPr>
        <w:pStyle w:val="ListBullet"/>
      </w:pPr>
      <w:r/>
      <w:r>
        <w:rPr>
          <w:b/>
        </w:rPr>
        <w:t>Alçadas de Aprovação:</w:t>
      </w:r>
      <w:r>
        <w:t xml:space="preserve"> As operações de crédito deverão ser aprovadas de acordo com as alçadas de competência definidas em normativo interno, baseadas no valor da operação e no nível de risco do cliente.</w:t>
      </w:r>
    </w:p>
    <w:p/>
    <w:p>
      <w:pPr>
        <w:pStyle w:val="Heading1"/>
      </w:pPr>
      <w:r>
        <w:t>4. Critérios de Elegibilidade</w:t>
      </w:r>
    </w:p>
    <w:p/>
    <w:p>
      <w:pPr>
        <w:pStyle w:val="Heading2"/>
      </w:pPr>
      <w:r>
        <w:t>4.1. Pessoas Físicas</w:t>
      </w:r>
    </w:p>
    <w:p/>
    <w:p>
      <w:pPr>
        <w:pStyle w:val="ListBullet"/>
      </w:pPr>
      <w:r>
        <w:t>Ser maior de 18 anos ou emancipado.</w:t>
      </w:r>
    </w:p>
    <w:p>
      <w:pPr>
        <w:pStyle w:val="ListBullet"/>
      </w:pPr>
      <w:r>
        <w:t>Possuir CPF regular.</w:t>
      </w:r>
    </w:p>
    <w:p>
      <w:pPr>
        <w:pStyle w:val="ListBullet"/>
      </w:pPr>
      <w:r>
        <w:t>Não possuir restrições cadastrais nos órgãos de proteção ao crédito.</w:t>
      </w:r>
    </w:p>
    <w:p>
      <w:pPr>
        <w:pStyle w:val="ListBullet"/>
      </w:pPr>
      <w:r>
        <w:t>Apresentar documentação completa e atualizada.</w:t>
      </w:r>
    </w:p>
    <w:p>
      <w:pPr>
        <w:pStyle w:val="ListBullet"/>
      </w:pPr>
      <w:r>
        <w:t>Obter score de crédito mínimo de 600 pontos (em uma escala de 0 a 1000).</w:t>
      </w:r>
    </w:p>
    <w:p/>
    <w:p>
      <w:pPr>
        <w:pStyle w:val="Heading2"/>
      </w:pPr>
      <w:r>
        <w:t>4.2. Pessoas Jurídicas</w:t>
      </w:r>
    </w:p>
    <w:p/>
    <w:p>
      <w:pPr>
        <w:pStyle w:val="ListBullet"/>
      </w:pPr>
      <w:r>
        <w:t>Estar regularmente constituída e com CNPJ ativo.</w:t>
      </w:r>
    </w:p>
    <w:p>
      <w:pPr>
        <w:pStyle w:val="ListBullet"/>
      </w:pPr>
      <w:r>
        <w:t>Apresentar boa saúde financeira, comprovada por meio de balanços, DREs e outros demonstrativos.</w:t>
      </w:r>
    </w:p>
    <w:p>
      <w:pPr>
        <w:pStyle w:val="ListBullet"/>
      </w:pPr>
      <w:r>
        <w:t>Não possuir restrições em nome da empresa ou de seus sócios.</w:t>
      </w:r>
    </w:p>
    <w:p>
      <w:pPr>
        <w:pStyle w:val="ListBullet"/>
      </w:pPr>
      <w:r>
        <w:t>Apresentar garantias reais ou fidejussórias, quando aplicável.</w:t>
      </w:r>
    </w:p>
    <w:p/>
    <w:p>
      <w:pPr>
        <w:pStyle w:val="Heading1"/>
      </w:pPr>
      <w:r>
        <w:t>5. Vedações</w:t>
      </w:r>
    </w:p>
    <w:p/>
    <w:p>
      <w:r>
        <w:t>É vedada a concessão de crédito nas seguintes situações:</w:t>
      </w:r>
    </w:p>
    <w:p/>
    <w:p>
      <w:pPr>
        <w:pStyle w:val="ListBullet"/>
      </w:pPr>
      <w:r>
        <w:t>Proponentes com histórico de fraude.</w:t>
      </w:r>
    </w:p>
    <w:p>
      <w:pPr>
        <w:pStyle w:val="ListBullet"/>
      </w:pPr>
      <w:r>
        <w:t>Operações que caracterizem indícios de lavagem de dinheiro ou financiamento ao terrorismo, conforme a Política de PLD/FT.</w:t>
      </w:r>
    </w:p>
    <w:p>
      <w:pPr>
        <w:pStyle w:val="ListBullet"/>
      </w:pPr>
      <w:r>
        <w:t>Concessão de crédito a pessoas ou empresas em listas de sanções nacionais ou internacionais.</w:t>
      </w:r>
    </w:p>
    <w:p/>
    <w:p>
      <w:pPr>
        <w:pStyle w:val="Heading1"/>
      </w:pPr>
      <w:r>
        <w:t>6. Revisão da Política</w:t>
      </w:r>
    </w:p>
    <w:p/>
    <w:p>
      <w:r>
        <w:t>Esta política será revisada anualmente ou sempre que houver mudanças significativas no cenário econômico, nas regulamentações ou na estratégia de negócios da instituição.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