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Regulamento de Cobrança</w:t>
      </w:r>
    </w:p>
    <w:p/>
    <w:p>
      <w:r/>
      <w:r>
        <w:rPr>
          <w:b/>
        </w:rPr>
        <w:t>Versão:</w:t>
      </w:r>
      <w:r>
        <w:t xml:space="preserve"> 1.0</w:t>
      </w:r>
    </w:p>
    <w:p/>
    <w:p>
      <w:r/>
      <w:r>
        <w:rPr>
          <w:b/>
        </w:rPr>
        <w:t>Data de Aprovação:</w:t>
      </w:r>
      <w:r>
        <w:t xml:space="preserve"> 13/01/2026</w:t>
      </w:r>
    </w:p>
    <w:p/>
    <w:p>
      <w:pPr>
        <w:pStyle w:val="Heading1"/>
      </w:pPr>
      <w:r>
        <w:t>1. Objetivo</w:t>
      </w:r>
    </w:p>
    <w:p/>
    <w:p>
      <w:r>
        <w:t>Este regulamento estabelece as diretrizes e os procedimentos para a cobrança de valores devidos à instituição, decorrentes de operações de crédito em atraso. O objetivo é recuperar os créditos de forma eficiente e respeitosa, em conformidade com a legislação vigente, em especial o Código de Defesa do Consumidor.</w:t>
      </w:r>
    </w:p>
    <w:p/>
    <w:p>
      <w:pPr>
        <w:pStyle w:val="Heading1"/>
      </w:pPr>
      <w:r>
        <w:t>2. Princípios da Cobrança</w:t>
      </w:r>
    </w:p>
    <w:p/>
    <w:p>
      <w:r>
        <w:t>A atividade de cobrança será pautada pelos seguintes princípios:</w:t>
      </w:r>
    </w:p>
    <w:p/>
    <w:p>
      <w:pPr>
        <w:pStyle w:val="ListBullet"/>
      </w:pPr>
      <w:r/>
      <w:r>
        <w:rPr>
          <w:b/>
        </w:rPr>
        <w:t>Respeito ao Consumidor:</w:t>
      </w:r>
      <w:r>
        <w:t xml:space="preserve"> A cobrança não exporá o cliente ao ridículo, nem o submeterá a qualquer tipo de constrangimento ou ameaça.</w:t>
      </w:r>
    </w:p>
    <w:p>
      <w:pPr>
        <w:pStyle w:val="ListBullet"/>
      </w:pPr>
      <w:r/>
      <w:r>
        <w:rPr>
          <w:b/>
        </w:rPr>
        <w:t>Transparência:</w:t>
      </w:r>
      <w:r>
        <w:t xml:space="preserve"> Todas as informações sobre o débito, incluindo o valor principal, juros, multas e encargos, serão apresentadas de forma clara e precisa.</w:t>
      </w:r>
    </w:p>
    <w:p>
      <w:pPr>
        <w:pStyle w:val="ListBullet"/>
      </w:pPr>
      <w:r/>
      <w:r>
        <w:rPr>
          <w:b/>
        </w:rPr>
        <w:t>Boa-fé:</w:t>
      </w:r>
      <w:r>
        <w:t xml:space="preserve"> A instituição buscará soluções amigáveis e negociadas para a quitação da dívida, sempre que possível.</w:t>
      </w:r>
    </w:p>
    <w:p>
      <w:pPr>
        <w:pStyle w:val="ListBullet"/>
      </w:pPr>
      <w:r/>
      <w:r>
        <w:rPr>
          <w:b/>
        </w:rPr>
        <w:t>Legalidade:</w:t>
      </w:r>
      <w:r>
        <w:t xml:space="preserve"> Todos os procedimentos de cobrança seguirão estritamente o que determina a legislação brasileira.</w:t>
      </w:r>
    </w:p>
    <w:p/>
    <w:p>
      <w:pPr>
        <w:pStyle w:val="Heading1"/>
      </w:pPr>
      <w:r>
        <w:t>3. Procedimentos de Cobrança</w:t>
      </w:r>
    </w:p>
    <w:p/>
    <w:p>
      <w:r>
        <w:t>A régua de cobrança será aplicada de forma progressiva, de acordo com o tempo de atraso da dívida.</w:t>
      </w:r>
    </w:p>
    <w:p/>
    <w:p>
      <w:pPr>
        <w:pStyle w:val="Heading2"/>
      </w:pPr>
      <w:r>
        <w:t>3.1. Cobrança Preventiva (Até 5 dias de atraso)</w:t>
      </w:r>
    </w:p>
    <w:p/>
    <w:p>
      <w:pPr>
        <w:pStyle w:val="ListBullet"/>
      </w:pPr>
      <w:r>
        <w:t>Envio de lembretes de vencimento via SMS, e-mail ou notificação no aplicativo.</w:t>
      </w:r>
    </w:p>
    <w:p>
      <w:pPr>
        <w:pStyle w:val="ListBullet"/>
      </w:pPr>
      <w:r>
        <w:t>O tom da comunicação será de auxílio e lembrete.</w:t>
      </w:r>
    </w:p>
    <w:p/>
    <w:p>
      <w:pPr>
        <w:pStyle w:val="Heading2"/>
      </w:pPr>
      <w:r>
        <w:t>3.2. Cobrança Administrativa (6 a 60 dias de atraso)</w:t>
      </w:r>
    </w:p>
    <w:p/>
    <w:p>
      <w:pPr>
        <w:pStyle w:val="ListBullet"/>
      </w:pPr>
      <w:r/>
      <w:r>
        <w:rPr>
          <w:b/>
        </w:rPr>
        <w:t>6 a 30 dias:</w:t>
      </w:r>
      <w:r>
        <w:t xml:space="preserve"> Contatos telefônicos, envio de e-mails e SMS com propostas de negociação e emissão de segunda via de boleto.</w:t>
      </w:r>
    </w:p>
    <w:p>
      <w:pPr>
        <w:pStyle w:val="ListBullet"/>
      </w:pPr>
      <w:r/>
      <w:r>
        <w:rPr>
          <w:b/>
        </w:rPr>
        <w:t>31 a 60 dias:</w:t>
      </w:r>
      <w:r>
        <w:t xml:space="preserve"> Intensificação dos contatos. O caso pode ser encaminhado para uma assessoria de cobrança interna ou externa. Oferta de acordos de renegociação com possibilidade de descontos em juros e multas.</w:t>
      </w:r>
    </w:p>
    <w:p/>
    <w:p>
      <w:pPr>
        <w:pStyle w:val="Heading2"/>
      </w:pPr>
      <w:r>
        <w:t>3.3. Cobrança Extrajudicial (61 a 180 dias de atraso)</w:t>
      </w:r>
    </w:p>
    <w:p/>
    <w:p>
      <w:pPr>
        <w:pStyle w:val="ListBullet"/>
      </w:pPr>
      <w:r>
        <w:t>Envio de Notificação Extrajudicial formalizando a cobrança e informando sobre as possíveis consequências do não pagamento.</w:t>
      </w:r>
    </w:p>
    <w:p>
      <w:pPr>
        <w:pStyle w:val="ListBullet"/>
      </w:pPr>
      <w:r>
        <w:t>Inclusão do nome do devedor nos órgãos de proteção ao crédito (Serasa, SPC), caso ainda não tenha sido feito.</w:t>
      </w:r>
    </w:p>
    <w:p>
      <w:pPr>
        <w:pStyle w:val="ListBullet"/>
      </w:pPr>
      <w:r>
        <w:t>A assessoria de cobrança intensifica as tentativas de acordo.</w:t>
      </w:r>
    </w:p>
    <w:p/>
    <w:p>
      <w:pPr>
        <w:pStyle w:val="Heading2"/>
      </w:pPr>
      <w:r>
        <w:t>3.4. Cobrança Judicial (Acima de 180 dias de atraso)</w:t>
      </w:r>
    </w:p>
    <w:p/>
    <w:p>
      <w:pPr>
        <w:pStyle w:val="ListBullet"/>
      </w:pPr>
      <w:r>
        <w:t>Após esgotadas as tentativas de recuperação amigável, o departamento jurídico avaliará a viabilidade de ingressar com uma ação judicial para a recuperação do crédito.</w:t>
      </w:r>
    </w:p>
    <w:p>
      <w:pPr>
        <w:pStyle w:val="ListBullet"/>
      </w:pPr>
      <w:r>
        <w:t>A decisão levará em conta o valor da dívida, a existência de garantias e o custo do processo judicial.</w:t>
      </w:r>
    </w:p>
    <w:p/>
    <w:p>
      <w:pPr>
        <w:pStyle w:val="Heading1"/>
      </w:pPr>
      <w:r>
        <w:t>4. Negociação e Acordos</w:t>
      </w:r>
    </w:p>
    <w:p/>
    <w:p>
      <w:r>
        <w:t>A instituição está aberta a negociar os débitos em atraso, oferecendo condições que facilitem a quitação da dívida, como:</w:t>
      </w:r>
    </w:p>
    <w:p/>
    <w:p>
      <w:pPr>
        <w:pStyle w:val="ListBullet"/>
      </w:pPr>
      <w:r>
        <w:t>Parcelamento do saldo devedor.</w:t>
      </w:r>
    </w:p>
    <w:p>
      <w:pPr>
        <w:pStyle w:val="ListBullet"/>
      </w:pPr>
      <w:r>
        <w:t>Descontos sobre juros e multas para pagamento à vista.</w:t>
      </w:r>
    </w:p>
    <w:p>
      <w:pPr>
        <w:pStyle w:val="ListBullet"/>
      </w:pPr>
      <w:r>
        <w:t>Períodos de carência para início do pagamento do acordo.</w:t>
      </w:r>
    </w:p>
    <w:p/>
    <w:p>
      <w:r>
        <w:t>Qualquer acordo de renegociação deverá ser formalizado por escrito e assinado pelas partes.</w:t>
      </w:r>
    </w:p>
    <w:p/>
    <w:p>
      <w:pPr>
        <w:pStyle w:val="Heading1"/>
      </w:pPr>
      <w:r>
        <w:t>5. Vedações na Cobrança</w:t>
      </w:r>
    </w:p>
    <w:p/>
    <w:p>
      <w:r>
        <w:t>É expressamente proibido aos colaboradores e empresas terceirizadas:</w:t>
      </w:r>
    </w:p>
    <w:p/>
    <w:p>
      <w:pPr>
        <w:pStyle w:val="ListBullet"/>
      </w:pPr>
      <w:r>
        <w:t>Realizar cobranças em horários de descanso do devedor (antes das 8h, após as 20h, e em feriados ou finais de semana).</w:t>
      </w:r>
    </w:p>
    <w:p>
      <w:pPr>
        <w:pStyle w:val="ListBullet"/>
      </w:pPr>
      <w:r>
        <w:t>Utilizar de afirmações falsas, incorretas ou enganosas.</w:t>
      </w:r>
    </w:p>
    <w:p>
      <w:pPr>
        <w:pStyle w:val="ListBullet"/>
      </w:pPr>
      <w:r>
        <w:t>Deixar recados sobre a dívida com terceiros.</w:t>
      </w:r>
    </w:p>
    <w:p>
      <w:pPr>
        <w:pStyle w:val="ListBullet"/>
      </w:pPr>
      <w:r>
        <w:t>Realizar cobranças no local de trabalho do devedor de forma a constrangê-lo.</w:t>
      </w:r>
    </w:p>
    <w:p/>
    <w:p>
      <w:pPr>
        <w:pStyle w:val="Heading1"/>
      </w:pPr>
      <w:r>
        <w:t>6. Revisão do Regulamento</w:t>
      </w:r>
    </w:p>
    <w:p/>
    <w:p>
      <w:r>
        <w:t>Este regulamento será revisado anualmente para garantir sua adequação às práticas de mercado e à legislação.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