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A3B" w:rsidRDefault="0022696D" w:rsidP="00A96E3C">
      <w:pPr>
        <w:pStyle w:val="NormalWeb"/>
        <w:spacing w:before="0" w:beforeAutospacing="0" w:after="0" w:afterAutospacing="0"/>
        <w:jc w:val="both"/>
      </w:pPr>
      <w:proofErr w:type="gramStart"/>
      <w:r>
        <w:rPr>
          <w:color w:val="000000"/>
        </w:rPr>
        <w:t>A)</w:t>
      </w:r>
      <w:r w:rsidR="0066049E">
        <w:rPr>
          <w:color w:val="000000"/>
        </w:rPr>
        <w:t>1</w:t>
      </w:r>
      <w:proofErr w:type="gramEnd"/>
      <w:r w:rsidR="0066049E">
        <w:rPr>
          <w:color w:val="000000"/>
        </w:rPr>
        <w:t xml:space="preserve">. </w:t>
      </w:r>
      <w:r w:rsidR="008D6A3B">
        <w:t>“</w:t>
      </w:r>
      <w:r w:rsidR="008D6A3B">
        <w:t xml:space="preserve">The department monitors risks that may impact the achievement of strategic objectives according to the level of appetite. The department has the lowest appetite for risks associated with: </w:t>
      </w:r>
    </w:p>
    <w:p w:rsidR="008D6A3B" w:rsidRDefault="008D6A3B" w:rsidP="00A96E3C">
      <w:pPr>
        <w:pStyle w:val="NormalWeb"/>
        <w:spacing w:before="0" w:beforeAutospacing="0" w:after="0" w:afterAutospacing="0"/>
        <w:ind w:left="720"/>
        <w:jc w:val="both"/>
      </w:pPr>
      <w:r>
        <w:sym w:font="Symbol" w:char="F0B7"/>
      </w:r>
      <w:r>
        <w:t xml:space="preserve"> </w:t>
      </w:r>
      <w:proofErr w:type="gramStart"/>
      <w:r>
        <w:t>safety</w:t>
      </w:r>
      <w:proofErr w:type="gramEnd"/>
      <w:r>
        <w:t xml:space="preserve"> of children and students; </w:t>
      </w:r>
    </w:p>
    <w:p w:rsidR="008D6A3B" w:rsidRDefault="008D6A3B" w:rsidP="00A96E3C">
      <w:pPr>
        <w:pStyle w:val="NormalWeb"/>
        <w:spacing w:before="0" w:beforeAutospacing="0" w:after="0" w:afterAutospacing="0"/>
        <w:ind w:left="720"/>
        <w:jc w:val="both"/>
      </w:pPr>
      <w:r>
        <w:sym w:font="Symbol" w:char="F0B7"/>
      </w:r>
      <w:r>
        <w:t xml:space="preserve"> </w:t>
      </w:r>
      <w:proofErr w:type="gramStart"/>
      <w:r>
        <w:t>workplace</w:t>
      </w:r>
      <w:proofErr w:type="gramEnd"/>
      <w:r>
        <w:t xml:space="preserve"> health and safety of its staff and the community; </w:t>
      </w:r>
    </w:p>
    <w:p w:rsidR="008D6A3B" w:rsidRDefault="008D6A3B" w:rsidP="00A96E3C">
      <w:pPr>
        <w:pStyle w:val="NormalWeb"/>
        <w:spacing w:before="0" w:beforeAutospacing="0" w:after="0" w:afterAutospacing="0"/>
        <w:ind w:left="720"/>
        <w:jc w:val="both"/>
      </w:pPr>
      <w:r>
        <w:sym w:font="Symbol" w:char="F0B7"/>
      </w:r>
      <w:r>
        <w:t xml:space="preserve"> </w:t>
      </w:r>
      <w:proofErr w:type="gramStart"/>
      <w:r>
        <w:t>security</w:t>
      </w:r>
      <w:proofErr w:type="gramEnd"/>
      <w:r>
        <w:t xml:space="preserve"> of confidential and personal information held by the department; and </w:t>
      </w:r>
    </w:p>
    <w:p w:rsidR="008D6A3B" w:rsidRDefault="008D6A3B" w:rsidP="00A96E3C">
      <w:pPr>
        <w:pStyle w:val="NormalWeb"/>
        <w:spacing w:before="0" w:beforeAutospacing="0" w:after="0" w:afterAutospacing="0"/>
        <w:ind w:left="720"/>
        <w:jc w:val="both"/>
      </w:pPr>
      <w:r>
        <w:sym w:font="Symbol" w:char="F0B7"/>
      </w:r>
      <w:r>
        <w:t xml:space="preserve"> </w:t>
      </w:r>
      <w:proofErr w:type="gramStart"/>
      <w:r>
        <w:t>fraud</w:t>
      </w:r>
      <w:proofErr w:type="gramEnd"/>
      <w:r>
        <w:t xml:space="preserve"> and corruption. </w:t>
      </w:r>
    </w:p>
    <w:p w:rsidR="008D6A3B" w:rsidRDefault="008D6A3B" w:rsidP="00A96E3C">
      <w:pPr>
        <w:pStyle w:val="NormalWeb"/>
        <w:jc w:val="both"/>
      </w:pPr>
      <w:r>
        <w:t>As its foundation, the department has a core requirement to comply with its legislative obligations in its pursuit of quality outcomes for children, students and the community.</w:t>
      </w:r>
    </w:p>
    <w:p w:rsidR="008D6A3B" w:rsidRDefault="008D6A3B" w:rsidP="00A96E3C">
      <w:pPr>
        <w:pStyle w:val="NormalWeb"/>
        <w:jc w:val="both"/>
      </w:pPr>
      <w:r>
        <w:t>The department is willing to accept a higher level of risk when pursuing innovation and opportunities that further its strategic objectives to give all children a great start, engage young people in learning and creating safe, fair and productive workplaces and communities</w:t>
      </w:r>
      <w:r w:rsidR="003A18A1">
        <w:t>….</w:t>
      </w:r>
      <w:r>
        <w:t>”</w:t>
      </w:r>
    </w:p>
    <w:p w:rsidR="003A18A1" w:rsidRDefault="008D6A3B" w:rsidP="00A96E3C">
      <w:pPr>
        <w:pStyle w:val="NormalWeb"/>
        <w:spacing w:before="0" w:beforeAutospacing="0" w:after="0" w:afterAutospacing="0"/>
        <w:jc w:val="both"/>
      </w:pPr>
      <w:r>
        <w:t xml:space="preserve">This Risk appetite statement comes from Queensland Government’s Department of Education. [Link: </w:t>
      </w:r>
      <w:hyperlink r:id="rId8" w:history="1">
        <w:r w:rsidR="00714099" w:rsidRPr="000F6CD2">
          <w:rPr>
            <w:rStyle w:val="Hyperlink"/>
          </w:rPr>
          <w:t>https://ppr.qed.qld.gov.au/attachment/risk-appetite-statement-and-categories.pdf</w:t>
        </w:r>
      </w:hyperlink>
      <w:r w:rsidR="00714099">
        <w:t xml:space="preserve"> </w:t>
      </w:r>
      <w:r>
        <w:t>]</w:t>
      </w:r>
    </w:p>
    <w:p w:rsidR="00A82A9D" w:rsidRDefault="00A82A9D" w:rsidP="00A96E3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A82A9D" w:rsidRDefault="00A82A9D" w:rsidP="00A96E3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2A1CA7" w:rsidRDefault="0066049E" w:rsidP="00A96E3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2</w:t>
      </w:r>
      <w:r w:rsidR="003A18A1">
        <w:rPr>
          <w:color w:val="000000"/>
        </w:rPr>
        <w:t>)</w:t>
      </w:r>
      <w:r w:rsidR="0022696D">
        <w:rPr>
          <w:color w:val="000000"/>
        </w:rPr>
        <w:t xml:space="preserve"> </w:t>
      </w:r>
      <w:r w:rsidR="00714099">
        <w:rPr>
          <w:color w:val="000000"/>
        </w:rPr>
        <w:t>I think it is a go</w:t>
      </w:r>
      <w:r w:rsidR="002A1CA7">
        <w:rPr>
          <w:color w:val="000000"/>
        </w:rPr>
        <w:t xml:space="preserve">od example of risk appetite as it follows </w:t>
      </w:r>
      <w:proofErr w:type="spellStart"/>
      <w:r w:rsidR="002A1CA7">
        <w:rPr>
          <w:color w:val="000000"/>
        </w:rPr>
        <w:t>Provititi’s</w:t>
      </w:r>
      <w:proofErr w:type="spellEnd"/>
      <w:r w:rsidR="002A1CA7">
        <w:rPr>
          <w:color w:val="000000"/>
        </w:rPr>
        <w:t xml:space="preserve"> risk appetite framework by:</w:t>
      </w:r>
    </w:p>
    <w:p w:rsidR="002A1CA7" w:rsidRPr="002A1CA7" w:rsidRDefault="002A1CA7" w:rsidP="00A96E3C">
      <w:pPr>
        <w:pStyle w:val="NormalWeb"/>
        <w:numPr>
          <w:ilvl w:val="0"/>
          <w:numId w:val="1"/>
        </w:numPr>
        <w:spacing w:before="0" w:beforeAutospacing="0"/>
        <w:jc w:val="both"/>
        <w:rPr>
          <w:color w:val="000000"/>
        </w:rPr>
      </w:pPr>
      <w:r>
        <w:rPr>
          <w:color w:val="000000"/>
        </w:rPr>
        <w:t>listing</w:t>
      </w:r>
      <w:r w:rsidRPr="002A1CA7">
        <w:rPr>
          <w:color w:val="000000"/>
        </w:rPr>
        <w:t xml:space="preserve"> </w:t>
      </w:r>
      <w:r>
        <w:rPr>
          <w:color w:val="000000"/>
        </w:rPr>
        <w:t>areas</w:t>
      </w:r>
      <w:r w:rsidRPr="002A1CA7">
        <w:rPr>
          <w:color w:val="000000"/>
        </w:rPr>
        <w:t xml:space="preserve"> for which they will take minimum risk </w:t>
      </w:r>
    </w:p>
    <w:p w:rsidR="00714099" w:rsidRDefault="002A1CA7" w:rsidP="00A96E3C">
      <w:pPr>
        <w:pStyle w:val="NormalWeb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stating </w:t>
      </w:r>
      <w:r w:rsidR="00A834E5">
        <w:rPr>
          <w:color w:val="000000"/>
        </w:rPr>
        <w:t>their</w:t>
      </w:r>
      <w:r>
        <w:rPr>
          <w:color w:val="000000"/>
        </w:rPr>
        <w:t xml:space="preserve"> willing</w:t>
      </w:r>
      <w:r w:rsidR="00A834E5">
        <w:rPr>
          <w:color w:val="000000"/>
        </w:rPr>
        <w:t>ness</w:t>
      </w:r>
      <w:r>
        <w:rPr>
          <w:color w:val="000000"/>
        </w:rPr>
        <w:t xml:space="preserve"> </w:t>
      </w:r>
      <w:r w:rsidR="00A834E5">
        <w:rPr>
          <w:color w:val="000000"/>
        </w:rPr>
        <w:t>to accept higher risk in certain area</w:t>
      </w:r>
      <w:r>
        <w:rPr>
          <w:color w:val="000000"/>
        </w:rPr>
        <w:t>, if it furthers their strategic objectives</w:t>
      </w:r>
    </w:p>
    <w:p w:rsidR="002624C4" w:rsidRPr="00A96E3C" w:rsidRDefault="003A18A1" w:rsidP="00A96E3C">
      <w:pPr>
        <w:pStyle w:val="NormalWeb"/>
        <w:numPr>
          <w:ilvl w:val="0"/>
          <w:numId w:val="1"/>
        </w:numPr>
        <w:spacing w:after="0" w:afterAutospacing="0"/>
        <w:jc w:val="both"/>
      </w:pPr>
      <w:r w:rsidRPr="00A96E3C">
        <w:rPr>
          <w:color w:val="000000"/>
        </w:rPr>
        <w:t xml:space="preserve">providing a table with the strategic objectives and ranking them in terms of low to high appetite, alongside providing a legend to clarify what it means by low or high </w:t>
      </w:r>
      <w:r w:rsidRPr="00A96E3C">
        <w:rPr>
          <w:i/>
          <w:color w:val="000000"/>
        </w:rPr>
        <w:t>(see page 2 and 3 of the document)</w:t>
      </w:r>
    </w:p>
    <w:p w:rsidR="00A96E3C" w:rsidRDefault="00A96E3C" w:rsidP="00A96E3C">
      <w:pPr>
        <w:pStyle w:val="NormalWeb"/>
        <w:spacing w:after="0" w:afterAutospacing="0"/>
        <w:ind w:left="1440"/>
        <w:jc w:val="both"/>
      </w:pPr>
      <w:bookmarkStart w:id="0" w:name="_GoBack"/>
      <w:bookmarkEnd w:id="0"/>
    </w:p>
    <w:p w:rsidR="001B31B4" w:rsidRDefault="0022696D" w:rsidP="00A96E3C">
      <w:pPr>
        <w:pStyle w:val="NormalWeb"/>
        <w:spacing w:before="0" w:beforeAutospacing="0"/>
        <w:jc w:val="both"/>
      </w:pPr>
      <w:proofErr w:type="gramStart"/>
      <w:r>
        <w:t>B)</w:t>
      </w:r>
      <w:r w:rsidR="0066049E">
        <w:t>1</w:t>
      </w:r>
      <w:proofErr w:type="gramEnd"/>
      <w:r w:rsidR="0066049E">
        <w:t xml:space="preserve">. </w:t>
      </w:r>
      <w:r w:rsidR="00EB1EE9" w:rsidRPr="0022696D">
        <w:t xml:space="preserve">According to </w:t>
      </w:r>
      <w:proofErr w:type="spellStart"/>
      <w:r w:rsidR="00EB1EE9" w:rsidRPr="0022696D">
        <w:t>Peltier</w:t>
      </w:r>
      <w:proofErr w:type="spellEnd"/>
      <w:r w:rsidR="00EB1EE9" w:rsidRPr="0022696D">
        <w:t xml:space="preserve">, </w:t>
      </w:r>
      <w:r w:rsidR="00EB4152" w:rsidRPr="0022696D">
        <w:t xml:space="preserve">in any </w:t>
      </w:r>
      <w:r w:rsidR="00EB1EE9" w:rsidRPr="0022696D">
        <w:t>company</w:t>
      </w:r>
      <w:r w:rsidR="00EB4152" w:rsidRPr="0022696D">
        <w:t>, the</w:t>
      </w:r>
      <w:r w:rsidR="00EB1EE9" w:rsidRPr="0022696D">
        <w:t xml:space="preserve"> </w:t>
      </w:r>
      <w:proofErr w:type="gramStart"/>
      <w:r w:rsidR="007404FB" w:rsidRPr="0022696D">
        <w:t>Senior</w:t>
      </w:r>
      <w:proofErr w:type="gramEnd"/>
      <w:r w:rsidR="007404FB" w:rsidRPr="0022696D">
        <w:t xml:space="preserve"> management, Chief in</w:t>
      </w:r>
      <w:r w:rsidR="00EB1EE9" w:rsidRPr="0022696D">
        <w:t>formation security officer, Sys</w:t>
      </w:r>
      <w:r w:rsidR="007404FB" w:rsidRPr="0022696D">
        <w:t>te</w:t>
      </w:r>
      <w:r w:rsidR="00EB1EE9" w:rsidRPr="0022696D">
        <w:t>m</w:t>
      </w:r>
      <w:r w:rsidR="007404FB" w:rsidRPr="0022696D">
        <w:t xml:space="preserve"> and Info</w:t>
      </w:r>
      <w:r w:rsidR="00EB1EE9" w:rsidRPr="0022696D">
        <w:t>rmation owner, Business Manager and</w:t>
      </w:r>
      <w:r w:rsidR="007404FB" w:rsidRPr="0022696D">
        <w:t xml:space="preserve"> Information Security Administrator</w:t>
      </w:r>
      <w:r w:rsidR="00EB1EE9" w:rsidRPr="0022696D">
        <w:t xml:space="preserve"> should be responsible for risk analysis and management. That’s because</w:t>
      </w:r>
      <w:r w:rsidR="00EB4152" w:rsidRPr="0022696D">
        <w:t xml:space="preserve"> </w:t>
      </w:r>
      <w:r w:rsidR="00EB1EE9" w:rsidRPr="0022696D">
        <w:t xml:space="preserve">as a whole, </w:t>
      </w:r>
      <w:r w:rsidR="00EB4152" w:rsidRPr="0022696D">
        <w:t>these roles</w:t>
      </w:r>
      <w:r w:rsidR="00EB1EE9" w:rsidRPr="0022696D">
        <w:t xml:space="preserve"> determine not only the appropriate resources (budget) allocated to fulfill the mission requirements</w:t>
      </w:r>
      <w:r w:rsidR="00DB2C57" w:rsidRPr="0022696D">
        <w:t xml:space="preserve"> </w:t>
      </w:r>
      <w:r>
        <w:t>(</w:t>
      </w:r>
      <w:r w:rsidR="00DB2C57" w:rsidRPr="0022696D">
        <w:t>and business objectives</w:t>
      </w:r>
      <w:r>
        <w:t>)</w:t>
      </w:r>
      <w:r w:rsidR="00DB2C57" w:rsidRPr="0022696D">
        <w:t xml:space="preserve"> efficiently and effectively</w:t>
      </w:r>
      <w:r w:rsidR="00EB1EE9" w:rsidRPr="0022696D">
        <w:t>, but also ensure that proper controls are in place to fulfill the Confidentiality, Availability and Integrity of</w:t>
      </w:r>
      <w:r>
        <w:t xml:space="preserve"> the</w:t>
      </w:r>
      <w:r w:rsidR="00EB1EE9" w:rsidRPr="0022696D">
        <w:t xml:space="preserve"> </w:t>
      </w:r>
      <w:r w:rsidRPr="0022696D">
        <w:t>information that</w:t>
      </w:r>
      <w:r w:rsidR="00300EA7" w:rsidRPr="0022696D">
        <w:t xml:space="preserve"> they own</w:t>
      </w:r>
      <w:r w:rsidR="00EB1EE9" w:rsidRPr="0022696D">
        <w:t xml:space="preserve">. In the </w:t>
      </w:r>
      <w:proofErr w:type="spellStart"/>
      <w:r w:rsidR="00EB1EE9" w:rsidRPr="0022696D">
        <w:t>eTricity</w:t>
      </w:r>
      <w:proofErr w:type="spellEnd"/>
      <w:r w:rsidR="00EB1EE9" w:rsidRPr="0022696D">
        <w:t xml:space="preserve"> case,</w:t>
      </w:r>
      <w:r w:rsidR="004C31F9" w:rsidRPr="0022696D">
        <w:t xml:space="preserve"> </w:t>
      </w:r>
      <w:proofErr w:type="spellStart"/>
      <w:r w:rsidR="004C31F9" w:rsidRPr="0022696D">
        <w:t>Peltier’s</w:t>
      </w:r>
      <w:proofErr w:type="spellEnd"/>
      <w:r w:rsidR="004C31F9" w:rsidRPr="0022696D">
        <w:t xml:space="preserve"> roles</w:t>
      </w:r>
      <w:r w:rsidR="00EB4152" w:rsidRPr="0022696D">
        <w:t>’</w:t>
      </w:r>
      <w:r w:rsidR="00EB1EE9" w:rsidRPr="0022696D">
        <w:t xml:space="preserve"> conditions </w:t>
      </w:r>
      <w:r w:rsidR="004C31F9" w:rsidRPr="0022696D">
        <w:t xml:space="preserve">are </w:t>
      </w:r>
      <w:r w:rsidR="00EB1EE9" w:rsidRPr="0022696D">
        <w:t>fulfilled by Owners Brad and Angelique</w:t>
      </w:r>
      <w:r w:rsidR="00C679B6" w:rsidRPr="0022696D">
        <w:t xml:space="preserve"> (who can override board’s decision)</w:t>
      </w:r>
      <w:r w:rsidR="00EB1EE9" w:rsidRPr="0022696D">
        <w:t xml:space="preserve">, </w:t>
      </w:r>
      <w:r>
        <w:t>CFO Josh</w:t>
      </w:r>
      <w:r w:rsidR="00C679B6" w:rsidRPr="0022696D">
        <w:t xml:space="preserve"> (who determines their market stance)</w:t>
      </w:r>
      <w:r w:rsidR="004C31F9" w:rsidRPr="0022696D">
        <w:t>, Board of directors</w:t>
      </w:r>
      <w:r w:rsidR="00C679B6" w:rsidRPr="0022696D">
        <w:t xml:space="preserve">, Business Managers and </w:t>
      </w:r>
      <w:r>
        <w:t>“</w:t>
      </w:r>
      <w:proofErr w:type="spellStart"/>
      <w:r w:rsidR="00C679B6" w:rsidRPr="0022696D">
        <w:t>subbies</w:t>
      </w:r>
      <w:proofErr w:type="spellEnd"/>
      <w:r>
        <w:t>”</w:t>
      </w:r>
      <w:r w:rsidR="00C679B6" w:rsidRPr="0022696D">
        <w:t xml:space="preserve"> (who mainly </w:t>
      </w:r>
      <w:r w:rsidR="00300EA7" w:rsidRPr="0022696D">
        <w:t xml:space="preserve">has access to and </w:t>
      </w:r>
      <w:r w:rsidR="00C679B6" w:rsidRPr="0022696D">
        <w:t>control</w:t>
      </w:r>
      <w:r w:rsidR="00300EA7" w:rsidRPr="0022696D">
        <w:t>s</w:t>
      </w:r>
      <w:r w:rsidR="00C679B6" w:rsidRPr="0022696D">
        <w:t xml:space="preserve"> the business and customer information)</w:t>
      </w:r>
      <w:r w:rsidR="004C31F9" w:rsidRPr="0022696D">
        <w:t>, Info Sy</w:t>
      </w:r>
      <w:r w:rsidR="00EB4152" w:rsidRPr="0022696D">
        <w:t xml:space="preserve">stem Manager </w:t>
      </w:r>
      <w:r>
        <w:t>Alain</w:t>
      </w:r>
      <w:r w:rsidR="00C679B6" w:rsidRPr="0022696D">
        <w:t xml:space="preserve"> (who focuses on overall IT security)</w:t>
      </w:r>
      <w:r w:rsidR="00EB4152" w:rsidRPr="0022696D">
        <w:t xml:space="preserve"> and the</w:t>
      </w:r>
      <w:r w:rsidR="004C31F9" w:rsidRPr="0022696D">
        <w:t xml:space="preserve"> Chief</w:t>
      </w:r>
      <w:r>
        <w:t xml:space="preserve"> data officer Jock </w:t>
      </w:r>
      <w:r w:rsidR="0071731F" w:rsidRPr="0022696D">
        <w:t>and his team of Database administrator</w:t>
      </w:r>
      <w:r>
        <w:t>s</w:t>
      </w:r>
      <w:r w:rsidR="0071731F" w:rsidRPr="0022696D">
        <w:t xml:space="preserve"> and programmers </w:t>
      </w:r>
      <w:r w:rsidR="00C679B6" w:rsidRPr="0022696D">
        <w:t>(</w:t>
      </w:r>
      <w:r>
        <w:t>who focus</w:t>
      </w:r>
      <w:r w:rsidR="00C679B6" w:rsidRPr="0022696D">
        <w:t xml:space="preserve"> on data analytic and processing information)</w:t>
      </w:r>
      <w:r w:rsidR="00300EA7" w:rsidRPr="0022696D">
        <w:t xml:space="preserve">, HR Manager Rebecca (who handles employee payment data), Customer Service Manager Theresa (who handles customer data), design engineers (who handle data </w:t>
      </w:r>
      <w:r w:rsidR="0071731F" w:rsidRPr="0022696D">
        <w:t>regarding their prototypes’ design</w:t>
      </w:r>
      <w:r w:rsidR="00300EA7" w:rsidRPr="0022696D">
        <w:t>)</w:t>
      </w:r>
      <w:r w:rsidR="0071731F" w:rsidRPr="0022696D">
        <w:t>, Chief</w:t>
      </w:r>
      <w:r>
        <w:t xml:space="preserve"> Engineer Felix</w:t>
      </w:r>
      <w:r w:rsidR="0071731F" w:rsidRPr="0022696D">
        <w:t xml:space="preserve"> (who handles supplier data) and the Accounts re</w:t>
      </w:r>
      <w:r>
        <w:t>conciliation officer Sally</w:t>
      </w:r>
      <w:r w:rsidR="0071731F" w:rsidRPr="0022696D">
        <w:t xml:space="preserve"> (who handles invoicing data)</w:t>
      </w:r>
      <w:r w:rsidR="004C31F9" w:rsidRPr="0022696D">
        <w:t xml:space="preserve">. </w:t>
      </w:r>
    </w:p>
    <w:p w:rsidR="00B5560B" w:rsidRPr="0022696D" w:rsidRDefault="0066049E" w:rsidP="00A96E3C">
      <w:pPr>
        <w:pStyle w:val="NormalWeb"/>
        <w:jc w:val="both"/>
      </w:pPr>
      <w:r>
        <w:lastRenderedPageBreak/>
        <w:br/>
        <w:t>2</w:t>
      </w:r>
      <w:r w:rsidRPr="0022696D">
        <w:t xml:space="preserve">. </w:t>
      </w:r>
      <w:r w:rsidR="00B5560B" w:rsidRPr="0022696D">
        <w:t xml:space="preserve">The 6 steps of </w:t>
      </w:r>
      <w:proofErr w:type="spellStart"/>
      <w:r w:rsidR="00B5560B" w:rsidRPr="0022696D">
        <w:t>Peltier</w:t>
      </w:r>
      <w:r w:rsidR="00A82A9D">
        <w:t>’s</w:t>
      </w:r>
      <w:proofErr w:type="spellEnd"/>
      <w:r w:rsidR="00A82A9D">
        <w:t xml:space="preserve"> Risk Analysis Process</w:t>
      </w:r>
      <w:r w:rsidR="00B5560B" w:rsidRPr="0022696D">
        <w:t>:</w:t>
      </w:r>
    </w:p>
    <w:p w:rsidR="00B5560B" w:rsidRPr="0022696D" w:rsidRDefault="0022696D" w:rsidP="00A96E3C">
      <w:pPr>
        <w:pStyle w:val="NormalWeb"/>
        <w:numPr>
          <w:ilvl w:val="0"/>
          <w:numId w:val="2"/>
        </w:numPr>
        <w:jc w:val="both"/>
      </w:pPr>
      <w:r>
        <w:t>Define</w:t>
      </w:r>
      <w:r w:rsidR="00B5560B" w:rsidRPr="0022696D">
        <w:t xml:space="preserve"> assets on which we will perform risk analysis</w:t>
      </w:r>
    </w:p>
    <w:p w:rsidR="00B5560B" w:rsidRPr="0022696D" w:rsidRDefault="00A82A9D" w:rsidP="00A96E3C">
      <w:pPr>
        <w:pStyle w:val="NormalWeb"/>
        <w:numPr>
          <w:ilvl w:val="0"/>
          <w:numId w:val="2"/>
        </w:numPr>
        <w:jc w:val="both"/>
      </w:pPr>
      <w:r>
        <w:t xml:space="preserve">Identify </w:t>
      </w:r>
      <w:r w:rsidR="00B5560B" w:rsidRPr="0022696D">
        <w:t>threats</w:t>
      </w:r>
    </w:p>
    <w:p w:rsidR="00B5560B" w:rsidRPr="0022696D" w:rsidRDefault="00A82A9D" w:rsidP="00A96E3C">
      <w:pPr>
        <w:pStyle w:val="NormalWeb"/>
        <w:numPr>
          <w:ilvl w:val="0"/>
          <w:numId w:val="2"/>
        </w:numPr>
        <w:jc w:val="both"/>
      </w:pPr>
      <w:r>
        <w:t>Determine</w:t>
      </w:r>
      <w:r w:rsidR="00B5560B" w:rsidRPr="0022696D">
        <w:t xml:space="preserve"> likelihood of threat </w:t>
      </w:r>
      <w:r w:rsidR="0022696D" w:rsidRPr="0022696D">
        <w:t>occurring</w:t>
      </w:r>
    </w:p>
    <w:p w:rsidR="00B5560B" w:rsidRPr="0022696D" w:rsidRDefault="00A82A9D" w:rsidP="00A96E3C">
      <w:pPr>
        <w:pStyle w:val="NormalWeb"/>
        <w:numPr>
          <w:ilvl w:val="0"/>
          <w:numId w:val="2"/>
        </w:numPr>
        <w:jc w:val="both"/>
      </w:pPr>
      <w:r>
        <w:t>Determine i</w:t>
      </w:r>
      <w:r w:rsidR="00B5560B" w:rsidRPr="0022696D">
        <w:t xml:space="preserve">mpact </w:t>
      </w:r>
      <w:r>
        <w:t>of the threat</w:t>
      </w:r>
    </w:p>
    <w:p w:rsidR="00B5560B" w:rsidRPr="0022696D" w:rsidRDefault="00B5560B" w:rsidP="00A96E3C">
      <w:pPr>
        <w:pStyle w:val="NormalWeb"/>
        <w:numPr>
          <w:ilvl w:val="0"/>
          <w:numId w:val="2"/>
        </w:numPr>
        <w:jc w:val="both"/>
      </w:pPr>
      <w:r w:rsidRPr="0022696D">
        <w:t xml:space="preserve">Identify controls </w:t>
      </w:r>
      <w:r w:rsidR="00133BC0" w:rsidRPr="0022696D">
        <w:t>to reduce</w:t>
      </w:r>
      <w:r w:rsidRPr="0022696D">
        <w:t xml:space="preserve"> risk</w:t>
      </w:r>
      <w:r w:rsidR="00133BC0" w:rsidRPr="0022696D">
        <w:t xml:space="preserve"> to acceptable level or eliminate it</w:t>
      </w:r>
    </w:p>
    <w:p w:rsidR="00A82A9D" w:rsidRDefault="00133BC0" w:rsidP="00A96E3C">
      <w:pPr>
        <w:pStyle w:val="NormalWeb"/>
        <w:numPr>
          <w:ilvl w:val="0"/>
          <w:numId w:val="2"/>
        </w:numPr>
        <w:jc w:val="both"/>
      </w:pPr>
      <w:r w:rsidRPr="0022696D">
        <w:t>Document the risk analysis in a report format</w:t>
      </w:r>
    </w:p>
    <w:p w:rsidR="0088454A" w:rsidRPr="00A82A9D" w:rsidRDefault="0066049E" w:rsidP="00A96E3C">
      <w:pPr>
        <w:pStyle w:val="NormalWeb"/>
        <w:jc w:val="both"/>
      </w:pPr>
      <w:r>
        <w:t xml:space="preserve">3. </w:t>
      </w:r>
      <w:r w:rsidR="0088454A" w:rsidRPr="0022696D">
        <w:t xml:space="preserve">In </w:t>
      </w:r>
      <w:proofErr w:type="spellStart"/>
      <w:r w:rsidR="0088454A" w:rsidRPr="0022696D">
        <w:t>Peltier’s</w:t>
      </w:r>
      <w:proofErr w:type="spellEnd"/>
      <w:r w:rsidR="0088454A" w:rsidRPr="0022696D">
        <w:t xml:space="preserve"> paper, the </w:t>
      </w:r>
      <w:r w:rsidR="0022696D" w:rsidRPr="0022696D">
        <w:t>Enterprise</w:t>
      </w:r>
      <w:r w:rsidR="0088454A" w:rsidRPr="0022696D">
        <w:t xml:space="preserve"> risk analysis process is </w:t>
      </w:r>
      <w:r w:rsidR="0022696D">
        <w:t>a form</w:t>
      </w:r>
      <w:r w:rsidR="0088454A" w:rsidRPr="0022696D">
        <w:t xml:space="preserve"> of assurance or proof that ensures that the company is indeed performing its due diligence.</w:t>
      </w:r>
    </w:p>
    <w:sectPr w:rsidR="0088454A" w:rsidRPr="00A82A9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B4D" w:rsidRDefault="00D96B4D" w:rsidP="005F1DB6">
      <w:pPr>
        <w:spacing w:after="0" w:line="240" w:lineRule="auto"/>
      </w:pPr>
      <w:r>
        <w:separator/>
      </w:r>
    </w:p>
  </w:endnote>
  <w:endnote w:type="continuationSeparator" w:id="0">
    <w:p w:rsidR="00D96B4D" w:rsidRDefault="00D96B4D" w:rsidP="005F1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88053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6E3C" w:rsidRDefault="00A96E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3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96E3C" w:rsidRDefault="00A96E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B4D" w:rsidRDefault="00D96B4D" w:rsidP="005F1DB6">
      <w:pPr>
        <w:spacing w:after="0" w:line="240" w:lineRule="auto"/>
      </w:pPr>
      <w:r>
        <w:separator/>
      </w:r>
    </w:p>
  </w:footnote>
  <w:footnote w:type="continuationSeparator" w:id="0">
    <w:p w:rsidR="00D96B4D" w:rsidRDefault="00D96B4D" w:rsidP="005F1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DB6" w:rsidRDefault="005F1DB6" w:rsidP="005F1DB6">
    <w:pPr>
      <w:pStyle w:val="Header"/>
      <w:tabs>
        <w:tab w:val="clear" w:pos="4680"/>
        <w:tab w:val="clear" w:pos="9360"/>
        <w:tab w:val="center" w:pos="2700"/>
        <w:tab w:val="right" w:pos="5580"/>
      </w:tabs>
    </w:pPr>
    <w:r>
      <w:t xml:space="preserve">S M </w:t>
    </w:r>
    <w:proofErr w:type="spellStart"/>
    <w:r>
      <w:t>Ragib</w:t>
    </w:r>
    <w:proofErr w:type="spellEnd"/>
    <w:r>
      <w:t xml:space="preserve"> </w:t>
    </w:r>
    <w:proofErr w:type="spellStart"/>
    <w:r>
      <w:t>Rezwan</w:t>
    </w:r>
    <w:proofErr w:type="spellEnd"/>
    <w:r>
      <w:tab/>
      <w:t xml:space="preserve">          103172423</w:t>
    </w:r>
    <w:r>
      <w:tab/>
      <w:t>CLA#2</w:t>
    </w:r>
    <w:r>
      <w:tab/>
    </w:r>
    <w:r>
      <w:tab/>
    </w:r>
    <w:r>
      <w:tab/>
    </w:r>
    <w:r>
      <w:tab/>
      <w:t>INF30020</w:t>
    </w:r>
    <w:r>
      <w:tab/>
    </w:r>
  </w:p>
  <w:p w:rsidR="005F1DB6" w:rsidRDefault="005F1D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6308"/>
    <w:multiLevelType w:val="hybridMultilevel"/>
    <w:tmpl w:val="DF4E7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A82C8E"/>
    <w:multiLevelType w:val="hybridMultilevel"/>
    <w:tmpl w:val="EA80B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49E"/>
    <w:rsid w:val="00133BC0"/>
    <w:rsid w:val="001B31B4"/>
    <w:rsid w:val="001D7F58"/>
    <w:rsid w:val="0022696D"/>
    <w:rsid w:val="002624C4"/>
    <w:rsid w:val="002A1CA7"/>
    <w:rsid w:val="00300EA7"/>
    <w:rsid w:val="00312B77"/>
    <w:rsid w:val="003A18A1"/>
    <w:rsid w:val="00480F5E"/>
    <w:rsid w:val="004C31F9"/>
    <w:rsid w:val="005F1DB6"/>
    <w:rsid w:val="0066049E"/>
    <w:rsid w:val="00714099"/>
    <w:rsid w:val="0071731F"/>
    <w:rsid w:val="007404FB"/>
    <w:rsid w:val="008778F7"/>
    <w:rsid w:val="0088454A"/>
    <w:rsid w:val="008D6A3B"/>
    <w:rsid w:val="00917305"/>
    <w:rsid w:val="00A82A9D"/>
    <w:rsid w:val="00A834E5"/>
    <w:rsid w:val="00A96E3C"/>
    <w:rsid w:val="00B34845"/>
    <w:rsid w:val="00B5560B"/>
    <w:rsid w:val="00B566BC"/>
    <w:rsid w:val="00C679B6"/>
    <w:rsid w:val="00D96B4D"/>
    <w:rsid w:val="00DB2C57"/>
    <w:rsid w:val="00E0673E"/>
    <w:rsid w:val="00E41AF2"/>
    <w:rsid w:val="00EB1EE9"/>
    <w:rsid w:val="00EB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49E"/>
    <w:rPr>
      <w:b/>
      <w:bCs/>
    </w:rPr>
  </w:style>
  <w:style w:type="character" w:styleId="Emphasis">
    <w:name w:val="Emphasis"/>
    <w:basedOn w:val="DefaultParagraphFont"/>
    <w:uiPriority w:val="20"/>
    <w:qFormat/>
    <w:rsid w:val="0066049E"/>
    <w:rPr>
      <w:i/>
      <w:iCs/>
    </w:rPr>
  </w:style>
  <w:style w:type="character" w:styleId="Hyperlink">
    <w:name w:val="Hyperlink"/>
    <w:basedOn w:val="DefaultParagraphFont"/>
    <w:uiPriority w:val="99"/>
    <w:unhideWhenUsed/>
    <w:rsid w:val="00480F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DB6"/>
  </w:style>
  <w:style w:type="paragraph" w:styleId="Footer">
    <w:name w:val="footer"/>
    <w:basedOn w:val="Normal"/>
    <w:link w:val="FooterChar"/>
    <w:uiPriority w:val="99"/>
    <w:unhideWhenUsed/>
    <w:rsid w:val="005F1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D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49E"/>
    <w:rPr>
      <w:b/>
      <w:bCs/>
    </w:rPr>
  </w:style>
  <w:style w:type="character" w:styleId="Emphasis">
    <w:name w:val="Emphasis"/>
    <w:basedOn w:val="DefaultParagraphFont"/>
    <w:uiPriority w:val="20"/>
    <w:qFormat/>
    <w:rsid w:val="0066049E"/>
    <w:rPr>
      <w:i/>
      <w:iCs/>
    </w:rPr>
  </w:style>
  <w:style w:type="character" w:styleId="Hyperlink">
    <w:name w:val="Hyperlink"/>
    <w:basedOn w:val="DefaultParagraphFont"/>
    <w:uiPriority w:val="99"/>
    <w:unhideWhenUsed/>
    <w:rsid w:val="00480F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DB6"/>
  </w:style>
  <w:style w:type="paragraph" w:styleId="Footer">
    <w:name w:val="footer"/>
    <w:basedOn w:val="Normal"/>
    <w:link w:val="FooterChar"/>
    <w:uiPriority w:val="99"/>
    <w:unhideWhenUsed/>
    <w:rsid w:val="005F1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r.qed.qld.gov.au/attachment/risk-appetite-statement-and-categories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2022-08-24T20:31:00Z</cp:lastPrinted>
  <dcterms:created xsi:type="dcterms:W3CDTF">2022-08-24T20:09:00Z</dcterms:created>
  <dcterms:modified xsi:type="dcterms:W3CDTF">2022-08-24T20:32:00Z</dcterms:modified>
</cp:coreProperties>
</file>