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eastAsia="Microsoft YaHei"/>
          <w:b/>
          <w:color w:val="000000"/>
          <w:sz w:val="44"/>
        </w:rPr>
        <w:t>专利编辑材料包</w:t>
      </w:r>
    </w:p>
    <w:p>
      <w:pPr>
        <w:spacing w:before="0" w:after="240" w:line="264" w:lineRule="auto"/>
      </w:pPr>
      <w:r>
        <w:rPr>
          <w:rFonts w:ascii="Calibri" w:hAnsi="Calibri" w:eastAsia="Microsoft YaHei"/>
          <w:b w:val="0"/>
          <w:color w:val="505050"/>
          <w:sz w:val="28"/>
        </w:rPr>
        <w:t>一种面向复杂系统工程模型的知识增强式生成、校验与变更治理方法及系统</w:t>
      </w:r>
    </w:p>
    <w:p>
      <w:pPr>
        <w:pStyle w:val="Heading1"/>
        <w:keepNext/>
        <w:spacing w:before="320" w:after="160"/>
      </w:pPr>
      <w:r>
        <w:rPr>
          <w:rFonts w:ascii="Calibri" w:hAnsi="Calibri" w:eastAsia="Microsoft YaHei"/>
          <w:b/>
          <w:color w:val="2E74B5"/>
          <w:sz w:val="32"/>
        </w:rPr>
        <w:t>一、基础信息</w:t>
      </w:r>
    </w:p>
    <w:tbl>
      <w:tblPr>
        <w:tblW w:type="auto" w:w="0"/>
        <w:tblLayout w:type="fixed"/>
        <w:tblLook w:firstColumn="1" w:firstRow="1" w:lastColumn="0" w:lastRow="0" w:noHBand="0" w:noVBand="1" w:val="04A0"/>
      </w:tblPr>
      <w:tblGrid>
        <w:gridCol w:w="4680"/>
        <w:gridCol w:w="4680"/>
      </w:tblGrid>
      <w:tr>
        <w:tc>
          <w:tcPr>
            <w:tcW w:type="dxa" w:w="4680"/>
            <w:vAlign w:val="center"/>
          </w:tcPr>
          <w:p>
            <w:pPr>
              <w:jc w:val="center"/>
            </w:pPr>
            <w:r>
              <w:rPr>
                <w:rFonts w:ascii="Calibri" w:hAnsi="Calibri" w:eastAsia="Microsoft YaHei"/>
                <w:b/>
                <w:color w:val="1F4D78"/>
                <w:sz w:val="21"/>
              </w:rPr>
              <w:t>项目</w:t>
            </w:r>
          </w:p>
        </w:tc>
        <w:tc>
          <w:tcPr>
            <w:tcW w:type="dxa" w:w="4680"/>
            <w:vAlign w:val="center"/>
          </w:tcPr>
          <w:p>
            <w:pPr>
              <w:jc w:val="center"/>
            </w:pPr>
            <w:r>
              <w:rPr>
                <w:rFonts w:ascii="Calibri" w:hAnsi="Calibri" w:eastAsia="Microsoft YaHei"/>
                <w:b/>
                <w:color w:val="1F4D78"/>
                <w:sz w:val="21"/>
              </w:rPr>
              <w:t>内容</w:t>
            </w:r>
          </w:p>
        </w:tc>
      </w:tr>
      <w:tr>
        <w:tc>
          <w:tcPr>
            <w:tcW w:type="dxa" w:w="4680"/>
          </w:tcPr>
          <w:p>
            <w:pPr>
              <w:spacing w:after="0"/>
            </w:pPr>
            <w:r>
              <w:rPr>
                <w:rFonts w:ascii="Calibri" w:hAnsi="Calibri" w:eastAsia="Microsoft YaHei"/>
                <w:b w:val="0"/>
                <w:sz w:val="20"/>
              </w:rPr>
              <w:t>拟申请类型</w:t>
            </w:r>
          </w:p>
        </w:tc>
        <w:tc>
          <w:tcPr>
            <w:tcW w:type="dxa" w:w="4680"/>
          </w:tcPr>
          <w:p>
            <w:pPr>
              <w:spacing w:after="0"/>
            </w:pPr>
            <w:r>
              <w:rPr>
                <w:rFonts w:ascii="Calibri" w:hAnsi="Calibri" w:eastAsia="Microsoft YaHei"/>
                <w:b w:val="0"/>
                <w:sz w:val="20"/>
              </w:rPr>
              <w:t>发明专利</w:t>
            </w:r>
          </w:p>
        </w:tc>
      </w:tr>
      <w:tr>
        <w:tc>
          <w:tcPr>
            <w:tcW w:type="dxa" w:w="4680"/>
          </w:tcPr>
          <w:p>
            <w:pPr>
              <w:spacing w:after="0"/>
            </w:pPr>
            <w:r>
              <w:rPr>
                <w:rFonts w:ascii="Calibri" w:hAnsi="Calibri" w:eastAsia="Microsoft YaHei"/>
                <w:b w:val="0"/>
                <w:sz w:val="20"/>
              </w:rPr>
              <w:t>拟申请名称</w:t>
            </w:r>
          </w:p>
        </w:tc>
        <w:tc>
          <w:tcPr>
            <w:tcW w:type="dxa" w:w="4680"/>
          </w:tcPr>
          <w:p>
            <w:pPr>
              <w:spacing w:after="0"/>
            </w:pPr>
            <w:r>
              <w:rPr>
                <w:rFonts w:ascii="Calibri" w:hAnsi="Calibri" w:eastAsia="Microsoft YaHei"/>
                <w:b w:val="0"/>
                <w:sz w:val="20"/>
              </w:rPr>
              <w:t>一种面向复杂系统工程模型的知识增强式生成、校验与变更治理方法及系统</w:t>
            </w:r>
          </w:p>
        </w:tc>
      </w:tr>
      <w:tr>
        <w:tc>
          <w:tcPr>
            <w:tcW w:type="dxa" w:w="4680"/>
          </w:tcPr>
          <w:p>
            <w:pPr>
              <w:spacing w:after="0"/>
            </w:pPr>
            <w:r>
              <w:rPr>
                <w:rFonts w:ascii="Calibri" w:hAnsi="Calibri" w:eastAsia="Microsoft YaHei"/>
                <w:b w:val="0"/>
                <w:sz w:val="20"/>
              </w:rPr>
              <w:t>技术领域</w:t>
            </w:r>
          </w:p>
        </w:tc>
        <w:tc>
          <w:tcPr>
            <w:tcW w:type="dxa" w:w="4680"/>
          </w:tcPr>
          <w:p>
            <w:pPr>
              <w:spacing w:after="0"/>
            </w:pPr>
            <w:r>
              <w:rPr>
                <w:rFonts w:ascii="Calibri" w:hAnsi="Calibri" w:eastAsia="Microsoft YaHei"/>
                <w:b w:val="0"/>
                <w:sz w:val="20"/>
              </w:rPr>
              <w:t>模型驱动系统工程、工程模型数据治理、知识增强人工智能辅助设计。</w:t>
            </w:r>
          </w:p>
        </w:tc>
      </w:tr>
      <w:tr>
        <w:tc>
          <w:tcPr>
            <w:tcW w:type="dxa" w:w="4680"/>
          </w:tcPr>
          <w:p>
            <w:pPr>
              <w:spacing w:after="0"/>
            </w:pPr>
            <w:r>
              <w:rPr>
                <w:rFonts w:ascii="Calibri" w:hAnsi="Calibri" w:eastAsia="Microsoft YaHei"/>
                <w:b w:val="0"/>
                <w:sz w:val="20"/>
              </w:rPr>
              <w:t>建议保护对象</w:t>
            </w:r>
          </w:p>
        </w:tc>
        <w:tc>
          <w:tcPr>
            <w:tcW w:type="dxa" w:w="4680"/>
          </w:tcPr>
          <w:p>
            <w:pPr>
              <w:spacing w:after="0"/>
            </w:pPr>
            <w:r>
              <w:rPr>
                <w:rFonts w:ascii="Calibri" w:hAnsi="Calibri" w:eastAsia="Microsoft YaHei"/>
                <w:b w:val="0"/>
                <w:sz w:val="20"/>
              </w:rPr>
              <w:t>一种从工程数据获取、知识增强生成、模型校验、人在回路审核、沙箱变更分析到合并入库的通用工程模型治理方法及系统。</w:t>
            </w:r>
          </w:p>
        </w:tc>
      </w:tr>
    </w:tbl>
    <w:p>
      <w:pPr>
        <w:spacing w:before="0" w:after="80" w:line="264" w:lineRule="auto"/>
      </w:pPr>
    </w:p>
    <w:p>
      <w:pPr>
        <w:pStyle w:val="Heading1"/>
        <w:keepNext/>
        <w:spacing w:before="320" w:after="160"/>
      </w:pPr>
      <w:r>
        <w:rPr>
          <w:rFonts w:ascii="Calibri" w:hAnsi="Calibri" w:eastAsia="Microsoft YaHei"/>
          <w:b/>
          <w:color w:val="2E74B5"/>
          <w:sz w:val="32"/>
        </w:rPr>
        <w:t>二、摘要建议稿</w:t>
      </w:r>
    </w:p>
    <w:p>
      <w:pPr>
        <w:spacing w:before="0" w:after="120" w:line="264" w:lineRule="auto"/>
      </w:pPr>
      <w:r>
        <w:rPr>
          <w:rFonts w:ascii="Calibri" w:hAnsi="Calibri" w:eastAsia="Microsoft YaHei"/>
          <w:b w:val="0"/>
          <w:sz w:val="22"/>
        </w:rPr>
        <w:t>本发明公开了一种面向复杂系统工程模型的知识增强式生成、校验与变更治理方法及系统。该方法获取复杂系统设计过程中的多源工程数据，抽取需求、功能、模块、接口、参数、约束和验证项等工程对象，并构建包括语义索引、工程知识图谱和工程规则库的工程知识底座；响应于建模任务或变更任务，基于工程知识底座进行知识增强检索，生成带有来源证据的候选工程模型；在候选工程模型入库前，对其进行模型校验并通过人在回路机制完成审核；当工程模型发生变更时，在沙箱环境中进行影响分析和冲突识别；经审核后，将候选工程模型或变更结果合并为权威工程模型，并生成审计记录。本发明能够提高复杂系统工程模型生成效率和入库质量，实现人工智能生成内容的可追溯、可校验、可审核和可治理。</w:t>
      </w:r>
    </w:p>
    <w:p>
      <w:pPr>
        <w:pStyle w:val="Heading1"/>
        <w:keepNext/>
        <w:spacing w:before="320" w:after="160"/>
      </w:pPr>
      <w:r>
        <w:rPr>
          <w:rFonts w:ascii="Calibri" w:hAnsi="Calibri" w:eastAsia="Microsoft YaHei"/>
          <w:b/>
          <w:color w:val="2E74B5"/>
          <w:sz w:val="32"/>
        </w:rPr>
        <w:t>三、现有技术及不足</w:t>
      </w:r>
    </w:p>
    <w:p>
      <w:pPr>
        <w:spacing w:before="0" w:after="120" w:line="264" w:lineRule="auto"/>
      </w:pPr>
      <w:r>
        <w:rPr>
          <w:rFonts w:ascii="Calibri" w:hAnsi="Calibri" w:eastAsia="Microsoft YaHei"/>
          <w:b w:val="0"/>
          <w:sz w:val="22"/>
        </w:rPr>
        <w:t>复杂系统设计通常涉及需求、功能、架构、接口、参数、约束、验证项、仿真结果、评审记录和版本记录等多类工程数据。上述数据分散在文档、建模工具、仿真工具、数据库和项目管理系统中，工程人员在建模、校验和变更时需要进行大量人工检索、比对和确认。</w:t>
      </w:r>
    </w:p>
    <w:p>
      <w:pPr>
        <w:spacing w:before="0" w:after="120" w:line="264" w:lineRule="auto"/>
      </w:pPr>
      <w:r>
        <w:rPr>
          <w:rFonts w:ascii="Calibri" w:hAnsi="Calibri" w:eastAsia="Microsoft YaHei"/>
          <w:b w:val="0"/>
          <w:sz w:val="22"/>
        </w:rPr>
        <w:t>现有人工智能技术能够生成文本、代码或部分模型描述，但直接用于工程模型生成时容易出现来源不可追溯、接口关系不完整、约束不一致、模型状态不明确、变更影响不可见等问题。现有建模工具能够支持模型编辑和部分规则检查，但通常没有将知识增强生成、候选模型治理、人在回路审核、沙箱变更预演和分支合并入库贯通为一个闭环。</w:t>
      </w:r>
    </w:p>
    <w:p>
      <w:pPr>
        <w:pStyle w:val="Heading1"/>
        <w:keepNext/>
        <w:spacing w:before="320" w:after="160"/>
      </w:pPr>
      <w:r>
        <w:rPr>
          <w:rFonts w:ascii="Calibri" w:hAnsi="Calibri" w:eastAsia="Microsoft YaHei"/>
          <w:b/>
          <w:color w:val="2E74B5"/>
          <w:sz w:val="32"/>
        </w:rPr>
        <w:t>四、拟解决的技术问题</w:t>
      </w:r>
    </w:p>
    <w:p>
      <w:pPr>
        <w:pStyle w:val="ListBullet"/>
        <w:spacing w:after="120"/>
        <w:ind w:left="720" w:hanging="360"/>
      </w:pPr>
      <w:r>
        <w:rPr>
          <w:rFonts w:ascii="Calibri" w:hAnsi="Calibri" w:eastAsia="Microsoft YaHei"/>
          <w:b w:val="0"/>
          <w:sz w:val="22"/>
        </w:rPr>
        <w:t>解决人工智能生成工程模型缺乏工程上下文约束和来源证据的问题。</w:t>
      </w:r>
    </w:p>
    <w:p>
      <w:pPr>
        <w:pStyle w:val="ListBullet"/>
        <w:spacing w:after="120"/>
        <w:ind w:left="720" w:hanging="360"/>
      </w:pPr>
      <w:r>
        <w:rPr>
          <w:rFonts w:ascii="Calibri" w:hAnsi="Calibri" w:eastAsia="Microsoft YaHei"/>
          <w:b w:val="0"/>
          <w:sz w:val="22"/>
        </w:rPr>
        <w:t>解决候选工程模型入库前缺乏规则校验、修复建议和人工审核闭环的问题。</w:t>
      </w:r>
    </w:p>
    <w:p>
      <w:pPr>
        <w:pStyle w:val="ListBullet"/>
        <w:spacing w:after="120"/>
        <w:ind w:left="720" w:hanging="360"/>
      </w:pPr>
      <w:r>
        <w:rPr>
          <w:rFonts w:ascii="Calibri" w:hAnsi="Calibri" w:eastAsia="Microsoft YaHei"/>
          <w:b w:val="0"/>
          <w:sz w:val="22"/>
        </w:rPr>
        <w:t>解决工程模型变更对需求、接口、参数、约束、验证项和仿真结果的影响难以提前识别的问题。</w:t>
      </w:r>
    </w:p>
    <w:p>
      <w:pPr>
        <w:pStyle w:val="ListBullet"/>
        <w:spacing w:after="120"/>
        <w:ind w:left="720" w:hanging="360"/>
      </w:pPr>
      <w:r>
        <w:rPr>
          <w:rFonts w:ascii="Calibri" w:hAnsi="Calibri" w:eastAsia="Microsoft YaHei"/>
          <w:b w:val="0"/>
          <w:sz w:val="22"/>
        </w:rPr>
        <w:t>解决AI生成模型、人工修正结果和发布分支权威模型之间缺乏状态治理和审计追踪的问题。</w:t>
      </w:r>
    </w:p>
    <w:p>
      <w:pPr>
        <w:pStyle w:val="Heading1"/>
        <w:keepNext/>
        <w:spacing w:before="320" w:after="160"/>
      </w:pPr>
      <w:r>
        <w:rPr>
          <w:rFonts w:ascii="Calibri" w:hAnsi="Calibri" w:eastAsia="Microsoft YaHei"/>
          <w:b/>
          <w:color w:val="2E74B5"/>
          <w:sz w:val="32"/>
        </w:rPr>
        <w:t>五、技术方案</w:t>
      </w:r>
    </w:p>
    <w:p>
      <w:pPr>
        <w:pStyle w:val="ListBullet"/>
        <w:spacing w:after="120"/>
        <w:ind w:left="720" w:hanging="360"/>
      </w:pPr>
      <w:r>
        <w:rPr>
          <w:rFonts w:ascii="Calibri" w:hAnsi="Calibri" w:eastAsia="Microsoft YaHei"/>
          <w:b w:val="0"/>
          <w:sz w:val="22"/>
        </w:rPr>
        <w:t>S1，获取多源工程数据，包括需求文档、接口规范、历史工程模型、仿真结果、评审记录、版本记录、权限数据和用户反馈数据。</w:t>
      </w:r>
    </w:p>
    <w:p>
      <w:pPr>
        <w:pStyle w:val="ListBullet"/>
        <w:spacing w:after="120"/>
        <w:ind w:left="720" w:hanging="360"/>
      </w:pPr>
      <w:r>
        <w:rPr>
          <w:rFonts w:ascii="Calibri" w:hAnsi="Calibri" w:eastAsia="Microsoft YaHei"/>
          <w:b w:val="0"/>
          <w:sz w:val="22"/>
        </w:rPr>
        <w:t>S2，从多源工程数据中抽取工程对象，所述工程对象包括需求、功能、模块、接口、参数、约束和验证项。</w:t>
      </w:r>
    </w:p>
    <w:p>
      <w:pPr>
        <w:pStyle w:val="ListBullet"/>
        <w:spacing w:after="120"/>
        <w:ind w:left="720" w:hanging="360"/>
      </w:pPr>
      <w:r>
        <w:rPr>
          <w:rFonts w:ascii="Calibri" w:hAnsi="Calibri" w:eastAsia="Microsoft YaHei"/>
          <w:b w:val="0"/>
          <w:sz w:val="22"/>
        </w:rPr>
        <w:t>S3，基于工程对象构建工程知识底座，所述工程知识底座包括语义索引、工程知识图谱和工程规则库。</w:t>
      </w:r>
    </w:p>
    <w:p>
      <w:pPr>
        <w:pStyle w:val="ListBullet"/>
        <w:spacing w:after="120"/>
        <w:ind w:left="720" w:hanging="360"/>
      </w:pPr>
      <w:r>
        <w:rPr>
          <w:rFonts w:ascii="Calibri" w:hAnsi="Calibri" w:eastAsia="Microsoft YaHei"/>
          <w:b w:val="0"/>
          <w:sz w:val="22"/>
        </w:rPr>
        <w:t>S4，响应于建模任务或变更任务，基于工程知识底座进行知识增强检索，得到工程上下文和来源证据。</w:t>
      </w:r>
    </w:p>
    <w:p>
      <w:pPr>
        <w:pStyle w:val="ListBullet"/>
        <w:spacing w:after="120"/>
        <w:ind w:left="720" w:hanging="360"/>
      </w:pPr>
      <w:r>
        <w:rPr>
          <w:rFonts w:ascii="Calibri" w:hAnsi="Calibri" w:eastAsia="Microsoft YaHei"/>
          <w:b w:val="0"/>
          <w:sz w:val="22"/>
        </w:rPr>
        <w:t>S5，基于工程上下文生成候选工程模型，候选工程模型包括文本化模型描述、图形化模型视图、模型元素清单、模型关系清单和证据链。</w:t>
      </w:r>
    </w:p>
    <w:p>
      <w:pPr>
        <w:pStyle w:val="ListBullet"/>
        <w:spacing w:after="120"/>
        <w:ind w:left="720" w:hanging="360"/>
      </w:pPr>
      <w:r>
        <w:rPr>
          <w:rFonts w:ascii="Calibri" w:hAnsi="Calibri" w:eastAsia="Microsoft YaHei"/>
          <w:b w:val="0"/>
          <w:sz w:val="22"/>
        </w:rPr>
        <w:t>S6，对候选工程模型进行模型校验，校验内容包括语法、语义、接口完整性、属性类型、连接合法性、约束一致性和需求覆盖性。</w:t>
      </w:r>
    </w:p>
    <w:p>
      <w:pPr>
        <w:pStyle w:val="ListBullet"/>
        <w:spacing w:after="120"/>
        <w:ind w:left="720" w:hanging="360"/>
      </w:pPr>
      <w:r>
        <w:rPr>
          <w:rFonts w:ascii="Calibri" w:hAnsi="Calibri" w:eastAsia="Microsoft YaHei"/>
          <w:b w:val="0"/>
          <w:sz w:val="22"/>
        </w:rPr>
        <w:t>S7，通过人在回路机制接收用户对候选工程模型的采纳、修正、驳回、复核或审批操作。</w:t>
      </w:r>
    </w:p>
    <w:p>
      <w:pPr>
        <w:pStyle w:val="ListBullet"/>
        <w:spacing w:after="120"/>
        <w:ind w:left="720" w:hanging="360"/>
      </w:pPr>
      <w:r>
        <w:rPr>
          <w:rFonts w:ascii="Calibri" w:hAnsi="Calibri" w:eastAsia="Microsoft YaHei"/>
          <w:b w:val="0"/>
          <w:sz w:val="22"/>
        </w:rPr>
        <w:t>S8，针对工程模型变更，在沙箱环境中进行影响分析和冲突识别。</w:t>
      </w:r>
    </w:p>
    <w:p>
      <w:pPr>
        <w:pStyle w:val="ListBullet"/>
        <w:spacing w:after="120"/>
        <w:ind w:left="720" w:hanging="360"/>
      </w:pPr>
      <w:r>
        <w:rPr>
          <w:rFonts w:ascii="Calibri" w:hAnsi="Calibri" w:eastAsia="Microsoft YaHei"/>
          <w:b w:val="0"/>
          <w:sz w:val="22"/>
        </w:rPr>
        <w:t>S9，经审核后，将候选工程模型或变更结果合并为权威工程模型，并生成审计记录。</w:t>
      </w:r>
    </w:p>
    <w:p>
      <w:pPr>
        <w:pStyle w:val="Heading1"/>
        <w:keepNext/>
        <w:spacing w:before="320" w:after="160"/>
      </w:pPr>
      <w:r>
        <w:rPr>
          <w:rFonts w:ascii="Calibri" w:hAnsi="Calibri" w:eastAsia="Microsoft YaHei"/>
          <w:b/>
          <w:color w:val="2E74B5"/>
          <w:sz w:val="32"/>
        </w:rPr>
        <w:t>六、核心创新点</w:t>
      </w:r>
    </w:p>
    <w:tbl>
      <w:tblPr>
        <w:tblW w:type="auto" w:w="0"/>
        <w:tblLayout w:type="fixed"/>
        <w:tblLook w:firstColumn="1" w:firstRow="1" w:lastColumn="0" w:lastRow="0" w:noHBand="0" w:noVBand="1" w:val="04A0"/>
      </w:tblPr>
      <w:tblGrid>
        <w:gridCol w:w="4680"/>
        <w:gridCol w:w="4680"/>
      </w:tblGrid>
      <w:tr>
        <w:tc>
          <w:tcPr>
            <w:tcW w:type="dxa" w:w="4680"/>
            <w:vAlign w:val="center"/>
          </w:tcPr>
          <w:p>
            <w:pPr>
              <w:jc w:val="center"/>
            </w:pPr>
            <w:r>
              <w:rPr>
                <w:rFonts w:ascii="Calibri" w:hAnsi="Calibri" w:eastAsia="Microsoft YaHei"/>
                <w:b/>
                <w:color w:val="1F4D78"/>
                <w:sz w:val="21"/>
              </w:rPr>
              <w:t>创新点</w:t>
            </w:r>
          </w:p>
        </w:tc>
        <w:tc>
          <w:tcPr>
            <w:tcW w:type="dxa" w:w="4680"/>
            <w:vAlign w:val="center"/>
          </w:tcPr>
          <w:p>
            <w:pPr>
              <w:jc w:val="center"/>
            </w:pPr>
            <w:r>
              <w:rPr>
                <w:rFonts w:ascii="Calibri" w:hAnsi="Calibri" w:eastAsia="Microsoft YaHei"/>
                <w:b/>
                <w:color w:val="1F4D78"/>
                <w:sz w:val="21"/>
              </w:rPr>
              <w:t>说明</w:t>
            </w:r>
          </w:p>
        </w:tc>
      </w:tr>
      <w:tr>
        <w:tc>
          <w:tcPr>
            <w:tcW w:type="dxa" w:w="4680"/>
          </w:tcPr>
          <w:p>
            <w:pPr>
              <w:spacing w:after="0"/>
            </w:pPr>
            <w:r>
              <w:rPr>
                <w:rFonts w:ascii="Calibri" w:hAnsi="Calibri" w:eastAsia="Microsoft YaHei"/>
                <w:b w:val="0"/>
                <w:sz w:val="20"/>
              </w:rPr>
              <w:t>知识增强生成</w:t>
            </w:r>
          </w:p>
        </w:tc>
        <w:tc>
          <w:tcPr>
            <w:tcW w:type="dxa" w:w="4680"/>
          </w:tcPr>
          <w:p>
            <w:pPr>
              <w:spacing w:after="0"/>
            </w:pPr>
            <w:r>
              <w:rPr>
                <w:rFonts w:ascii="Calibri" w:hAnsi="Calibri" w:eastAsia="Microsoft YaHei"/>
                <w:b w:val="0"/>
                <w:sz w:val="20"/>
              </w:rPr>
              <w:t>利用语义索引、工程知识图谱和工程规则库共同形成生成上下文，使AI生成结果受工程知识约束。</w:t>
            </w:r>
          </w:p>
        </w:tc>
      </w:tr>
      <w:tr>
        <w:tc>
          <w:tcPr>
            <w:tcW w:type="dxa" w:w="4680"/>
          </w:tcPr>
          <w:p>
            <w:pPr>
              <w:spacing w:after="0"/>
            </w:pPr>
            <w:r>
              <w:rPr>
                <w:rFonts w:ascii="Calibri" w:hAnsi="Calibri" w:eastAsia="Microsoft YaHei"/>
                <w:b w:val="0"/>
                <w:sz w:val="20"/>
              </w:rPr>
              <w:t>候选模型治理</w:t>
            </w:r>
          </w:p>
        </w:tc>
        <w:tc>
          <w:tcPr>
            <w:tcW w:type="dxa" w:w="4680"/>
          </w:tcPr>
          <w:p>
            <w:pPr>
              <w:spacing w:after="0"/>
            </w:pPr>
            <w:r>
              <w:rPr>
                <w:rFonts w:ascii="Calibri" w:hAnsi="Calibri" w:eastAsia="Microsoft YaHei"/>
                <w:b w:val="0"/>
                <w:sz w:val="20"/>
              </w:rPr>
              <w:t>AI生成结果先处于候选状态，需经过校验和人工审核后才能转化为权威工程模型。</w:t>
            </w:r>
          </w:p>
        </w:tc>
      </w:tr>
      <w:tr>
        <w:tc>
          <w:tcPr>
            <w:tcW w:type="dxa" w:w="4680"/>
          </w:tcPr>
          <w:p>
            <w:pPr>
              <w:spacing w:after="0"/>
            </w:pPr>
            <w:r>
              <w:rPr>
                <w:rFonts w:ascii="Calibri" w:hAnsi="Calibri" w:eastAsia="Microsoft YaHei"/>
                <w:b w:val="0"/>
                <w:sz w:val="20"/>
              </w:rPr>
              <w:t>校验与修复闭环</w:t>
            </w:r>
          </w:p>
        </w:tc>
        <w:tc>
          <w:tcPr>
            <w:tcW w:type="dxa" w:w="4680"/>
          </w:tcPr>
          <w:p>
            <w:pPr>
              <w:spacing w:after="0"/>
            </w:pPr>
            <w:r>
              <w:rPr>
                <w:rFonts w:ascii="Calibri" w:hAnsi="Calibri" w:eastAsia="Microsoft YaHei"/>
                <w:b w:val="0"/>
                <w:sz w:val="20"/>
              </w:rPr>
              <w:t>在入库前执行模型语言、工程语义、接口、约束和需求覆盖等规则校验，并生成修复建议。</w:t>
            </w:r>
          </w:p>
        </w:tc>
      </w:tr>
      <w:tr>
        <w:tc>
          <w:tcPr>
            <w:tcW w:type="dxa" w:w="4680"/>
          </w:tcPr>
          <w:p>
            <w:pPr>
              <w:spacing w:after="0"/>
            </w:pPr>
            <w:r>
              <w:rPr>
                <w:rFonts w:ascii="Calibri" w:hAnsi="Calibri" w:eastAsia="Microsoft YaHei"/>
                <w:b w:val="0"/>
                <w:sz w:val="20"/>
              </w:rPr>
              <w:t>沙箱变更预演</w:t>
            </w:r>
          </w:p>
        </w:tc>
        <w:tc>
          <w:tcPr>
            <w:tcW w:type="dxa" w:w="4680"/>
          </w:tcPr>
          <w:p>
            <w:pPr>
              <w:spacing w:after="0"/>
            </w:pPr>
            <w:r>
              <w:rPr>
                <w:rFonts w:ascii="Calibri" w:hAnsi="Calibri" w:eastAsia="Microsoft YaHei"/>
                <w:b w:val="0"/>
                <w:sz w:val="20"/>
              </w:rPr>
              <w:t>变更先在沙箱环境中进行影响传播分析，不直接覆盖发布分支权威模型。</w:t>
            </w:r>
          </w:p>
        </w:tc>
      </w:tr>
      <w:tr>
        <w:tc>
          <w:tcPr>
            <w:tcW w:type="dxa" w:w="4680"/>
          </w:tcPr>
          <w:p>
            <w:pPr>
              <w:spacing w:after="0"/>
            </w:pPr>
            <w:r>
              <w:rPr>
                <w:rFonts w:ascii="Calibri" w:hAnsi="Calibri" w:eastAsia="Microsoft YaHei"/>
                <w:b w:val="0"/>
                <w:sz w:val="20"/>
              </w:rPr>
              <w:t>证据链与审计</w:t>
            </w:r>
          </w:p>
        </w:tc>
        <w:tc>
          <w:tcPr>
            <w:tcW w:type="dxa" w:w="4680"/>
          </w:tcPr>
          <w:p>
            <w:pPr>
              <w:spacing w:after="0"/>
            </w:pPr>
            <w:r>
              <w:rPr>
                <w:rFonts w:ascii="Calibri" w:hAnsi="Calibri" w:eastAsia="Microsoft YaHei"/>
                <w:b w:val="0"/>
                <w:sz w:val="20"/>
              </w:rPr>
              <w:t>需求、模型元素、仿真证据、审核记录和版本变更之间形成可追溯链路。</w:t>
            </w:r>
          </w:p>
        </w:tc>
      </w:tr>
    </w:tbl>
    <w:p>
      <w:pPr>
        <w:spacing w:before="0" w:after="80" w:line="264" w:lineRule="auto"/>
      </w:pPr>
    </w:p>
    <w:p>
      <w:pPr>
        <w:pStyle w:val="Heading1"/>
        <w:keepNext/>
        <w:spacing w:before="320" w:after="160"/>
      </w:pPr>
      <w:r>
        <w:rPr>
          <w:rFonts w:ascii="Calibri" w:hAnsi="Calibri" w:eastAsia="Microsoft YaHei"/>
          <w:b/>
          <w:color w:val="2E74B5"/>
          <w:sz w:val="32"/>
        </w:rPr>
        <w:t>七、系统组成</w:t>
      </w:r>
    </w:p>
    <w:tbl>
      <w:tblPr>
        <w:tblW w:type="auto" w:w="0"/>
        <w:tblLayout w:type="fixed"/>
        <w:tblLook w:firstColumn="1" w:firstRow="1" w:lastColumn="0" w:lastRow="0" w:noHBand="0" w:noVBand="1" w:val="04A0"/>
      </w:tblPr>
      <w:tblGrid>
        <w:gridCol w:w="4680"/>
        <w:gridCol w:w="4680"/>
      </w:tblGrid>
      <w:tr>
        <w:tc>
          <w:tcPr>
            <w:tcW w:type="dxa" w:w="4680"/>
            <w:vAlign w:val="center"/>
          </w:tcPr>
          <w:p>
            <w:pPr>
              <w:jc w:val="center"/>
            </w:pPr>
            <w:r>
              <w:rPr>
                <w:rFonts w:ascii="Calibri" w:hAnsi="Calibri" w:eastAsia="Microsoft YaHei"/>
                <w:b/>
                <w:color w:val="1F4D78"/>
                <w:sz w:val="21"/>
              </w:rPr>
              <w:t>模块</w:t>
            </w:r>
          </w:p>
        </w:tc>
        <w:tc>
          <w:tcPr>
            <w:tcW w:type="dxa" w:w="4680"/>
            <w:vAlign w:val="center"/>
          </w:tcPr>
          <w:p>
            <w:pPr>
              <w:jc w:val="center"/>
            </w:pPr>
            <w:r>
              <w:rPr>
                <w:rFonts w:ascii="Calibri" w:hAnsi="Calibri" w:eastAsia="Microsoft YaHei"/>
                <w:b/>
                <w:color w:val="1F4D78"/>
                <w:sz w:val="21"/>
              </w:rPr>
              <w:t>功能</w:t>
            </w:r>
          </w:p>
        </w:tc>
      </w:tr>
      <w:tr>
        <w:tc>
          <w:tcPr>
            <w:tcW w:type="dxa" w:w="4680"/>
          </w:tcPr>
          <w:p>
            <w:pPr>
              <w:spacing w:after="0"/>
            </w:pPr>
            <w:r>
              <w:rPr>
                <w:rFonts w:ascii="Calibri" w:hAnsi="Calibri" w:eastAsia="Microsoft YaHei"/>
                <w:b w:val="0"/>
                <w:sz w:val="20"/>
              </w:rPr>
              <w:t>数据接入模块</w:t>
            </w:r>
          </w:p>
        </w:tc>
        <w:tc>
          <w:tcPr>
            <w:tcW w:type="dxa" w:w="4680"/>
          </w:tcPr>
          <w:p>
            <w:pPr>
              <w:spacing w:after="0"/>
            </w:pPr>
            <w:r>
              <w:rPr>
                <w:rFonts w:ascii="Calibri" w:hAnsi="Calibri" w:eastAsia="Microsoft YaHei"/>
                <w:b w:val="0"/>
                <w:sz w:val="20"/>
              </w:rPr>
              <w:t>获取需求文档、模型文件、接口规范、仿真结果、评审记录和历史版本数据。</w:t>
            </w:r>
          </w:p>
        </w:tc>
      </w:tr>
      <w:tr>
        <w:tc>
          <w:tcPr>
            <w:tcW w:type="dxa" w:w="4680"/>
          </w:tcPr>
          <w:p>
            <w:pPr>
              <w:spacing w:after="0"/>
            </w:pPr>
            <w:r>
              <w:rPr>
                <w:rFonts w:ascii="Calibri" w:hAnsi="Calibri" w:eastAsia="Microsoft YaHei"/>
                <w:b w:val="0"/>
                <w:sz w:val="20"/>
              </w:rPr>
              <w:t>工程对象抽取模块</w:t>
            </w:r>
          </w:p>
        </w:tc>
        <w:tc>
          <w:tcPr>
            <w:tcW w:type="dxa" w:w="4680"/>
          </w:tcPr>
          <w:p>
            <w:pPr>
              <w:spacing w:after="0"/>
            </w:pPr>
            <w:r>
              <w:rPr>
                <w:rFonts w:ascii="Calibri" w:hAnsi="Calibri" w:eastAsia="Microsoft YaHei"/>
                <w:b w:val="0"/>
                <w:sz w:val="20"/>
              </w:rPr>
              <w:t>抽取需求、功能、模块、接口、参数、约束和验证项等工程对象。</w:t>
            </w:r>
          </w:p>
        </w:tc>
      </w:tr>
      <w:tr>
        <w:tc>
          <w:tcPr>
            <w:tcW w:type="dxa" w:w="4680"/>
          </w:tcPr>
          <w:p>
            <w:pPr>
              <w:spacing w:after="0"/>
            </w:pPr>
            <w:r>
              <w:rPr>
                <w:rFonts w:ascii="Calibri" w:hAnsi="Calibri" w:eastAsia="Microsoft YaHei"/>
                <w:b w:val="0"/>
                <w:sz w:val="20"/>
              </w:rPr>
              <w:t>知识底座模块</w:t>
            </w:r>
          </w:p>
        </w:tc>
        <w:tc>
          <w:tcPr>
            <w:tcW w:type="dxa" w:w="4680"/>
          </w:tcPr>
          <w:p>
            <w:pPr>
              <w:spacing w:after="0"/>
            </w:pPr>
            <w:r>
              <w:rPr>
                <w:rFonts w:ascii="Calibri" w:hAnsi="Calibri" w:eastAsia="Microsoft YaHei"/>
                <w:b w:val="0"/>
                <w:sz w:val="20"/>
              </w:rPr>
              <w:t>维护语义索引、工程知识图谱和工程规则库。</w:t>
            </w:r>
          </w:p>
        </w:tc>
      </w:tr>
      <w:tr>
        <w:tc>
          <w:tcPr>
            <w:tcW w:type="dxa" w:w="4680"/>
          </w:tcPr>
          <w:p>
            <w:pPr>
              <w:spacing w:after="0"/>
            </w:pPr>
            <w:r>
              <w:rPr>
                <w:rFonts w:ascii="Calibri" w:hAnsi="Calibri" w:eastAsia="Microsoft YaHei"/>
                <w:b w:val="0"/>
                <w:sz w:val="20"/>
              </w:rPr>
              <w:t>知识增强检索模块</w:t>
            </w:r>
          </w:p>
        </w:tc>
        <w:tc>
          <w:tcPr>
            <w:tcW w:type="dxa" w:w="4680"/>
          </w:tcPr>
          <w:p>
            <w:pPr>
              <w:spacing w:after="0"/>
            </w:pPr>
            <w:r>
              <w:rPr>
                <w:rFonts w:ascii="Calibri" w:hAnsi="Calibri" w:eastAsia="Microsoft YaHei"/>
                <w:b w:val="0"/>
                <w:sz w:val="20"/>
              </w:rPr>
              <w:t>根据任务召回相关文本、模型元素、图谱关系和规则条目。</w:t>
            </w:r>
          </w:p>
        </w:tc>
      </w:tr>
      <w:tr>
        <w:tc>
          <w:tcPr>
            <w:tcW w:type="dxa" w:w="4680"/>
          </w:tcPr>
          <w:p>
            <w:pPr>
              <w:spacing w:after="0"/>
            </w:pPr>
            <w:r>
              <w:rPr>
                <w:rFonts w:ascii="Calibri" w:hAnsi="Calibri" w:eastAsia="Microsoft YaHei"/>
                <w:b w:val="0"/>
                <w:sz w:val="20"/>
              </w:rPr>
              <w:t>模型生成模块</w:t>
            </w:r>
          </w:p>
        </w:tc>
        <w:tc>
          <w:tcPr>
            <w:tcW w:type="dxa" w:w="4680"/>
          </w:tcPr>
          <w:p>
            <w:pPr>
              <w:spacing w:after="0"/>
            </w:pPr>
            <w:r>
              <w:rPr>
                <w:rFonts w:ascii="Calibri" w:hAnsi="Calibri" w:eastAsia="Microsoft YaHei"/>
                <w:b w:val="0"/>
                <w:sz w:val="20"/>
              </w:rPr>
              <w:t>生成候选工程模型、模型元素关系和图形化视图。</w:t>
            </w:r>
          </w:p>
        </w:tc>
      </w:tr>
      <w:tr>
        <w:tc>
          <w:tcPr>
            <w:tcW w:type="dxa" w:w="4680"/>
          </w:tcPr>
          <w:p>
            <w:pPr>
              <w:spacing w:after="0"/>
            </w:pPr>
            <w:r>
              <w:rPr>
                <w:rFonts w:ascii="Calibri" w:hAnsi="Calibri" w:eastAsia="Microsoft YaHei"/>
                <w:b w:val="0"/>
                <w:sz w:val="20"/>
              </w:rPr>
              <w:t>模型校验模块</w:t>
            </w:r>
          </w:p>
        </w:tc>
        <w:tc>
          <w:tcPr>
            <w:tcW w:type="dxa" w:w="4680"/>
          </w:tcPr>
          <w:p>
            <w:pPr>
              <w:spacing w:after="0"/>
            </w:pPr>
            <w:r>
              <w:rPr>
                <w:rFonts w:ascii="Calibri" w:hAnsi="Calibri" w:eastAsia="Microsoft YaHei"/>
                <w:b w:val="0"/>
                <w:sz w:val="20"/>
              </w:rPr>
              <w:t>执行语法、语义、接口、命名、属性、连接和约束校验。</w:t>
            </w:r>
          </w:p>
        </w:tc>
      </w:tr>
      <w:tr>
        <w:tc>
          <w:tcPr>
            <w:tcW w:type="dxa" w:w="4680"/>
          </w:tcPr>
          <w:p>
            <w:pPr>
              <w:spacing w:after="0"/>
            </w:pPr>
            <w:r>
              <w:rPr>
                <w:rFonts w:ascii="Calibri" w:hAnsi="Calibri" w:eastAsia="Microsoft YaHei"/>
                <w:b w:val="0"/>
                <w:sz w:val="20"/>
              </w:rPr>
              <w:t>人在回路模块</w:t>
            </w:r>
          </w:p>
        </w:tc>
        <w:tc>
          <w:tcPr>
            <w:tcW w:type="dxa" w:w="4680"/>
          </w:tcPr>
          <w:p>
            <w:pPr>
              <w:spacing w:after="0"/>
            </w:pPr>
            <w:r>
              <w:rPr>
                <w:rFonts w:ascii="Calibri" w:hAnsi="Calibri" w:eastAsia="Microsoft YaHei"/>
                <w:b w:val="0"/>
                <w:sz w:val="20"/>
              </w:rPr>
              <w:t>接收采纳、修正、驳回、复核和审批操作。</w:t>
            </w:r>
          </w:p>
        </w:tc>
      </w:tr>
      <w:tr>
        <w:tc>
          <w:tcPr>
            <w:tcW w:type="dxa" w:w="4680"/>
          </w:tcPr>
          <w:p>
            <w:pPr>
              <w:spacing w:after="0"/>
            </w:pPr>
            <w:r>
              <w:rPr>
                <w:rFonts w:ascii="Calibri" w:hAnsi="Calibri" w:eastAsia="Microsoft YaHei"/>
                <w:b w:val="0"/>
                <w:sz w:val="20"/>
              </w:rPr>
              <w:t>变更治理模块</w:t>
            </w:r>
          </w:p>
        </w:tc>
        <w:tc>
          <w:tcPr>
            <w:tcW w:type="dxa" w:w="4680"/>
          </w:tcPr>
          <w:p>
            <w:pPr>
              <w:spacing w:after="0"/>
            </w:pPr>
            <w:r>
              <w:rPr>
                <w:rFonts w:ascii="Calibri" w:hAnsi="Calibri" w:eastAsia="Microsoft YaHei"/>
                <w:b w:val="0"/>
                <w:sz w:val="20"/>
              </w:rPr>
              <w:t>执行沙箱影响分析、冲突识别和变更预演。</w:t>
            </w:r>
          </w:p>
        </w:tc>
      </w:tr>
      <w:tr>
        <w:tc>
          <w:tcPr>
            <w:tcW w:type="dxa" w:w="4680"/>
          </w:tcPr>
          <w:p>
            <w:pPr>
              <w:spacing w:after="0"/>
            </w:pPr>
            <w:r>
              <w:rPr>
                <w:rFonts w:ascii="Calibri" w:hAnsi="Calibri" w:eastAsia="Microsoft YaHei"/>
                <w:b w:val="0"/>
                <w:sz w:val="20"/>
              </w:rPr>
              <w:t>合并入库模块</w:t>
            </w:r>
          </w:p>
        </w:tc>
        <w:tc>
          <w:tcPr>
            <w:tcW w:type="dxa" w:w="4680"/>
          </w:tcPr>
          <w:p>
            <w:pPr>
              <w:spacing w:after="0"/>
            </w:pPr>
            <w:r>
              <w:rPr>
                <w:rFonts w:ascii="Calibri" w:hAnsi="Calibri" w:eastAsia="Microsoft YaHei"/>
                <w:b w:val="0"/>
                <w:sz w:val="20"/>
              </w:rPr>
              <w:t>将满足条件的候选模型或变更结果合并为权威工程模型。</w:t>
            </w:r>
          </w:p>
        </w:tc>
      </w:tr>
      <w:tr>
        <w:tc>
          <w:tcPr>
            <w:tcW w:type="dxa" w:w="4680"/>
          </w:tcPr>
          <w:p>
            <w:pPr>
              <w:spacing w:after="0"/>
            </w:pPr>
            <w:r>
              <w:rPr>
                <w:rFonts w:ascii="Calibri" w:hAnsi="Calibri" w:eastAsia="Microsoft YaHei"/>
                <w:b w:val="0"/>
                <w:sz w:val="20"/>
              </w:rPr>
              <w:t>审计反馈模块</w:t>
            </w:r>
          </w:p>
        </w:tc>
        <w:tc>
          <w:tcPr>
            <w:tcW w:type="dxa" w:w="4680"/>
          </w:tcPr>
          <w:p>
            <w:pPr>
              <w:spacing w:after="0"/>
            </w:pPr>
            <w:r>
              <w:rPr>
                <w:rFonts w:ascii="Calibri" w:hAnsi="Calibri" w:eastAsia="Microsoft YaHei"/>
                <w:b w:val="0"/>
                <w:sz w:val="20"/>
              </w:rPr>
              <w:t>记录审计信息并将反馈数据回写工程知识底座。</w:t>
            </w:r>
          </w:p>
        </w:tc>
      </w:tr>
    </w:tbl>
    <w:p>
      <w:pPr>
        <w:spacing w:before="0" w:after="80" w:line="264" w:lineRule="auto"/>
      </w:pPr>
    </w:p>
    <w:p>
      <w:pPr>
        <w:pStyle w:val="Heading1"/>
        <w:keepNext/>
        <w:spacing w:before="320" w:after="160"/>
      </w:pPr>
      <w:r>
        <w:rPr>
          <w:rFonts w:ascii="Calibri" w:hAnsi="Calibri" w:eastAsia="Microsoft YaHei"/>
          <w:b/>
          <w:color w:val="2E74B5"/>
          <w:sz w:val="32"/>
        </w:rPr>
        <w:t>八、具体实施例</w:t>
      </w:r>
    </w:p>
    <w:p>
      <w:pPr>
        <w:pStyle w:val="Heading2"/>
        <w:keepNext/>
        <w:spacing w:before="240" w:after="120"/>
      </w:pPr>
      <w:r>
        <w:rPr>
          <w:rFonts w:ascii="Calibri" w:hAnsi="Calibri" w:eastAsia="Microsoft YaHei"/>
          <w:b/>
          <w:color w:val="2E74B5"/>
          <w:sz w:val="26"/>
        </w:rPr>
        <w:t>实施例一：通用工程模型治理流程</w:t>
      </w:r>
    </w:p>
    <w:p>
      <w:pPr>
        <w:spacing w:before="0" w:after="120" w:line="264" w:lineRule="auto"/>
      </w:pPr>
      <w:r>
        <w:rPr>
          <w:rFonts w:ascii="Calibri" w:hAnsi="Calibri" w:eastAsia="Microsoft YaHei"/>
          <w:b w:val="0"/>
          <w:sz w:val="22"/>
        </w:rPr>
        <w:t>在一个实施例中，系统接入需求文档、接口规范、历史工程模型、仿真结果、评审记录、版本记录和用户反馈数据。系统对上述数据进行解析和抽取，形成需求、功能、模块、接口、参数、约束和验证项等工程对象。每个工程对象包括对象标识、对象类型、名称、描述、来源位置、生命周期状态和版本信息。</w:t>
      </w:r>
    </w:p>
    <w:p>
      <w:pPr>
        <w:spacing w:before="0" w:after="120" w:line="264" w:lineRule="auto"/>
      </w:pPr>
      <w:r>
        <w:rPr>
          <w:rFonts w:ascii="Calibri" w:hAnsi="Calibri" w:eastAsia="Microsoft YaHei"/>
          <w:b w:val="0"/>
          <w:sz w:val="22"/>
        </w:rPr>
        <w:t>系统基于工程对象构建工程知识底座。语义索引用于召回相似文本和历史工程资料，工程知识图谱用于表示工程对象之间的满足、派生、组成、连接、约束、验证、依赖和版本关系，工程规则库用于存储模型语言规则、项目命名规则、接口连接规则、变更传播规则和入库规则。</w:t>
      </w:r>
    </w:p>
    <w:p>
      <w:pPr>
        <w:pStyle w:val="Heading2"/>
        <w:keepNext/>
        <w:spacing w:before="240" w:after="120"/>
      </w:pPr>
      <w:r>
        <w:rPr>
          <w:rFonts w:ascii="Calibri" w:hAnsi="Calibri" w:eastAsia="Microsoft YaHei"/>
          <w:b/>
          <w:color w:val="2E74B5"/>
          <w:sz w:val="26"/>
        </w:rPr>
        <w:t>实施例二：面向MBSE系统的具体应用</w:t>
      </w:r>
    </w:p>
    <w:p>
      <w:pPr>
        <w:spacing w:before="0" w:after="120" w:line="264" w:lineRule="auto"/>
      </w:pPr>
      <w:r>
        <w:rPr>
          <w:rFonts w:ascii="Calibri" w:hAnsi="Calibri" w:eastAsia="Microsoft YaHei"/>
          <w:b w:val="0"/>
          <w:sz w:val="22"/>
        </w:rPr>
        <w:t>在一个具体应用中，上述方法应用于AI赋能MBSE系统。系统接入需求文档、SysML模型、图数据库、向量数据库、工程建模工具同步结果、仿真工具结果和用户审核记录。系统基于知识增强检索召回相关需求、接口、模块和约束，并生成SysML文本模型、需求图、用例图、内部模块图或接口关系图。</w:t>
      </w:r>
    </w:p>
    <w:p>
      <w:pPr>
        <w:spacing w:before="0" w:after="120" w:line="264" w:lineRule="auto"/>
      </w:pPr>
      <w:r>
        <w:rPr>
          <w:rFonts w:ascii="Calibri" w:hAnsi="Calibri" w:eastAsia="Microsoft YaHei"/>
          <w:b w:val="0"/>
          <w:sz w:val="22"/>
        </w:rPr>
        <w:t>生成的SysML模型在入库前以候选模型形式展示，设计人员可以进行采纳、修正或驳回。系统根据SysML语法、项目命名规范、接口完整性、属性类型、连接合法性和需求覆盖性进行预评审与校验，并对可修复问题给出修复建议。</w:t>
      </w:r>
    </w:p>
    <w:p>
      <w:pPr>
        <w:spacing w:before="0" w:after="120" w:line="264" w:lineRule="auto"/>
      </w:pPr>
      <w:r>
        <w:rPr>
          <w:rFonts w:ascii="Calibri" w:hAnsi="Calibri" w:eastAsia="Microsoft YaHei"/>
          <w:b w:val="0"/>
          <w:sz w:val="22"/>
        </w:rPr>
        <w:t>当设计人员提出参数或接口变更时，例如修改链路带宽、接口容量或载荷参数，系统在沙箱环境中进行影响传播分析，输出受影响需求、模块、接口、验证项和仿真任务。审核通过后，系统通过分支合并将候选模型或变更结果合并为发布分支中的权威模型元素。</w:t>
      </w:r>
    </w:p>
    <w:p>
      <w:pPr>
        <w:pStyle w:val="Heading2"/>
        <w:keepNext/>
        <w:spacing w:before="240" w:after="120"/>
      </w:pPr>
      <w:r>
        <w:rPr>
          <w:rFonts w:ascii="Calibri" w:hAnsi="Calibri" w:eastAsia="Microsoft YaHei"/>
          <w:b/>
          <w:color w:val="2E74B5"/>
          <w:sz w:val="26"/>
        </w:rPr>
        <w:t>实施例三：仿真证据关联</w:t>
      </w:r>
    </w:p>
    <w:p>
      <w:pPr>
        <w:spacing w:before="0" w:after="120" w:line="264" w:lineRule="auto"/>
      </w:pPr>
      <w:r>
        <w:rPr>
          <w:rFonts w:ascii="Calibri" w:hAnsi="Calibri" w:eastAsia="Microsoft YaHei"/>
          <w:b w:val="0"/>
          <w:sz w:val="22"/>
        </w:rPr>
        <w:t>对于需要仿真验证的需求，系统可以调用外部仿真工具生成验证证据。例如，在航天系统设计场景中，轨道覆盖类需求可以关联轨道仿真结果，动态响应类需求可以关联动态仿真结果。仿真结果与需求、参数、模型元素和校验项建立追溯关系，用于支持模型校验、工程评审和后续变更分析。</w:t>
      </w:r>
    </w:p>
    <w:p>
      <w:pPr>
        <w:pStyle w:val="Heading1"/>
        <w:keepNext/>
        <w:spacing w:before="320" w:after="160"/>
      </w:pPr>
      <w:r>
        <w:rPr>
          <w:rFonts w:ascii="Calibri" w:hAnsi="Calibri" w:eastAsia="Microsoft YaHei"/>
          <w:b/>
          <w:color w:val="2E74B5"/>
          <w:sz w:val="32"/>
        </w:rPr>
        <w:t>九、可替代实施方式</w:t>
      </w:r>
    </w:p>
    <w:p>
      <w:pPr>
        <w:pStyle w:val="ListBullet"/>
        <w:spacing w:after="120"/>
        <w:ind w:left="720" w:hanging="360"/>
      </w:pPr>
      <w:r>
        <w:rPr>
          <w:rFonts w:ascii="Calibri" w:hAnsi="Calibri" w:eastAsia="Microsoft YaHei"/>
          <w:b w:val="0"/>
          <w:sz w:val="22"/>
        </w:rPr>
        <w:t>语义索引可以由向量数据库、全文检索引擎、关键词索引或其组合实现。</w:t>
      </w:r>
    </w:p>
    <w:p>
      <w:pPr>
        <w:pStyle w:val="ListBullet"/>
        <w:spacing w:after="120"/>
        <w:ind w:left="720" w:hanging="360"/>
      </w:pPr>
      <w:r>
        <w:rPr>
          <w:rFonts w:ascii="Calibri" w:hAnsi="Calibri" w:eastAsia="Microsoft YaHei"/>
          <w:b w:val="0"/>
          <w:sz w:val="22"/>
        </w:rPr>
        <w:t>工程知识图谱可以由图数据库、关系型数据库、文档数据库或内存图结构实现。</w:t>
      </w:r>
    </w:p>
    <w:p>
      <w:pPr>
        <w:pStyle w:val="ListBullet"/>
        <w:spacing w:after="120"/>
        <w:ind w:left="720" w:hanging="360"/>
      </w:pPr>
      <w:r>
        <w:rPr>
          <w:rFonts w:ascii="Calibri" w:hAnsi="Calibri" w:eastAsia="Microsoft YaHei"/>
          <w:b w:val="0"/>
          <w:sz w:val="22"/>
        </w:rPr>
        <w:t>候选工程模型可以由大语言模型、规则模板、模型转换器或多模型协同机制生成。</w:t>
      </w:r>
    </w:p>
    <w:p>
      <w:pPr>
        <w:pStyle w:val="ListBullet"/>
        <w:spacing w:after="120"/>
        <w:ind w:left="720" w:hanging="360"/>
      </w:pPr>
      <w:r>
        <w:rPr>
          <w:rFonts w:ascii="Calibri" w:hAnsi="Calibri" w:eastAsia="Microsoft YaHei"/>
          <w:b w:val="0"/>
          <w:sz w:val="22"/>
        </w:rPr>
        <w:t>工程规则库可以包括标准建模语言规范、企业建模规范、接口控制规则、仿真约束规则或项目自定义规则。</w:t>
      </w:r>
    </w:p>
    <w:p>
      <w:pPr>
        <w:pStyle w:val="ListBullet"/>
        <w:spacing w:after="120"/>
        <w:ind w:left="720" w:hanging="360"/>
      </w:pPr>
      <w:r>
        <w:rPr>
          <w:rFonts w:ascii="Calibri" w:hAnsi="Calibri" w:eastAsia="Microsoft YaHei"/>
          <w:b w:val="0"/>
          <w:sz w:val="22"/>
        </w:rPr>
        <w:t>工程模型不限于SysML，也可以包括UML、AADL、Simulink接口模型、数字孪生模型或企业自定义工程模型。</w:t>
      </w:r>
    </w:p>
    <w:p>
      <w:pPr>
        <w:pStyle w:val="ListBullet"/>
        <w:spacing w:after="120"/>
        <w:ind w:left="720" w:hanging="360"/>
      </w:pPr>
      <w:r>
        <w:rPr>
          <w:rFonts w:ascii="Calibri" w:hAnsi="Calibri" w:eastAsia="Microsoft YaHei"/>
          <w:b w:val="0"/>
          <w:sz w:val="22"/>
        </w:rPr>
        <w:t>本发明不限于航天系统，也可以应用于航空、船舶、车辆、能源、工业装备、智能制造或其他复杂系统工程设计场景。</w:t>
      </w:r>
    </w:p>
    <w:p>
      <w:pPr>
        <w:pStyle w:val="Heading1"/>
        <w:keepNext/>
        <w:spacing w:before="320" w:after="160"/>
      </w:pPr>
      <w:r>
        <w:rPr>
          <w:rFonts w:ascii="Calibri" w:hAnsi="Calibri" w:eastAsia="Microsoft YaHei"/>
          <w:b/>
          <w:color w:val="2E74B5"/>
          <w:sz w:val="32"/>
        </w:rPr>
        <w:t>十、建议权利要求布局</w:t>
      </w:r>
    </w:p>
    <w:tbl>
      <w:tblPr>
        <w:tblW w:type="auto" w:w="0"/>
        <w:tblLayout w:type="fixed"/>
        <w:tblLook w:firstColumn="1" w:firstRow="1" w:lastColumn="0" w:lastRow="0" w:noHBand="0" w:noVBand="1" w:val="04A0"/>
      </w:tblPr>
      <w:tblGrid>
        <w:gridCol w:w="4680"/>
        <w:gridCol w:w="4680"/>
      </w:tblGrid>
      <w:tr>
        <w:tc>
          <w:tcPr>
            <w:tcW w:type="dxa" w:w="4680"/>
            <w:vAlign w:val="center"/>
          </w:tcPr>
          <w:p>
            <w:pPr>
              <w:jc w:val="center"/>
            </w:pPr>
            <w:r>
              <w:rPr>
                <w:rFonts w:ascii="Calibri" w:hAnsi="Calibri" w:eastAsia="Microsoft YaHei"/>
                <w:b/>
                <w:color w:val="1F4D78"/>
                <w:sz w:val="21"/>
              </w:rPr>
              <w:t>类型</w:t>
            </w:r>
          </w:p>
        </w:tc>
        <w:tc>
          <w:tcPr>
            <w:tcW w:type="dxa" w:w="4680"/>
            <w:vAlign w:val="center"/>
          </w:tcPr>
          <w:p>
            <w:pPr>
              <w:jc w:val="center"/>
            </w:pPr>
            <w:r>
              <w:rPr>
                <w:rFonts w:ascii="Calibri" w:hAnsi="Calibri" w:eastAsia="Microsoft YaHei"/>
                <w:b/>
                <w:color w:val="1F4D78"/>
                <w:sz w:val="21"/>
              </w:rPr>
              <w:t>建议保护内容</w:t>
            </w:r>
          </w:p>
        </w:tc>
      </w:tr>
      <w:tr>
        <w:tc>
          <w:tcPr>
            <w:tcW w:type="dxa" w:w="4680"/>
          </w:tcPr>
          <w:p>
            <w:pPr>
              <w:spacing w:after="0"/>
            </w:pPr>
            <w:r>
              <w:rPr>
                <w:rFonts w:ascii="Calibri" w:hAnsi="Calibri" w:eastAsia="Microsoft YaHei"/>
                <w:b w:val="0"/>
                <w:sz w:val="20"/>
              </w:rPr>
              <w:t>方法主权利要求</w:t>
            </w:r>
          </w:p>
        </w:tc>
        <w:tc>
          <w:tcPr>
            <w:tcW w:type="dxa" w:w="4680"/>
          </w:tcPr>
          <w:p>
            <w:pPr>
              <w:spacing w:after="0"/>
            </w:pPr>
            <w:r>
              <w:rPr>
                <w:rFonts w:ascii="Calibri" w:hAnsi="Calibri" w:eastAsia="Microsoft YaHei"/>
                <w:b w:val="0"/>
                <w:sz w:val="20"/>
              </w:rPr>
              <w:t>保护多源数据获取、工程对象抽取、知识底座构建、知识增强检索、候选模型生成、模型校验、人在回路、沙箱变更分析和合并入库的完整闭环。</w:t>
            </w:r>
          </w:p>
        </w:tc>
      </w:tr>
      <w:tr>
        <w:tc>
          <w:tcPr>
            <w:tcW w:type="dxa" w:w="4680"/>
          </w:tcPr>
          <w:p>
            <w:pPr>
              <w:spacing w:after="0"/>
            </w:pPr>
            <w:r>
              <w:rPr>
                <w:rFonts w:ascii="Calibri" w:hAnsi="Calibri" w:eastAsia="Microsoft YaHei"/>
                <w:b w:val="0"/>
                <w:sz w:val="20"/>
              </w:rPr>
              <w:t>方法从属权利要求</w:t>
            </w:r>
          </w:p>
        </w:tc>
        <w:tc>
          <w:tcPr>
            <w:tcW w:type="dxa" w:w="4680"/>
          </w:tcPr>
          <w:p>
            <w:pPr>
              <w:spacing w:after="0"/>
            </w:pPr>
            <w:r>
              <w:rPr>
                <w:rFonts w:ascii="Calibri" w:hAnsi="Calibri" w:eastAsia="Microsoft YaHei"/>
                <w:b w:val="0"/>
                <w:sz w:val="20"/>
              </w:rPr>
              <w:t>分别限定多源工程数据类型、知识图谱关系、知识增强检索方式、模型校验内容、修复补丁、审核操作、沙箱影响分析和工具联动。</w:t>
            </w:r>
          </w:p>
        </w:tc>
      </w:tr>
      <w:tr>
        <w:tc>
          <w:tcPr>
            <w:tcW w:type="dxa" w:w="4680"/>
          </w:tcPr>
          <w:p>
            <w:pPr>
              <w:spacing w:after="0"/>
            </w:pPr>
            <w:r>
              <w:rPr>
                <w:rFonts w:ascii="Calibri" w:hAnsi="Calibri" w:eastAsia="Microsoft YaHei"/>
                <w:b w:val="0"/>
                <w:sz w:val="20"/>
              </w:rPr>
              <w:t>系统权利要求</w:t>
            </w:r>
          </w:p>
        </w:tc>
        <w:tc>
          <w:tcPr>
            <w:tcW w:type="dxa" w:w="4680"/>
          </w:tcPr>
          <w:p>
            <w:pPr>
              <w:spacing w:after="0"/>
            </w:pPr>
            <w:r>
              <w:rPr>
                <w:rFonts w:ascii="Calibri" w:hAnsi="Calibri" w:eastAsia="Microsoft YaHei"/>
                <w:b w:val="0"/>
                <w:sz w:val="20"/>
              </w:rPr>
              <w:t>按数据接入、对象抽取、知识底座、检索、生成、校验、人在回路、变更治理、合并入库和审计反馈模块保护。</w:t>
            </w:r>
          </w:p>
        </w:tc>
      </w:tr>
      <w:tr>
        <w:tc>
          <w:tcPr>
            <w:tcW w:type="dxa" w:w="4680"/>
          </w:tcPr>
          <w:p>
            <w:pPr>
              <w:spacing w:after="0"/>
            </w:pPr>
            <w:r>
              <w:rPr>
                <w:rFonts w:ascii="Calibri" w:hAnsi="Calibri" w:eastAsia="Microsoft YaHei"/>
                <w:b w:val="0"/>
                <w:sz w:val="20"/>
              </w:rPr>
              <w:t>设备和介质权利要求</w:t>
            </w:r>
          </w:p>
        </w:tc>
        <w:tc>
          <w:tcPr>
            <w:tcW w:type="dxa" w:w="4680"/>
          </w:tcPr>
          <w:p>
            <w:pPr>
              <w:spacing w:after="0"/>
            </w:pPr>
            <w:r>
              <w:rPr>
                <w:rFonts w:ascii="Calibri" w:hAnsi="Calibri" w:eastAsia="Microsoft YaHei"/>
                <w:b w:val="0"/>
                <w:sz w:val="20"/>
              </w:rPr>
              <w:t>补充电子设备和计算机可读存储介质保护形式。</w:t>
            </w:r>
          </w:p>
        </w:tc>
      </w:tr>
    </w:tbl>
    <w:p>
      <w:pPr>
        <w:spacing w:before="0" w:after="80" w:line="264" w:lineRule="auto"/>
      </w:pPr>
    </w:p>
    <w:p>
      <w:pPr>
        <w:pStyle w:val="Heading1"/>
        <w:keepNext/>
        <w:spacing w:before="320" w:after="160"/>
      </w:pPr>
      <w:r>
        <w:rPr>
          <w:rFonts w:ascii="Calibri" w:hAnsi="Calibri" w:eastAsia="Microsoft YaHei"/>
          <w:b/>
          <w:color w:val="2E74B5"/>
          <w:sz w:val="32"/>
        </w:rPr>
        <w:t>十一、附图</w:t>
      </w:r>
    </w:p>
    <w:p>
      <w:pPr>
        <w:jc w:val="center"/>
      </w:pPr>
      <w:r>
        <w:drawing>
          <wp:inline xmlns:a="http://schemas.openxmlformats.org/drawingml/2006/main" xmlns:pic="http://schemas.openxmlformats.org/drawingml/2006/picture">
            <wp:extent cx="5852160" cy="1950720"/>
            <wp:docPr id="1" name="Picture 1"/>
            <wp:cNvGraphicFramePr>
              <a:graphicFrameLocks noChangeAspect="1"/>
            </wp:cNvGraphicFramePr>
            <a:graphic>
              <a:graphicData uri="http://schemas.openxmlformats.org/drawingml/2006/picture">
                <pic:pic>
                  <pic:nvPicPr>
                    <pic:cNvPr id="0" name="图1_方法总体流程图.png"/>
                    <pic:cNvPicPr/>
                  </pic:nvPicPr>
                  <pic:blipFill>
                    <a:blip r:embed="rId11"/>
                    <a:stretch>
                      <a:fillRect/>
                    </a:stretch>
                  </pic:blipFill>
                  <pic:spPr>
                    <a:xfrm>
                      <a:off x="0" y="0"/>
                      <a:ext cx="5852160" cy="1950720"/>
                    </a:xfrm>
                    <a:prstGeom prst="rect"/>
                  </pic:spPr>
                </pic:pic>
              </a:graphicData>
            </a:graphic>
          </wp:inline>
        </w:drawing>
      </w:r>
    </w:p>
    <w:p>
      <w:pPr>
        <w:spacing w:after="160"/>
        <w:jc w:val="center"/>
      </w:pPr>
      <w:r>
        <w:rPr>
          <w:rFonts w:ascii="Calibri" w:hAnsi="Calibri" w:eastAsia="Microsoft YaHei"/>
          <w:b/>
          <w:color w:val="000000"/>
          <w:sz w:val="21"/>
        </w:rPr>
        <w:t>图1  方法总体流程图</w:t>
      </w:r>
    </w:p>
    <w:p>
      <w:pPr>
        <w:jc w:val="center"/>
      </w:pPr>
      <w:r>
        <w:drawing>
          <wp:inline xmlns:a="http://schemas.openxmlformats.org/drawingml/2006/main" xmlns:pic="http://schemas.openxmlformats.org/drawingml/2006/picture">
            <wp:extent cx="5852160" cy="3786692"/>
            <wp:docPr id="2" name="Picture 2"/>
            <wp:cNvGraphicFramePr>
              <a:graphicFrameLocks noChangeAspect="1"/>
            </wp:cNvGraphicFramePr>
            <a:graphic>
              <a:graphicData uri="http://schemas.openxmlformats.org/drawingml/2006/picture">
                <pic:pic>
                  <pic:nvPicPr>
                    <pic:cNvPr id="0" name="图2_系统功能模块架构图.png"/>
                    <pic:cNvPicPr/>
                  </pic:nvPicPr>
                  <pic:blipFill>
                    <a:blip r:embed="rId12"/>
                    <a:stretch>
                      <a:fillRect/>
                    </a:stretch>
                  </pic:blipFill>
                  <pic:spPr>
                    <a:xfrm>
                      <a:off x="0" y="0"/>
                      <a:ext cx="5852160" cy="3786692"/>
                    </a:xfrm>
                    <a:prstGeom prst="rect"/>
                  </pic:spPr>
                </pic:pic>
              </a:graphicData>
            </a:graphic>
          </wp:inline>
        </w:drawing>
      </w:r>
    </w:p>
    <w:p>
      <w:pPr>
        <w:spacing w:after="160"/>
        <w:jc w:val="center"/>
      </w:pPr>
      <w:r>
        <w:rPr>
          <w:rFonts w:ascii="Calibri" w:hAnsi="Calibri" w:eastAsia="Microsoft YaHei"/>
          <w:b/>
          <w:color w:val="000000"/>
          <w:sz w:val="21"/>
        </w:rPr>
        <w:t>图2  系统功能模块架构图</w:t>
      </w:r>
    </w:p>
    <w:p>
      <w:pPr>
        <w:jc w:val="center"/>
      </w:pPr>
      <w:r>
        <w:drawing>
          <wp:inline xmlns:a="http://schemas.openxmlformats.org/drawingml/2006/main" xmlns:pic="http://schemas.openxmlformats.org/drawingml/2006/picture">
            <wp:extent cx="5852160" cy="3344091"/>
            <wp:docPr id="3" name="Picture 3"/>
            <wp:cNvGraphicFramePr>
              <a:graphicFrameLocks noChangeAspect="1"/>
            </wp:cNvGraphicFramePr>
            <a:graphic>
              <a:graphicData uri="http://schemas.openxmlformats.org/drawingml/2006/picture">
                <pic:pic>
                  <pic:nvPicPr>
                    <pic:cNvPr id="0" name="图3_工程知识底座结构示意图.png"/>
                    <pic:cNvPicPr/>
                  </pic:nvPicPr>
                  <pic:blipFill>
                    <a:blip r:embed="rId13"/>
                    <a:stretch>
                      <a:fillRect/>
                    </a:stretch>
                  </pic:blipFill>
                  <pic:spPr>
                    <a:xfrm>
                      <a:off x="0" y="0"/>
                      <a:ext cx="5852160" cy="3344091"/>
                    </a:xfrm>
                    <a:prstGeom prst="rect"/>
                  </pic:spPr>
                </pic:pic>
              </a:graphicData>
            </a:graphic>
          </wp:inline>
        </w:drawing>
      </w:r>
    </w:p>
    <w:p>
      <w:pPr>
        <w:spacing w:after="160"/>
        <w:jc w:val="center"/>
      </w:pPr>
      <w:r>
        <w:rPr>
          <w:rFonts w:ascii="Calibri" w:hAnsi="Calibri" w:eastAsia="Microsoft YaHei"/>
          <w:b/>
          <w:color w:val="000000"/>
          <w:sz w:val="21"/>
        </w:rPr>
        <w:t>图3  工程知识底座结构示意图</w:t>
      </w:r>
    </w:p>
    <w:p>
      <w:pPr>
        <w:jc w:val="center"/>
      </w:pPr>
      <w:r>
        <w:drawing>
          <wp:inline xmlns:a="http://schemas.openxmlformats.org/drawingml/2006/main" xmlns:pic="http://schemas.openxmlformats.org/drawingml/2006/picture">
            <wp:extent cx="5852160" cy="3373598"/>
            <wp:docPr id="4" name="Picture 4"/>
            <wp:cNvGraphicFramePr>
              <a:graphicFrameLocks noChangeAspect="1"/>
            </wp:cNvGraphicFramePr>
            <a:graphic>
              <a:graphicData uri="http://schemas.openxmlformats.org/drawingml/2006/picture">
                <pic:pic>
                  <pic:nvPicPr>
                    <pic:cNvPr id="0" name="图4_知识增强候选模型生成流程图.png"/>
                    <pic:cNvPicPr/>
                  </pic:nvPicPr>
                  <pic:blipFill>
                    <a:blip r:embed="rId14"/>
                    <a:stretch>
                      <a:fillRect/>
                    </a:stretch>
                  </pic:blipFill>
                  <pic:spPr>
                    <a:xfrm>
                      <a:off x="0" y="0"/>
                      <a:ext cx="5852160" cy="3373598"/>
                    </a:xfrm>
                    <a:prstGeom prst="rect"/>
                  </pic:spPr>
                </pic:pic>
              </a:graphicData>
            </a:graphic>
          </wp:inline>
        </w:drawing>
      </w:r>
    </w:p>
    <w:p>
      <w:pPr>
        <w:spacing w:after="160"/>
        <w:jc w:val="center"/>
      </w:pPr>
      <w:r>
        <w:rPr>
          <w:rFonts w:ascii="Calibri" w:hAnsi="Calibri" w:eastAsia="Microsoft YaHei"/>
          <w:b/>
          <w:color w:val="000000"/>
          <w:sz w:val="21"/>
        </w:rPr>
        <w:t>图4  知识增强候选模型生成流程图</w:t>
      </w:r>
    </w:p>
    <w:p>
      <w:pPr>
        <w:jc w:val="center"/>
      </w:pPr>
      <w:r>
        <w:drawing>
          <wp:inline xmlns:a="http://schemas.openxmlformats.org/drawingml/2006/main" xmlns:pic="http://schemas.openxmlformats.org/drawingml/2006/picture">
            <wp:extent cx="5852160" cy="3511296"/>
            <wp:docPr id="5" name="Picture 5"/>
            <wp:cNvGraphicFramePr>
              <a:graphicFrameLocks noChangeAspect="1"/>
            </wp:cNvGraphicFramePr>
            <a:graphic>
              <a:graphicData uri="http://schemas.openxmlformats.org/drawingml/2006/picture">
                <pic:pic>
                  <pic:nvPicPr>
                    <pic:cNvPr id="0" name="图5_候选模型校验与人在回路审核流程图.png"/>
                    <pic:cNvPicPr/>
                  </pic:nvPicPr>
                  <pic:blipFill>
                    <a:blip r:embed="rId15"/>
                    <a:stretch>
                      <a:fillRect/>
                    </a:stretch>
                  </pic:blipFill>
                  <pic:spPr>
                    <a:xfrm>
                      <a:off x="0" y="0"/>
                      <a:ext cx="5852160" cy="3511296"/>
                    </a:xfrm>
                    <a:prstGeom prst="rect"/>
                  </pic:spPr>
                </pic:pic>
              </a:graphicData>
            </a:graphic>
          </wp:inline>
        </w:drawing>
      </w:r>
    </w:p>
    <w:p>
      <w:pPr>
        <w:spacing w:after="160"/>
        <w:jc w:val="center"/>
      </w:pPr>
      <w:r>
        <w:rPr>
          <w:rFonts w:ascii="Calibri" w:hAnsi="Calibri" w:eastAsia="Microsoft YaHei"/>
          <w:b/>
          <w:color w:val="000000"/>
          <w:sz w:val="21"/>
        </w:rPr>
        <w:t>图5  候选模型校验与人在回路审核流程图</w:t>
      </w:r>
    </w:p>
    <w:p>
      <w:pPr>
        <w:jc w:val="center"/>
      </w:pPr>
      <w:r>
        <w:drawing>
          <wp:inline xmlns:a="http://schemas.openxmlformats.org/drawingml/2006/main" xmlns:pic="http://schemas.openxmlformats.org/drawingml/2006/picture">
            <wp:extent cx="5852160" cy="3416396"/>
            <wp:docPr id="6" name="Picture 6"/>
            <wp:cNvGraphicFramePr>
              <a:graphicFrameLocks noChangeAspect="1"/>
            </wp:cNvGraphicFramePr>
            <a:graphic>
              <a:graphicData uri="http://schemas.openxmlformats.org/drawingml/2006/picture">
                <pic:pic>
                  <pic:nvPicPr>
                    <pic:cNvPr id="0" name="图6_沙箱变更影响分析与合并入库流程图.png"/>
                    <pic:cNvPicPr/>
                  </pic:nvPicPr>
                  <pic:blipFill>
                    <a:blip r:embed="rId16"/>
                    <a:stretch>
                      <a:fillRect/>
                    </a:stretch>
                  </pic:blipFill>
                  <pic:spPr>
                    <a:xfrm>
                      <a:off x="0" y="0"/>
                      <a:ext cx="5852160" cy="3416396"/>
                    </a:xfrm>
                    <a:prstGeom prst="rect"/>
                  </pic:spPr>
                </pic:pic>
              </a:graphicData>
            </a:graphic>
          </wp:inline>
        </w:drawing>
      </w:r>
    </w:p>
    <w:p>
      <w:pPr>
        <w:spacing w:after="160"/>
        <w:jc w:val="center"/>
      </w:pPr>
      <w:r>
        <w:rPr>
          <w:rFonts w:ascii="Calibri" w:hAnsi="Calibri" w:eastAsia="Microsoft YaHei"/>
          <w:b/>
          <w:color w:val="000000"/>
          <w:sz w:val="21"/>
        </w:rPr>
        <w:t>图6  沙箱变更影响分析与合并入库流程图</w:t>
      </w:r>
    </w:p>
    <w:p>
      <w:pPr>
        <w:jc w:val="center"/>
      </w:pPr>
      <w:r>
        <w:drawing>
          <wp:inline xmlns:a="http://schemas.openxmlformats.org/drawingml/2006/main" xmlns:pic="http://schemas.openxmlformats.org/drawingml/2006/picture">
            <wp:extent cx="5852160" cy="3840480"/>
            <wp:docPr id="7" name="Picture 7"/>
            <wp:cNvGraphicFramePr>
              <a:graphicFrameLocks noChangeAspect="1"/>
            </wp:cNvGraphicFramePr>
            <a:graphic>
              <a:graphicData uri="http://schemas.openxmlformats.org/drawingml/2006/picture">
                <pic:pic>
                  <pic:nvPicPr>
                    <pic:cNvPr id="0" name="图7_追溯关系示意图.png"/>
                    <pic:cNvPicPr/>
                  </pic:nvPicPr>
                  <pic:blipFill>
                    <a:blip r:embed="rId17"/>
                    <a:stretch>
                      <a:fillRect/>
                    </a:stretch>
                  </pic:blipFill>
                  <pic:spPr>
                    <a:xfrm>
                      <a:off x="0" y="0"/>
                      <a:ext cx="5852160" cy="3840480"/>
                    </a:xfrm>
                    <a:prstGeom prst="rect"/>
                  </pic:spPr>
                </pic:pic>
              </a:graphicData>
            </a:graphic>
          </wp:inline>
        </w:drawing>
      </w:r>
    </w:p>
    <w:p>
      <w:pPr>
        <w:spacing w:after="160"/>
        <w:jc w:val="center"/>
      </w:pPr>
      <w:r>
        <w:rPr>
          <w:rFonts w:ascii="Calibri" w:hAnsi="Calibri" w:eastAsia="Microsoft YaHei"/>
          <w:b/>
          <w:color w:val="000000"/>
          <w:sz w:val="21"/>
        </w:rPr>
        <w:t>图7  追溯关系示意图</w:t>
      </w:r>
    </w:p>
    <w:p>
      <w:pPr>
        <w:pStyle w:val="Heading1"/>
        <w:keepNext/>
        <w:spacing w:before="320" w:after="160"/>
      </w:pPr>
      <w:r>
        <w:rPr>
          <w:rFonts w:ascii="Calibri" w:hAnsi="Calibri" w:eastAsia="Microsoft YaHei"/>
          <w:b/>
          <w:color w:val="2E74B5"/>
          <w:sz w:val="32"/>
        </w:rPr>
        <w:t>十二、附图说明</w:t>
      </w:r>
    </w:p>
    <w:p>
      <w:pPr>
        <w:pStyle w:val="ListBullet"/>
        <w:spacing w:after="120"/>
        <w:ind w:left="720" w:hanging="360"/>
      </w:pPr>
      <w:r>
        <w:rPr>
          <w:rFonts w:ascii="Calibri" w:hAnsi="Calibri" w:eastAsia="Microsoft YaHei"/>
          <w:b w:val="0"/>
          <w:sz w:val="22"/>
        </w:rPr>
        <w:t>图1  方法总体流程图。</w:t>
      </w:r>
    </w:p>
    <w:p>
      <w:pPr>
        <w:pStyle w:val="ListBullet"/>
        <w:spacing w:after="120"/>
        <w:ind w:left="720" w:hanging="360"/>
      </w:pPr>
      <w:r>
        <w:rPr>
          <w:rFonts w:ascii="Calibri" w:hAnsi="Calibri" w:eastAsia="Microsoft YaHei"/>
          <w:b w:val="0"/>
          <w:sz w:val="22"/>
        </w:rPr>
        <w:t>图2  系统功能模块架构图。</w:t>
      </w:r>
    </w:p>
    <w:p>
      <w:pPr>
        <w:pStyle w:val="ListBullet"/>
        <w:spacing w:after="120"/>
        <w:ind w:left="720" w:hanging="360"/>
      </w:pPr>
      <w:r>
        <w:rPr>
          <w:rFonts w:ascii="Calibri" w:hAnsi="Calibri" w:eastAsia="Microsoft YaHei"/>
          <w:b w:val="0"/>
          <w:sz w:val="22"/>
        </w:rPr>
        <w:t>图3  工程知识底座结构示意图。</w:t>
      </w:r>
    </w:p>
    <w:p>
      <w:pPr>
        <w:pStyle w:val="ListBullet"/>
        <w:spacing w:after="120"/>
        <w:ind w:left="720" w:hanging="360"/>
      </w:pPr>
      <w:r>
        <w:rPr>
          <w:rFonts w:ascii="Calibri" w:hAnsi="Calibri" w:eastAsia="Microsoft YaHei"/>
          <w:b w:val="0"/>
          <w:sz w:val="22"/>
        </w:rPr>
        <w:t>图4  知识增强候选模型生成流程图。</w:t>
      </w:r>
    </w:p>
    <w:p>
      <w:pPr>
        <w:pStyle w:val="ListBullet"/>
        <w:spacing w:after="120"/>
        <w:ind w:left="720" w:hanging="360"/>
      </w:pPr>
      <w:r>
        <w:rPr>
          <w:rFonts w:ascii="Calibri" w:hAnsi="Calibri" w:eastAsia="Microsoft YaHei"/>
          <w:b w:val="0"/>
          <w:sz w:val="22"/>
        </w:rPr>
        <w:t>图5  候选模型校验与人在回路审核流程图。</w:t>
      </w:r>
    </w:p>
    <w:p>
      <w:pPr>
        <w:pStyle w:val="ListBullet"/>
        <w:spacing w:after="120"/>
        <w:ind w:left="720" w:hanging="360"/>
      </w:pPr>
      <w:r>
        <w:rPr>
          <w:rFonts w:ascii="Calibri" w:hAnsi="Calibri" w:eastAsia="Microsoft YaHei"/>
          <w:b w:val="0"/>
          <w:sz w:val="22"/>
        </w:rPr>
        <w:t>图6  沙箱变更影响分析与合并入库流程图。</w:t>
      </w:r>
    </w:p>
    <w:p>
      <w:pPr>
        <w:pStyle w:val="ListBullet"/>
        <w:spacing w:after="120"/>
        <w:ind w:left="720" w:hanging="360"/>
      </w:pPr>
      <w:r>
        <w:rPr>
          <w:rFonts w:ascii="Calibri" w:hAnsi="Calibri" w:eastAsia="Microsoft YaHei"/>
          <w:b w:val="0"/>
          <w:sz w:val="22"/>
        </w:rPr>
        <w:t>图7  追溯关系示意图。</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Microsoft YaHei"/>
        <w:b w:val="0"/>
        <w:color w:val="505050"/>
        <w:sz w:val="18"/>
      </w:rPr>
      <w:t>一种面向复杂系统工程模型的知识增强式生成、校验与变更治理方法及系统</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Microsoft YaHei"/>
        <w:b w:val="0"/>
        <w:color w:val="505050"/>
        <w:sz w:val="18"/>
      </w:rPr>
      <w:t>专利编辑材料包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