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182033"/>
          <w:sz w:val="46"/>
        </w:rPr>
        <w:t>低轨通信卫星宽带载荷分系统关键需求与接口说明</w:t>
      </w:r>
    </w:p>
    <w:p>
      <w:pPr>
        <w:spacing w:after="280"/>
      </w:pPr>
      <w:r>
        <w:rPr>
          <w:rFonts w:ascii="Calibri" w:hAnsi="Calibri" w:eastAsia="Microsoft YaHei"/>
          <w:color w:val="5A6579"/>
          <w:sz w:val="25"/>
        </w:rPr>
        <w:t>知识库上传演示文档 | 用于 RAG 检索与模型问答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F7FAF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文档用途</w:t>
            </w:r>
          </w:p>
          <w:p>
            <w:pPr>
              <w:spacing w:after="40" w:line="283" w:lineRule="auto"/>
            </w:pPr>
            <w:r>
              <w:rPr>
                <w:rFonts w:ascii="Calibri" w:hAnsi="Calibri" w:eastAsia="Microsoft YaHei"/>
                <w:color w:val="182033"/>
                <w:sz w:val="20"/>
              </w:rPr>
              <w:t>本文档用于 AI-MBSE 系统知识库上传演示。系统上传后可自动切片、向量化并建立需求、接口、模块和约束之间的可追溯关系。</w:t>
            </w:r>
          </w:p>
          <w:p>
            <w:pPr>
              <w:spacing w:after="40" w:line="283" w:lineRule="auto"/>
            </w:pPr>
            <w:r>
              <w:rPr>
                <w:rFonts w:ascii="Calibri" w:hAnsi="Calibri" w:eastAsia="Microsoft YaHei"/>
                <w:color w:val="182033"/>
                <w:sz w:val="20"/>
              </w:rPr>
              <w:t>推荐演示提问：当前低轨通信卫星的宽带载荷分系统有哪些关键需求和接口？</w:t>
            </w:r>
          </w:p>
        </w:tc>
      </w:tr>
    </w:tbl>
    <w:p>
      <w:pPr>
        <w:spacing w:after="40"/>
      </w:pPr>
    </w:p>
    <w:p>
      <w:pPr>
        <w:pStyle w:val="Heading1"/>
      </w:pPr>
      <w:r>
        <w:t>一、系统背景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182033"/>
          <w:sz w:val="22"/>
        </w:rPr>
        <w:t>宽带载荷分系统面向低轨通信卫星互联网任务，承担用户接入、星间转发、馈电链路、星上处理和网络路由等功能。该分系统需要在有限功耗、质量和热控条件下，实现高容量、低时延、可重构和高可靠的星上通信能力。</w:t>
      </w:r>
    </w:p>
    <w:p>
      <w:pPr>
        <w:pStyle w:val="Heading1"/>
      </w:pPr>
      <w:r>
        <w:t>二、关键需求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1900"/>
        <w:gridCol w:w="59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需求编号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需求名称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需求说明</w:t>
            </w:r>
          </w:p>
        </w:tc>
      </w:tr>
      <w:tr>
        <w:tc>
          <w:tcPr>
            <w:tcW w:type="dxa" w:w="15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REQ-BP-001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多波束用户接入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载荷应支持 Ku/Ka 频段多波束用户接入，单星可形成不少于 16 个可重构点波束，支持波束指向、带宽和功率的动态调整。</w:t>
            </w:r>
          </w:p>
        </w:tc>
      </w:tr>
      <w:tr>
        <w:tc>
          <w:tcPr>
            <w:tcW w:type="dxa" w:w="15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REQ-BP-002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宽带吞吐能力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单星用户侧有效转发吞吐量不低于 20Gbps，网关馈电链路峰值吞吐量不低于 40Gbps，支持按业务优先级进行带宽调度。</w:t>
            </w:r>
          </w:p>
        </w:tc>
      </w:tr>
      <w:tr>
        <w:tc>
          <w:tcPr>
            <w:tcW w:type="dxa" w:w="15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REQ-BP-003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星间链路能力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载荷应与星间链路终端协同工作，支持不少于 10Gbps 的星间数据转发能力，具备升级至 50Gbps 的接口余量。</w:t>
            </w:r>
          </w:p>
        </w:tc>
      </w:tr>
      <w:tr>
        <w:tc>
          <w:tcPr>
            <w:tcW w:type="dxa" w:w="15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REQ-BP-004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星上处理与路由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载荷应支持星上数字透明转发、波束间交换、业务分类、路由表更新和网络管理指令下发。</w:t>
            </w:r>
          </w:p>
        </w:tc>
      </w:tr>
      <w:tr>
        <w:tc>
          <w:tcPr>
            <w:tcW w:type="dxa" w:w="15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REQ-BP-005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低时延服务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星上处理引入的单跳处理时延应不超过 20ms，关键控制指令优先级应高于普通用户业务数据。</w:t>
            </w:r>
          </w:p>
        </w:tc>
      </w:tr>
      <w:tr>
        <w:tc>
          <w:tcPr>
            <w:tcW w:type="dxa" w:w="15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REQ-BP-006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可靠性与降级运行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关键载荷单元应支持冗余备份、故障隔离和降级运行，单点故障不得导致整星宽带服务完全中断。</w:t>
            </w:r>
          </w:p>
        </w:tc>
      </w:tr>
      <w:tr>
        <w:tc>
          <w:tcPr>
            <w:tcW w:type="dxa" w:w="15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REQ-BP-007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遥测与健康管理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载荷应输出功放温度、波束状态、链路误码率、吞吐量、队列拥塞和转发状态等遥测参数。</w:t>
            </w:r>
          </w:p>
        </w:tc>
      </w:tr>
      <w:tr>
        <w:tc>
          <w:tcPr>
            <w:tcW w:type="dxa" w:w="15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REQ-BP-008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在轨可重构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载荷应支持在轨更新波束配置、路由策略、转发参数和业务优先级策略，更新过程应具备回滚机制。</w:t>
            </w:r>
          </w:p>
        </w:tc>
      </w:tr>
    </w:tbl>
    <w:p>
      <w:pPr>
        <w:spacing w:after="40"/>
      </w:pPr>
    </w:p>
    <w:p>
      <w:pPr>
        <w:pStyle w:val="Heading1"/>
      </w:pPr>
      <w:r>
        <w:t>三、外部接口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50"/>
        <w:gridCol w:w="1700"/>
        <w:gridCol w:w="1800"/>
        <w:gridCol w:w="4510"/>
      </w:tblGrid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接口编号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连接对象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接口说明</w:t>
            </w:r>
          </w:p>
        </w:tc>
      </w:tr>
      <w:tr>
        <w:tc>
          <w:tcPr>
            <w:tcW w:type="dxa" w:w="135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IF-BP-001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用户链路接口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用户终端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提供 Ku/Ka 频段下行和上行接入，承载用户业务数据、同步信令和接入控制信息。</w:t>
            </w:r>
          </w:p>
        </w:tc>
      </w:tr>
      <w:tr>
        <w:tc>
          <w:tcPr>
            <w:tcW w:type="dxa" w:w="135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IF-BP-002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馈电链路接口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地面网关站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提供网关到卫星的高速馈电链路，用于用户业务回传、网络控制和路由策略更新。</w:t>
            </w:r>
          </w:p>
        </w:tc>
      </w:tr>
      <w:tr>
        <w:tc>
          <w:tcPr>
            <w:tcW w:type="dxa" w:w="135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IF-BP-003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星间链路接口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相邻卫星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承载跨星转发业务，支持链路状态交换、路由转发和拥塞控制信息交互。</w:t>
            </w:r>
          </w:p>
        </w:tc>
      </w:tr>
      <w:tr>
        <w:tc>
          <w:tcPr>
            <w:tcW w:type="dxa" w:w="135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IF-BP-004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平台电源接口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卫星平台电源分系统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为功放、数字处理器、路由交换单元和频率综合器供电，并提供功耗状态反馈。</w:t>
            </w:r>
          </w:p>
        </w:tc>
      </w:tr>
      <w:tr>
        <w:tc>
          <w:tcPr>
            <w:tcW w:type="dxa" w:w="135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IF-BP-005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热控接口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卫星热控分系统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输出功放、处理器和射频前端热耗参数，接收热控模式约束和告警状态。</w:t>
            </w:r>
          </w:p>
        </w:tc>
      </w:tr>
      <w:tr>
        <w:tc>
          <w:tcPr>
            <w:tcW w:type="dxa" w:w="135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IF-BP-006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测控管理接口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星务计算机/运控系统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接收配置、遥控和软件更新指令，输出载荷健康状态、告警和运行日志。</w:t>
            </w:r>
          </w:p>
        </w:tc>
      </w:tr>
    </w:tbl>
    <w:p>
      <w:pPr>
        <w:spacing w:after="40"/>
      </w:pPr>
    </w:p>
    <w:p>
      <w:pPr>
        <w:pStyle w:val="Heading1"/>
      </w:pPr>
      <w:r>
        <w:t>四、核心模块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宽带通信载荷控制器：负责载荷任务调度、模式切换、配置下发和故障处理。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多波束天线与射频前端：负责用户链路波束形成、频率转换、低噪声放大和功率放大。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数字信道化处理单元：负责数字透明转发、信道化、交换、调制解调和带宽分配。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星间链路适配单元：负责跨星业务封装、链路状态交换和转发策略适配。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网络路由与资源管理单元：负责业务优先级、路由表、拥塞控制和服务质量管理。</w:t>
      </w:r>
    </w:p>
    <w:p>
      <w:pPr>
        <w:pStyle w:val="Heading1"/>
      </w:pPr>
      <w:r>
        <w:t>五、约束与校验要点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发射功率、功放效率和热耗应与电源分系统、热控分系统建立参数约束关系。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用户链路接口、馈电链路接口和星间链路接口应在 SysML 模型中建立明确的 InterfaceBlock 或接口元素。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关键需求应追溯到至少一个功能模块、一个外部接口和一个验证项。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星间链路带宽从 10Gbps 提升到 50Gbps 时，应触发对星间链路适配单元、路由交换单元、电源和热控需求的影响分析。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A6579"/>
        <w:sz w:val="18"/>
      </w:rPr>
      <w:t>AI-MBSE 演示材料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Microsoft YaHei"/>
        <w:color w:val="5A6579"/>
        <w:sz w:val="18"/>
      </w:rPr>
      <w:t>低轨通信卫星宽带载荷分系统关键需求与接口说明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8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