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182033"/>
          <w:sz w:val="46"/>
        </w:rPr>
        <w:t>AI-MBSE 系统功能演示讲稿（润色版）</w:t>
      </w:r>
    </w:p>
    <w:p>
      <w:pPr>
        <w:spacing w:after="280"/>
      </w:pPr>
      <w:r>
        <w:rPr>
          <w:rFonts w:ascii="Calibri" w:hAnsi="Calibri" w:eastAsia="Microsoft YaHei"/>
          <w:color w:val="5A6579"/>
          <w:sz w:val="25"/>
        </w:rPr>
        <w:t>面向专家评审与演示视频录制 | 建议时长 10 分钟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F7FAF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开场白</w:t>
            </w:r>
          </w:p>
          <w:p>
            <w:pPr>
              <w:spacing w:after="40" w:line="283" w:lineRule="auto"/>
            </w:pPr>
            <w:r>
              <w:rPr>
                <w:rFonts w:ascii="Calibri" w:hAnsi="Calibri" w:eastAsia="Microsoft YaHei"/>
                <w:color w:val="182033"/>
                <w:sz w:val="20"/>
              </w:rPr>
              <w:t>各位专家好。下面向大家演示我们的 AI 赋能 MBSE 系统。目前系统已覆盖甲方提出的主要功能需求，并将大模型问答、RAG 知识检索、SysML 模型生成、MagicDraw 联动、人工审核、模型校验、变更影响分析以及分支合并入库贯通在同一条工作流中。</w:t>
            </w:r>
          </w:p>
          <w:p>
            <w:pPr>
              <w:spacing w:after="40" w:line="283" w:lineRule="auto"/>
            </w:pPr>
            <w:r>
              <w:rPr>
                <w:rFonts w:ascii="Calibri" w:hAnsi="Calibri" w:eastAsia="Microsoft YaHei"/>
                <w:color w:val="182033"/>
                <w:sz w:val="20"/>
              </w:rPr>
              <w:t>接下来，我将按照“登录系统、提问检索、智能生成模型、人工审核与校验、发起变更与影响分析、解决冲突并合并入库”的主线进行演示。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5260"/>
        <w:gridCol w:w="140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演示段落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核心功能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建议时长</w:t>
            </w:r>
          </w:p>
        </w:tc>
      </w:tr>
      <w:tr>
        <w:tc>
          <w:tcPr>
            <w:tcW w:type="dxa" w:w="27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1. 系统权限管理与交互界面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角色权限、工作空间隔离、统一交互界面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0:00-1:00</w:t>
            </w:r>
          </w:p>
        </w:tc>
      </w:tr>
      <w:tr>
        <w:tc>
          <w:tcPr>
            <w:tcW w:type="dxa" w:w="27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2. 模型问答与 RAG 增强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知识库上传、切片检索、可追溯问答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1:00-2:30</w:t>
            </w:r>
          </w:p>
        </w:tc>
      </w:tr>
      <w:tr>
        <w:tc>
          <w:tcPr>
            <w:tcW w:type="dxa" w:w="27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3. 需求解析、模型生成与人在回路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需求解析、SysML 生成、图形预览、人工采纳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2:30-4:30</w:t>
            </w:r>
          </w:p>
        </w:tc>
      </w:tr>
      <w:tr>
        <w:tc>
          <w:tcPr>
            <w:tcW w:type="dxa" w:w="27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4. 模型预评审与校验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语法校验、规范检查、一键修复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4:30-6:00</w:t>
            </w:r>
          </w:p>
        </w:tc>
      </w:tr>
      <w:tr>
        <w:tc>
          <w:tcPr>
            <w:tcW w:type="dxa" w:w="27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5. 变更影响分析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沙箱预演、影响拓扑、影响矩阵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6:00-8:00</w:t>
            </w:r>
          </w:p>
        </w:tc>
      </w:tr>
      <w:tr>
        <w:tc>
          <w:tcPr>
            <w:tcW w:type="dxa" w:w="27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6. 冲突合并与数据入库管理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分支合并、冲突解决、审计追踪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8:00-10:00</w:t>
            </w:r>
          </w:p>
        </w:tc>
      </w:tr>
    </w:tbl>
    <w:p>
      <w:pPr>
        <w:spacing w:after="40"/>
      </w:pPr>
    </w:p>
    <w:p>
      <w:pPr>
        <w:pStyle w:val="Heading1"/>
      </w:pPr>
      <w:r>
        <w:t>一、系统权限管理与交互界面</w:t>
      </w:r>
    </w:p>
    <w:p>
      <w:pPr>
        <w:pStyle w:val="Heading2"/>
      </w:pPr>
      <w:r>
        <w:t>画面操作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打开系统统一登录界面，展示系统支持按角色分配不同工作空间和功能权限。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以“系统管理员”身份进入系统，展示项目智能体列表、项目隔离关系和系统状态标签。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指出右上角关键组件状态：DeepSeek-V4 Pro 大模型、SysML v2、MagicDraw Bridge、仿真工具以及 SQLite 数据库接口。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退出后切换为“设计师”角色，进入设计师工作空间。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展示左侧项目目录、中间大模型对话区、右侧模型/图谱/代码/验证结果看板。</w:t>
      </w:r>
    </w:p>
    <w:p>
      <w:pPr>
        <w:pStyle w:val="Heading2"/>
      </w:pPr>
      <w:r>
        <w:t>讲解词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首先看到的是系统统一登录界面。系统可以按照不同角色分配工作空间和功能权限，保证项目数据和操作权限相互隔离。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我先用系统管理员身份进入。可以看到，我们为每个项目都搭建了独立的智能体，项目之间工作空间相互隔离；系统管理员可以统一查看和管理全部项目。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同时，右上角展示了系统关键组件的接入状态，包括 DeepSeek-V4 Pro 大模型、SysML v2 服务、MagicDraw Bridge、仿真工具以及数据库接口。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接下来切换到设计师界面。左侧是项目目录，设计师只能在预先分配的项目路径下工作；中间是大模型对话区；右侧是模型、图谱、代码和验证结果看板。对话区支持 Markdown 流式渲染，系统会持续跟踪当前项目、上下文、附件和模型状态。</w:t>
      </w:r>
    </w:p>
    <w:p>
      <w:pPr>
        <w:pStyle w:val="Heading1"/>
      </w:pPr>
      <w:r>
        <w:t>二、模型问答与 RAG 增强</w:t>
      </w:r>
    </w:p>
    <w:p>
      <w:pPr>
        <w:pStyle w:val="Heading2"/>
      </w:pPr>
      <w:r>
        <w:t>画面操作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以设计师身份进入 AI 智能体，先输入“在吗”，展示基础模型问答能力。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向知识库上传《低轨通信卫星宽带载荷分系统关键需求与接口说明.docx》。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提问：当前低轨通信卫星的宽带载荷分系统有哪些关键需求和接口？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展示回答内容中出现了需求编号、接口编号、文档来源和模型元素引用。</w:t>
      </w:r>
    </w:p>
    <w:p>
      <w:pPr>
        <w:pStyle w:val="Heading2"/>
      </w:pPr>
      <w:r>
        <w:t>讲解词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接下来演示模型问答功能。我先向智能体发送“在吗”，可以看到系统能够直接响应设计师的问题。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现在我向知识库上传一份名为《低轨通信卫星宽带载荷分系统关键需求与接口说明》的文档。上传后，系统会自动进行知识切片和索引构建。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然后我提问：当前低轨通信卫星的宽带载荷分系统有哪些关键需求和接口？此时系统不再只依赖大模型的通用知识，而是通过 RAG 检索，把文档片段、图数据库中的模型关系、向量数据库中的语义片段以及 SysML 模型元素综合起来生成答案。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可以看到，回答中不仅列出了关键需求和接口，还能追溯到来源文档或模型元素。这说明系统具备面向工程数据的可解释问答能力。</w:t>
      </w:r>
    </w:p>
    <w:p>
      <w:pPr>
        <w:pStyle w:val="Heading1"/>
      </w:pPr>
      <w:r>
        <w:t>三、需求解析、模型生成与人在回路</w:t>
      </w:r>
    </w:p>
    <w:p>
      <w:pPr>
        <w:pStyle w:val="Heading2"/>
      </w:pPr>
      <w:r>
        <w:t>画面操作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发起需求：请你帮我生成一个由 100 颗卫星组成的低轨卫星互联网总体方案。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根据系统提示上传《100颗低轨卫星互联网总体方案需求说明.docx》。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等待系统解析文档中的需求、接口、模块、约束和行为线索。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展示右侧 SysML 文本、用例图、内部模块图、接口关系与多视图预览。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在预览与确认状态中检查模型，必要时调整连接线或接口关系，然后点击“采纳”。</w:t>
      </w:r>
    </w:p>
    <w:p>
      <w:pPr>
        <w:pStyle w:val="Heading2"/>
      </w:pPr>
      <w:r>
        <w:t>讲解词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现在进入模型生成环节。我先发起需求：请你帮我生成一个由 100 颗卫星组成的低轨卫星互联网总体方案。系统会分步骤引导设计师补充输入，并提示上传需求文档。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上传需求文档后，系统会解析其中的需求、接口、模块、约束和行为线索，再生成 SysML 文本、模型元素和关系。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右侧可以看到图形化预览：用例图展示用户链路和业务场景，内部模块图展示星座、卫星平台、载荷、星间链路、地面网关和运控系统之间的模块关系。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这里是人在回路的第一处关键控制点。AI 生成的模型不会直接入库，而是停留在预览与确认状态。设计师可以检查模块、接口和连接线，必要时进行人工修正，然后点击采纳。系统会记录设计师的赞同或修正反馈，用于后续提示词优化和模型微调。</w:t>
      </w:r>
    </w:p>
    <w:p>
      <w:pPr>
        <w:pStyle w:val="Heading1"/>
      </w:pPr>
      <w:r>
        <w:t>四、模型预评审与校验</w:t>
      </w:r>
    </w:p>
    <w:p>
      <w:pPr>
        <w:pStyle w:val="Heading2"/>
      </w:pPr>
      <w:r>
        <w:t>画面操作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针对刚生成的模型点击“执行模型校验”。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展示预评审报告中的通过项、警告项、错误项和规范化建议。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演示一键修复，例如补齐接口类型、属性类型或规范命名。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再次执行校验，展示问题数量下降或状态转为通过。</w:t>
      </w:r>
    </w:p>
    <w:p>
      <w:pPr>
        <w:pStyle w:val="Heading2"/>
      </w:pPr>
      <w:r>
        <w:t>讲解词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模型生成之后，系统进入预评审和校验。平台可以按照 SysML 语法、项目命名规则、接口完整性、属性类型、连接合法性以及甲方建模规范进行自动检查。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系统不仅指出问题，还会给出一键修复或规范化建议。例如当接口类型、属性类型或约束命名不完整时，系统可以辅助补齐并重新校验。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这样模型在入库前就经过质量门禁，减少后续知识库污染和人工返工。</w:t>
      </w:r>
    </w:p>
    <w:p>
      <w:pPr>
        <w:pStyle w:val="Heading1"/>
      </w:pPr>
      <w:r>
        <w:t>五、变更影响分析</w:t>
      </w:r>
    </w:p>
    <w:p>
      <w:pPr>
        <w:pStyle w:val="Heading2"/>
      </w:pPr>
      <w:r>
        <w:t>画面操作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在模型或图谱看板中选择“星间链路带宽”参数。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发起模拟变更：将星间链路带宽调整到 50Gbps。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点击“运行影响分析”或“变更预演”。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展示影响拓扑图、影响矩阵、直接影响和间接影响。</w:t>
      </w:r>
    </w:p>
    <w:p>
      <w:pPr>
        <w:pStyle w:val="Heading2"/>
      </w:pPr>
      <w:r>
        <w:t>讲解词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接下来演示变更影响分析。假设我们将星间链路带宽调整到 50Gbps，如果直接入库，可能会影响多个分系统。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系统会先在沙箱环境中进行变更预演，不改变发布分支中的权威数据。可以看到，直接影响包括星间通信载荷、路由交换单元、链路预算和星上处理带宽；间接影响包括电源功耗、热控散热、地面网关接入能力以及相关测试验证项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设计师可以在提交前直观看到变更影响的深度和广度，从而决定是否继续提交合并请求。</w:t>
      </w:r>
    </w:p>
    <w:p>
      <w:pPr>
        <w:pStyle w:val="Heading1"/>
      </w:pPr>
      <w:r>
        <w:t>六、冲突合并与数据入库管理</w:t>
      </w:r>
    </w:p>
    <w:p>
      <w:pPr>
        <w:pStyle w:val="Heading2"/>
      </w:pPr>
      <w:r>
        <w:t>画面操作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设计师确认变更无误后，从开发分支提交合并请求。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管理员或审核人进入合并界面，查看本次新增、修改或删除的模型元素和关系。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展示系统自动识别出的冲突点和影响摘要。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在冲突面板中完成冲突解决，点击“合并入库”。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展示审计日志，确认操作人、时间、变更项、冲突处理方式和入库结果。</w:t>
      </w:r>
    </w:p>
    <w:p>
      <w:pPr>
        <w:pStyle w:val="Heading2"/>
      </w:pPr>
      <w:r>
        <w:t>讲解词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最后进入数据入库管理。设计师确认变更无误后，不会直接覆盖发布数据，而是从开发分支提交合并请求。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管理员或审核人进入合并界面，可以看到本次提交新增、修改或删除了哪些模型元素和关系，也可以看到系统自动识别出的冲突点。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审核人基于面板完成冲突解决后点击合并入库。此时，候选模型元素正式转正为发布分支中的权威图谱元素。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182033"/>
          <w:sz w:val="22"/>
        </w:rPr>
        <w:t>系统同时记录审计日志，保留操作者、时间、变更项和处理意见，满足后续追踪和责任闭环。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F7FAF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结束语</w:t>
            </w:r>
          </w:p>
          <w:p>
            <w:pPr>
              <w:spacing w:after="40" w:line="283" w:lineRule="auto"/>
            </w:pPr>
            <w:r>
              <w:rPr>
                <w:rFonts w:ascii="Calibri" w:hAnsi="Calibri" w:eastAsia="Microsoft YaHei"/>
                <w:color w:val="182033"/>
                <w:sz w:val="20"/>
              </w:rPr>
              <w:t>通过这条演示链路可以看到，系统已经覆盖从设计知识检索、需求理解、模型生成、人工确认、预评审校验、变更影响分析到冲突合并入库的完整闭环。</w:t>
            </w:r>
          </w:p>
          <w:p>
            <w:pPr>
              <w:spacing w:after="40" w:line="283" w:lineRule="auto"/>
            </w:pPr>
            <w:r>
              <w:rPr>
                <w:rFonts w:ascii="Calibri" w:hAnsi="Calibri" w:eastAsia="Microsoft YaHei"/>
                <w:color w:val="182033"/>
                <w:sz w:val="20"/>
              </w:rPr>
              <w:t>平台的价值不只是调用大模型，而是把大模型能力嵌入 MBSE 的数据治理流程中：所有 AI 生成内容都可追溯、可校验、可审核、可合并，并最终沉淀为发布分支中的权威设计知识。</w:t>
            </w:r>
          </w:p>
          <w:p>
            <w:pPr>
              <w:spacing w:after="40" w:line="283" w:lineRule="auto"/>
            </w:pPr>
            <w:r>
              <w:rPr>
                <w:rFonts w:ascii="Calibri" w:hAnsi="Calibri" w:eastAsia="Microsoft YaHei"/>
                <w:color w:val="182033"/>
                <w:sz w:val="20"/>
              </w:rPr>
              <w:t>以上就是我们的功能演示，谢谢各位专家。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6579"/>
        <w:sz w:val="18"/>
      </w:rPr>
      <w:t>AI-MBSE 演示材料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Microsoft YaHei"/>
        <w:color w:val="5A6579"/>
        <w:sz w:val="18"/>
      </w:rPr>
      <w:t>AI-MBSE 系统功能演示讲稿（润色版）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8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