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37441D"/>
          <w:sz w:val="52"/>
        </w:rPr>
        <w:t>NIRVANA FARMS</w:t>
      </w:r>
    </w:p>
    <w:p>
      <w:pPr>
        <w:spacing w:after="40"/>
      </w:pPr>
      <w:r>
        <w:rPr>
          <w:b w:val="0"/>
          <w:i w:val="0"/>
          <w:color w:val="717D4A"/>
          <w:sz w:val="32"/>
        </w:rPr>
        <w:t>Information Memorandum – content draft v2</w:t>
      </w:r>
    </w:p>
    <w:p>
      <w:pPr>
        <w:spacing w:after="280"/>
      </w:pPr>
      <w:r>
        <w:rPr>
          <w:b w:val="0"/>
          <w:i/>
          <w:color w:val="334514"/>
          <w:sz w:val="22"/>
        </w:rPr>
        <w:t>Forestry, carbon, farming and mānuka estate – Taranaki / Whanganui hill country · receivership sale by expressions of interest</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835"/>
            <w:shd w:val="clear" w:color="auto" w:fill="F2F0EA"/>
          </w:tcPr>
          <w:p>
            <w:pPr>
              <w:spacing w:after="0" w:line="240" w:lineRule="auto"/>
            </w:pPr>
            <w:r/>
            <w:r>
              <w:rPr>
                <w:b/>
                <w:i w:val="0"/>
                <w:sz w:val="19"/>
              </w:rPr>
              <w:t>Prepared by</w:t>
            </w:r>
          </w:p>
        </w:tc>
        <w:tc>
          <w:tcPr>
            <w:tcW w:type="dxa" w:w="6803"/>
          </w:tcPr>
          <w:p>
            <w:pPr>
              <w:spacing w:after="0" w:line="240" w:lineRule="auto"/>
            </w:pPr>
            <w:r/>
            <w:r>
              <w:rPr>
                <w:b w:val="0"/>
                <w:i w:val="0"/>
                <w:sz w:val="19"/>
              </w:rPr>
              <w:t>Searle Forestry (Forestry Sales Limited, Licensed Agent REA Act 2008)</w:t>
            </w:r>
          </w:p>
        </w:tc>
      </w:tr>
      <w:tr>
        <w:tc>
          <w:tcPr>
            <w:tcW w:type="dxa" w:w="2835"/>
            <w:shd w:val="clear" w:color="auto" w:fill="F2F0EA"/>
          </w:tcPr>
          <w:p>
            <w:pPr>
              <w:spacing w:after="0" w:line="240" w:lineRule="auto"/>
            </w:pPr>
            <w:r/>
            <w:r>
              <w:rPr>
                <w:b/>
                <w:i w:val="0"/>
                <w:sz w:val="19"/>
              </w:rPr>
              <w:t>Draft</w:t>
            </w:r>
          </w:p>
        </w:tc>
        <w:tc>
          <w:tcPr>
            <w:tcW w:type="dxa" w:w="6803"/>
          </w:tcPr>
          <w:p>
            <w:pPr>
              <w:spacing w:after="0" w:line="240" w:lineRule="auto"/>
            </w:pPr>
            <w:r/>
            <w:r>
              <w:rPr>
                <w:b w:val="0"/>
                <w:i w:val="0"/>
                <w:sz w:val="19"/>
              </w:rPr>
              <w:t>v2 – 13 October 2026 – content in the agreed IM order for the designer's layout</w:t>
            </w:r>
          </w:p>
        </w:tc>
      </w:tr>
      <w:tr>
        <w:tc>
          <w:tcPr>
            <w:tcW w:type="dxa" w:w="2835"/>
            <w:shd w:val="clear" w:color="auto" w:fill="F2F0EA"/>
          </w:tcPr>
          <w:p>
            <w:pPr>
              <w:spacing w:after="0" w:line="240" w:lineRule="auto"/>
            </w:pPr>
            <w:r/>
            <w:r>
              <w:rPr>
                <w:b/>
                <w:i w:val="0"/>
                <w:sz w:val="19"/>
              </w:rPr>
              <w:t>Status</w:t>
            </w:r>
          </w:p>
        </w:tc>
        <w:tc>
          <w:tcPr>
            <w:tcW w:type="dxa" w:w="6803"/>
          </w:tcPr>
          <w:p>
            <w:pPr>
              <w:spacing w:after="0" w:line="240" w:lineRule="auto"/>
            </w:pPr>
            <w:r/>
            <w:r>
              <w:rPr>
                <w:b w:val="0"/>
                <w:i w:val="0"/>
                <w:sz w:val="19"/>
              </w:rPr>
              <w:t xml:space="preserve">Working draft for the Receivers' review. Items in red </w:t>
            </w:r>
            <w:r>
              <w:rPr>
                <w:b/>
                <w:i w:val="0"/>
                <w:color w:val="B01E1E"/>
                <w:sz w:val="19"/>
              </w:rPr>
              <w:t>[TBC]</w:t>
            </w:r>
            <w:r>
              <w:rPr>
                <w:b w:val="0"/>
                <w:i w:val="0"/>
                <w:sz w:val="19"/>
              </w:rPr>
              <w:t xml:space="preserve"> are to be confirmed or supplied before release; stand records from the forest manager (Stand) are still awaited and will replace the ETS-derived planting years.</w:t>
            </w:r>
          </w:p>
        </w:tc>
      </w:tr>
      <w:tr>
        <w:tc>
          <w:tcPr>
            <w:tcW w:type="dxa" w:w="2835"/>
            <w:shd w:val="clear" w:color="auto" w:fill="F2F0EA"/>
          </w:tcPr>
          <w:p>
            <w:pPr>
              <w:spacing w:after="0" w:line="240" w:lineRule="auto"/>
            </w:pPr>
            <w:r/>
            <w:r>
              <w:rPr>
                <w:b/>
                <w:i w:val="0"/>
                <w:sz w:val="19"/>
              </w:rPr>
              <w:t>Vendors</w:t>
            </w:r>
          </w:p>
        </w:tc>
        <w:tc>
          <w:tcPr>
            <w:tcW w:type="dxa" w:w="6803"/>
          </w:tcPr>
          <w:p>
            <w:pPr>
              <w:spacing w:after="0" w:line="240" w:lineRule="auto"/>
            </w:pPr>
            <w:r/>
            <w:r>
              <w:rPr>
                <w:b w:val="0"/>
                <w:i w:val="0"/>
                <w:sz w:val="19"/>
              </w:rPr>
              <w:t>Nirvana Farm Limited (In Receivership); and Andrew Grenfell and Kare Johnstone (McGrathNicol) as receivers of the Makowhai Trust titles</w:t>
            </w:r>
          </w:p>
        </w:tc>
      </w:tr>
      <w:tr>
        <w:tc>
          <w:tcPr>
            <w:tcW w:type="dxa" w:w="2835"/>
            <w:shd w:val="clear" w:color="auto" w:fill="F2F0EA"/>
          </w:tcPr>
          <w:p>
            <w:pPr>
              <w:spacing w:after="0" w:line="240" w:lineRule="auto"/>
            </w:pPr>
            <w:r/>
            <w:r>
              <w:rPr>
                <w:b/>
                <w:i w:val="0"/>
                <w:sz w:val="19"/>
              </w:rPr>
              <w:t>Also available</w:t>
            </w:r>
          </w:p>
        </w:tc>
        <w:tc>
          <w:tcPr>
            <w:tcW w:type="dxa" w:w="6803"/>
          </w:tcPr>
          <w:p>
            <w:pPr>
              <w:spacing w:after="0" w:line="240" w:lineRule="auto"/>
            </w:pPr>
            <w:r/>
            <w:r>
              <w:rPr>
                <w:b w:val="0"/>
                <w:i w:val="0"/>
                <w:sz w:val="19"/>
              </w:rPr>
              <w:t>Magons (172 Puniwhakau Road, 777 ha) – owned by a third party and offered separately through Searle Forestry</w:t>
            </w:r>
          </w:p>
        </w:tc>
      </w:tr>
    </w:tbl>
    <w:p>
      <w:pPr>
        <w:spacing w:after="40"/>
      </w:pPr>
    </w:p>
    <w:p>
      <w:pPr>
        <w:pStyle w:val="Heading2"/>
      </w:pPr>
      <w:r>
        <w:t>How to use this draft</w:t>
      </w:r>
    </w:p>
    <w:p>
      <w:r>
        <w:rPr>
          <w:b w:val="0"/>
          <w:i w:val="0"/>
        </w:rPr>
        <w:t>The document follows the agreed IM order: (1) executive summary of all the assets, (2) forestry summary including carbon and NZUs across the estate, (3) farming summary, (4) honey and mānuka summary, then (5) a property-by-property section grouped by location, each property with a key-characteristics table and a full-page map, and (6) appendices.</w:t>
      </w:r>
    </w:p>
    <w:p>
      <w:pPr>
        <w:pStyle w:val="ListBullet"/>
        <w:spacing w:after="40"/>
      </w:pPr>
      <w:r>
        <w:rPr>
          <w:b w:val="0"/>
          <w:i w:val="0"/>
        </w:rPr>
        <w:t xml:space="preserve">Red </w:t>
      </w:r>
      <w:r>
        <w:rPr>
          <w:b/>
          <w:i w:val="0"/>
          <w:color w:val="B01E1E"/>
        </w:rPr>
        <w:t>[TBC]</w:t>
      </w:r>
      <w:r>
        <w:rPr>
          <w:b w:val="0"/>
          <w:i w:val="0"/>
        </w:rPr>
        <w:t xml:space="preserve"> text marks facts not yet on file or not yet confirmed; the consolidated list is in Appendix B.</w:t>
      </w:r>
    </w:p>
    <w:p>
      <w:pPr>
        <w:pStyle w:val="ListBullet"/>
        <w:spacing w:after="40"/>
      </w:pPr>
      <w:r>
        <w:rPr>
          <w:b w:val="0"/>
          <w:i w:val="0"/>
        </w:rPr>
        <w:t>Grey 'internal note' boxes are for the Searle team and the designer and are not IM copy.</w:t>
      </w:r>
    </w:p>
    <w:p>
      <w:pPr>
        <w:pStyle w:val="ListBullet"/>
        <w:spacing w:after="40"/>
      </w:pPr>
      <w:r>
        <w:rPr>
          <w:b w:val="0"/>
          <w:i w:val="0"/>
        </w:rPr>
        <w:t>Charts are PNG files in IM/charts; property maps are PNG renders of the georeferenced sheets in IM/maps (GeoPDFs in Claude/map/geopdf).</w:t>
      </w:r>
    </w:p>
    <w:p>
      <w:pPr>
        <w:pStyle w:val="ListBullet"/>
        <w:spacing w:after="40"/>
      </w:pPr>
      <w:r>
        <w:rPr>
          <w:b w:val="0"/>
          <w:i w:val="0"/>
        </w:rPr>
        <w:t>Areas are LINZ record-of-title areas unless stated. Land-cover areas are GIS-derived from the July 2026 appraisal mapping and are approximate. Altitude is from the LINZ 8 m DEM and land use capability from the LRIS NZLRI (2021) layer, both clipped to the titles.</w:t>
      </w:r>
    </w:p>
    <w:p>
      <w:pPr>
        <w:pStyle w:val="ListBullet"/>
        <w:spacing w:after="40"/>
      </w:pPr>
      <w:r>
        <w:rPr>
          <w:b w:val="0"/>
          <w:i w:val="0"/>
        </w:rPr>
        <w:t>No valuation or appraisal figures are included.</w:t>
      </w:r>
    </w:p>
    <w:p>
      <w:pPr>
        <w:shd w:val="clear" w:color="auto" w:fill="F2F0EA"/>
        <w:spacing w:after="160"/>
        <w:ind w:left="113"/>
      </w:pPr>
      <w:r>
        <w:rPr>
          <w:b/>
          <w:color w:val="6B6B60"/>
          <w:sz w:val="18"/>
        </w:rPr>
        <w:t xml:space="preserve">Internal note – not for the IM: </w:t>
      </w:r>
      <w:r>
        <w:rPr>
          <w:b w:val="0"/>
          <w:i w:val="0"/>
          <w:color w:val="3A3A35"/>
          <w:sz w:val="18"/>
        </w:rPr>
        <w:t>Branding: the designer's draft uses the Searle Agribusiness template; the agency agreements are with Forestry Sales Limited trading as Searle Forestry. This draft uses Searle Forestry details – confirm the brand before layout.</w:t>
      </w:r>
    </w:p>
    <w:p>
      <w:r>
        <w:br w:type="page"/>
      </w:r>
    </w:p>
    <w:p>
      <w:pPr>
        <w:pStyle w:val="Heading1"/>
      </w:pPr>
      <w:r>
        <w:t>1  Executive summary</w:t>
      </w:r>
    </w:p>
    <w:p>
      <w:r>
        <w:rPr>
          <w:b w:val="0"/>
          <w:i w:val="0"/>
        </w:rPr>
        <w:t>Nirvana Farms is a 13,800 hectare forestry, carbon, farming and mānuka estate across the hill country between Waverley, the Waitōtara Valley and Whangamomona in eastern Taranaki, with one outlying mānuka block near Ōpōtiki. It is offered for sale by the receivers of Nirvana Farm Limited and of the Makowhai Trust titles, as a whole or in parts, by expressions of interest.</w:t>
      </w:r>
    </w:p>
    <w:p>
      <w:r>
        <w:rPr>
          <w:b w:val="0"/>
          <w:i w:val="0"/>
        </w:rPr>
        <w:t>The estate comprises 16 properties in 56 freehold and Crown-leasehold titles (13,832 ha), together with Nirvana Farm Limited's registered forestry rights over the planted areas of the Makowhai Trust land and over a further 362 ha at Soldiers Road. Staghaven (296 ha on Mangaehu Road) is included in the sale. About 2,597 ha of Pinus radiata was established across eight blocks between 2022 and 2024 and is registered in the New Zealand Emissions Trading Scheme (ETS), most of it under averaging accounting, with two permanent-forest accounting areas of older radiata. A further 9,190 ha is native bush and regenerating mānuka/kānuka, and roughly 2,141 ha is open hill-country grassland.</w:t>
      </w:r>
    </w:p>
    <w:p>
      <w:r>
        <w:rPr>
          <w:b w:val="0"/>
          <w:i w:val="0"/>
        </w:rPr>
        <w:t>Two further holdings in the same eastern Taranaki country are owned by a third party, FR Waipuna Limited, and are not part of the receivership sale, but are available for purchase through Searle Forestry by separate negotiation: Magons, a 777 ha forestry property at 172 Puniwhakau Road, and the fourth Staghaven title (TNH4/170, 156 ha at 694 Mangaehu Road), which carries the Staghaven homestead. Both are shown separately in the portfolio table below and described in Section 5 for completeness.</w:t>
      </w:r>
    </w:p>
    <w:p>
      <w:r>
        <w:rPr>
          <w:b w:val="0"/>
          <w:i w:val="0"/>
        </w:rPr>
        <w:t xml:space="preserve">An independent ground survey by Stand in April 2026 found 1,673 ha of the young crop adequately stocked (above 850 stems/ha) and programmed 406 ha of replanting and 417 ha of blanking for the 2026 season, restoring about 2,497 ha of adequately stocked crop. The programme has been carried out ahead of schedule and is due to be complete by the end of September 2026 </w:t>
      </w:r>
      <w:r>
        <w:rPr>
          <w:b/>
          <w:i w:val="0"/>
          <w:color w:val="B01E1E"/>
        </w:rPr>
        <w:t>[TBC – confirm completion]</w:t>
      </w:r>
      <w:r>
        <w:rPr>
          <w:b w:val="0"/>
          <w:i w:val="0"/>
        </w:rPr>
        <w:t xml:space="preserve">; completion certification, survival plots and an independent third-party review will be provided in the data room, together with the forest manager's stand records </w:t>
      </w:r>
      <w:r>
        <w:rPr>
          <w:b/>
          <w:i w:val="0"/>
          <w:color w:val="B01E1E"/>
        </w:rPr>
        <w:t>[TBC – awaited from Stand]</w:t>
      </w:r>
      <w:r>
        <w:rPr>
          <w:b w:val="0"/>
          <w:i w:val="0"/>
        </w:rPr>
        <w:t>.</w:t>
      </w:r>
    </w:p>
    <w:p>
      <w:r>
        <w:rPr>
          <w:b w:val="0"/>
          <w:i w:val="0"/>
        </w:rPr>
        <w:t xml:space="preserve">The carbon position is substantial: 2,740 ha of registered carbon accounting areas with a combined unit balance of about 149,552 NZUs per the MPI land status reports, including the permanent-forest areas at Longreach and Back Farm (about 102,000 NZUs between them). The NFL carbon account is controlled by NZGT as trustee, which will control the transfer of units at settlement; NZUs are to be transferred with the property </w:t>
      </w:r>
      <w:r>
        <w:rPr>
          <w:b/>
          <w:i w:val="0"/>
          <w:color w:val="B01E1E"/>
        </w:rPr>
        <w:t>[TBC – holding account balances and the treatment of the forward sale to the financier]</w:t>
      </w:r>
      <w:r>
        <w:rPr>
          <w:b w:val="0"/>
          <w:i w:val="0"/>
        </w:rPr>
        <w:t>.</w:t>
      </w:r>
    </w:p>
    <w:p>
      <w:r>
        <w:rPr>
          <w:b w:val="0"/>
          <w:i w:val="0"/>
        </w:rPr>
        <w:t>About 2,260 ha of Front Farm, the Eastern Block and one Puau Road Crown lease is subject to a grazing lease to Pukekahu Farms Limited expiring 31 December 2029; rent for the full term has been prepaid and the lease may be terminated by the landlord on five months' notice. The estate was assembled by Settlers Honey as a mānuka honey and carbon enterprise; the honey business itself and the former owner's private residence are not included, but the mānuka resource, the beekeeping rights reserved under the lease and the registered indigenous carbon areas pass with the land.</w:t>
      </w:r>
    </w:p>
    <w:p>
      <w:r>
        <w:rPr>
          <w:b w:val="0"/>
          <w:i w:val="0"/>
        </w:rPr>
        <w:t>The estate is offered by expression of interest with international coverage so that the process can be tailored to purchasers' needs – whether for the whole estate, the planted forest blocks, the farming land, or the native and mānuka blocks separately. The sale is a receivership sale on an "as is, where is" basis.</w:t>
      </w:r>
    </w:p>
    <w:p>
      <w:pPr>
        <w:pStyle w:val="Heading2"/>
      </w:pPr>
      <w:r>
        <w:t>Key facts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835"/>
            <w:shd w:val="clear" w:color="auto" w:fill="F2F0EA"/>
          </w:tcPr>
          <w:p>
            <w:pPr>
              <w:spacing w:after="0" w:line="240" w:lineRule="auto"/>
            </w:pPr>
            <w:r/>
            <w:r>
              <w:rPr>
                <w:b/>
                <w:i w:val="0"/>
                <w:sz w:val="19"/>
              </w:rPr>
              <w:t>Vendors</w:t>
            </w:r>
          </w:p>
        </w:tc>
        <w:tc>
          <w:tcPr>
            <w:tcW w:type="dxa" w:w="6803"/>
          </w:tcPr>
          <w:p>
            <w:pPr>
              <w:spacing w:after="0" w:line="240" w:lineRule="auto"/>
            </w:pPr>
            <w:r/>
            <w:r>
              <w:rPr>
                <w:b w:val="0"/>
                <w:i w:val="0"/>
                <w:sz w:val="19"/>
              </w:rPr>
              <w:t>Nirvana Farm Limited (In Receivership); and the receivers of the Makowhai Trust titles – Andrew Grenfell and Kare Johnstone, McGrathNicol</w:t>
            </w:r>
          </w:p>
        </w:tc>
      </w:tr>
      <w:tr>
        <w:tc>
          <w:tcPr>
            <w:tcW w:type="dxa" w:w="2835"/>
            <w:shd w:val="clear" w:color="auto" w:fill="F2F0EA"/>
          </w:tcPr>
          <w:p>
            <w:pPr>
              <w:spacing w:after="0" w:line="240" w:lineRule="auto"/>
            </w:pPr>
            <w:r/>
            <w:r>
              <w:rPr>
                <w:b/>
                <w:i w:val="0"/>
                <w:sz w:val="19"/>
              </w:rPr>
              <w:t>Estate type</w:t>
            </w:r>
          </w:p>
        </w:tc>
        <w:tc>
          <w:tcPr>
            <w:tcW w:type="dxa" w:w="6803"/>
          </w:tcPr>
          <w:p>
            <w:pPr>
              <w:spacing w:after="0" w:line="240" w:lineRule="auto"/>
            </w:pPr>
            <w:r/>
            <w:r>
              <w:rPr>
                <w:b w:val="0"/>
                <w:i w:val="0"/>
                <w:sz w:val="19"/>
              </w:rPr>
              <w:t>Forestry and carbon estate with farming and mānuka honey land – young Pinus radiata, permanent and regenerating forest, native bush, mānuka/kānuka and open hill country</w:t>
            </w:r>
          </w:p>
        </w:tc>
      </w:tr>
      <w:tr>
        <w:tc>
          <w:tcPr>
            <w:tcW w:type="dxa" w:w="2835"/>
            <w:shd w:val="clear" w:color="auto" w:fill="F2F0EA"/>
          </w:tcPr>
          <w:p>
            <w:pPr>
              <w:spacing w:after="0" w:line="240" w:lineRule="auto"/>
            </w:pPr>
            <w:r/>
            <w:r>
              <w:rPr>
                <w:b/>
                <w:i w:val="0"/>
                <w:sz w:val="19"/>
              </w:rPr>
              <w:t>Properties</w:t>
            </w:r>
          </w:p>
        </w:tc>
        <w:tc>
          <w:tcPr>
            <w:tcW w:type="dxa" w:w="6803"/>
          </w:tcPr>
          <w:p>
            <w:pPr>
              <w:spacing w:after="0" w:line="240" w:lineRule="auto"/>
            </w:pPr>
            <w:r/>
            <w:r>
              <w:rPr>
                <w:b w:val="0"/>
                <w:i w:val="0"/>
                <w:sz w:val="19"/>
              </w:rPr>
              <w:t>16 properties in four locations: Waitōtara Valley / Ngamatapouri (9), Nukumaru / Waverley coast (3), eastern Taranaki (3, plus the Soldiers Road forestry right) and Toatoa, Ōpōtiki (1)</w:t>
            </w:r>
          </w:p>
        </w:tc>
      </w:tr>
      <w:tr>
        <w:tc>
          <w:tcPr>
            <w:tcW w:type="dxa" w:w="2835"/>
            <w:shd w:val="clear" w:color="auto" w:fill="F2F0EA"/>
          </w:tcPr>
          <w:p>
            <w:pPr>
              <w:spacing w:after="0" w:line="240" w:lineRule="auto"/>
            </w:pPr>
            <w:r/>
            <w:r>
              <w:rPr>
                <w:b/>
                <w:i w:val="0"/>
                <w:sz w:val="19"/>
              </w:rPr>
              <w:t>Tenure</w:t>
            </w:r>
          </w:p>
        </w:tc>
        <w:tc>
          <w:tcPr>
            <w:tcW w:type="dxa" w:w="6803"/>
          </w:tcPr>
          <w:p>
            <w:pPr>
              <w:spacing w:after="0" w:line="240" w:lineRule="auto"/>
            </w:pPr>
            <w:r/>
            <w:r>
              <w:rPr>
                <w:b w:val="0"/>
                <w:i w:val="0"/>
                <w:sz w:val="19"/>
              </w:rPr>
              <w:t>Freehold (54 titles) and two Crown renewable leases (s82 Land Act 1948, Puau Road); two registered forestry rights held by Nirvana Farm Limited</w:t>
            </w:r>
          </w:p>
        </w:tc>
      </w:tr>
      <w:tr>
        <w:tc>
          <w:tcPr>
            <w:tcW w:type="dxa" w:w="2835"/>
            <w:shd w:val="clear" w:color="auto" w:fill="F2F0EA"/>
          </w:tcPr>
          <w:p>
            <w:pPr>
              <w:spacing w:after="0" w:line="240" w:lineRule="auto"/>
            </w:pPr>
            <w:r/>
            <w:r>
              <w:rPr>
                <w:b/>
                <w:i w:val="0"/>
                <w:sz w:val="19"/>
              </w:rPr>
              <w:t>Total titled area</w:t>
            </w:r>
          </w:p>
        </w:tc>
        <w:tc>
          <w:tcPr>
            <w:tcW w:type="dxa" w:w="6803"/>
          </w:tcPr>
          <w:p>
            <w:pPr>
              <w:spacing w:after="0" w:line="240" w:lineRule="auto"/>
            </w:pPr>
            <w:r/>
            <w:r>
              <w:rPr>
                <w:b w:val="0"/>
                <w:i w:val="0"/>
                <w:sz w:val="19"/>
              </w:rPr>
              <w:t>13,832 ha (6,045 ha Nirvana Farm Limited, 7,787 ha Makowhai Trust) plus a forestry right over 362 ha at Soldiers Road</w:t>
            </w:r>
          </w:p>
        </w:tc>
      </w:tr>
      <w:tr>
        <w:tc>
          <w:tcPr>
            <w:tcW w:type="dxa" w:w="2835"/>
            <w:shd w:val="clear" w:color="auto" w:fill="F2F0EA"/>
          </w:tcPr>
          <w:p>
            <w:pPr>
              <w:spacing w:after="0" w:line="240" w:lineRule="auto"/>
            </w:pPr>
            <w:r/>
            <w:r>
              <w:rPr>
                <w:b/>
                <w:i w:val="0"/>
                <w:sz w:val="19"/>
              </w:rPr>
              <w:t>Planted area</w:t>
            </w:r>
          </w:p>
        </w:tc>
        <w:tc>
          <w:tcPr>
            <w:tcW w:type="dxa" w:w="6803"/>
          </w:tcPr>
          <w:p>
            <w:pPr>
              <w:spacing w:after="0" w:line="240" w:lineRule="auto"/>
            </w:pPr>
            <w:r/>
            <w:r>
              <w:rPr>
                <w:b w:val="0"/>
                <w:i w:val="0"/>
                <w:sz w:val="19"/>
              </w:rPr>
              <w:t xml:space="preserve">2,597 ha Pinus radiata (2022–2024 plantings) including 176 ha under the Soldiers Road forestry right; 2,497 ha adequately stocked after the 2026 programme </w:t>
            </w:r>
            <w:r>
              <w:rPr>
                <w:b/>
                <w:i w:val="0"/>
                <w:color w:val="B01E1E"/>
                <w:sz w:val="19"/>
              </w:rPr>
              <w:t>[TBC – stand records]</w:t>
            </w:r>
          </w:p>
        </w:tc>
      </w:tr>
      <w:tr>
        <w:tc>
          <w:tcPr>
            <w:tcW w:type="dxa" w:w="2835"/>
            <w:shd w:val="clear" w:color="auto" w:fill="F2F0EA"/>
          </w:tcPr>
          <w:p>
            <w:pPr>
              <w:spacing w:after="0" w:line="240" w:lineRule="auto"/>
            </w:pPr>
            <w:r/>
            <w:r>
              <w:rPr>
                <w:b/>
                <w:i w:val="0"/>
                <w:sz w:val="19"/>
              </w:rPr>
              <w:t>Native and mānuka</w:t>
            </w:r>
          </w:p>
        </w:tc>
        <w:tc>
          <w:tcPr>
            <w:tcW w:type="dxa" w:w="6803"/>
          </w:tcPr>
          <w:p>
            <w:pPr>
              <w:spacing w:after="0" w:line="240" w:lineRule="auto"/>
            </w:pPr>
            <w:r/>
            <w:r>
              <w:rPr>
                <w:b w:val="0"/>
                <w:i w:val="0"/>
                <w:sz w:val="19"/>
              </w:rPr>
              <w:t>4,673 ha native bush and 4,518 ha mānuka/kānuka and scrub</w:t>
            </w:r>
          </w:p>
        </w:tc>
      </w:tr>
      <w:tr>
        <w:tc>
          <w:tcPr>
            <w:tcW w:type="dxa" w:w="2835"/>
            <w:shd w:val="clear" w:color="auto" w:fill="F2F0EA"/>
          </w:tcPr>
          <w:p>
            <w:pPr>
              <w:spacing w:after="0" w:line="240" w:lineRule="auto"/>
            </w:pPr>
            <w:r/>
            <w:r>
              <w:rPr>
                <w:b/>
                <w:i w:val="0"/>
                <w:sz w:val="19"/>
              </w:rPr>
              <w:t>Open grassland</w:t>
            </w:r>
          </w:p>
        </w:tc>
        <w:tc>
          <w:tcPr>
            <w:tcW w:type="dxa" w:w="6803"/>
          </w:tcPr>
          <w:p>
            <w:pPr>
              <w:spacing w:after="0" w:line="240" w:lineRule="auto"/>
            </w:pPr>
            <w:r/>
            <w:r>
              <w:rPr>
                <w:b w:val="0"/>
                <w:i w:val="0"/>
                <w:sz w:val="19"/>
              </w:rPr>
              <w:t>about 2,141 ha, of which about 3,190 ha of grassland and scrub is indicatively ETS-eligible (post-1989)</w:t>
            </w:r>
          </w:p>
        </w:tc>
      </w:tr>
      <w:tr>
        <w:tc>
          <w:tcPr>
            <w:tcW w:type="dxa" w:w="2835"/>
            <w:shd w:val="clear" w:color="auto" w:fill="F2F0EA"/>
          </w:tcPr>
          <w:p>
            <w:pPr>
              <w:spacing w:after="0" w:line="240" w:lineRule="auto"/>
            </w:pPr>
            <w:r/>
            <w:r>
              <w:rPr>
                <w:b/>
                <w:i w:val="0"/>
                <w:sz w:val="19"/>
              </w:rPr>
              <w:t>ETS</w:t>
            </w:r>
          </w:p>
        </w:tc>
        <w:tc>
          <w:tcPr>
            <w:tcW w:type="dxa" w:w="6803"/>
          </w:tcPr>
          <w:p>
            <w:pPr>
              <w:spacing w:after="0" w:line="240" w:lineRule="auto"/>
            </w:pPr>
            <w:r/>
            <w:r>
              <w:rPr>
                <w:b w:val="0"/>
                <w:i w:val="0"/>
                <w:sz w:val="19"/>
              </w:rPr>
              <w:t>Registered by Nirvana Farm Limited (NZ-10251) and Makowhai Station (NZ-1181); 2,740 ha of carbon accounting areas, mostly averaging; two permanent-forest CAAs to 2060</w:t>
            </w:r>
          </w:p>
        </w:tc>
      </w:tr>
      <w:tr>
        <w:tc>
          <w:tcPr>
            <w:tcW w:type="dxa" w:w="2835"/>
            <w:shd w:val="clear" w:color="auto" w:fill="F2F0EA"/>
          </w:tcPr>
          <w:p>
            <w:pPr>
              <w:spacing w:after="0" w:line="240" w:lineRule="auto"/>
            </w:pPr>
            <w:r/>
            <w:r>
              <w:rPr>
                <w:b/>
                <w:i w:val="0"/>
                <w:sz w:val="19"/>
              </w:rPr>
              <w:t>NZU balance</w:t>
            </w:r>
          </w:p>
        </w:tc>
        <w:tc>
          <w:tcPr>
            <w:tcW w:type="dxa" w:w="6803"/>
          </w:tcPr>
          <w:p>
            <w:pPr>
              <w:spacing w:after="0" w:line="240" w:lineRule="auto"/>
            </w:pPr>
            <w:r/>
            <w:r>
              <w:rPr>
                <w:b w:val="0"/>
                <w:i w:val="0"/>
                <w:sz w:val="19"/>
              </w:rPr>
              <w:t xml:space="preserve">CAA unit balance about 149,552 NZUs per MPI land status reports (NFL 79,294; Makowhai Station 70,258) </w:t>
            </w:r>
            <w:r>
              <w:rPr>
                <w:b/>
                <w:i w:val="0"/>
                <w:color w:val="B01E1E"/>
                <w:sz w:val="19"/>
              </w:rPr>
              <w:t>[TBC – holding account balances from NZGT / JTL]</w:t>
            </w:r>
          </w:p>
        </w:tc>
      </w:tr>
      <w:tr>
        <w:tc>
          <w:tcPr>
            <w:tcW w:type="dxa" w:w="2835"/>
            <w:shd w:val="clear" w:color="auto" w:fill="F2F0EA"/>
          </w:tcPr>
          <w:p>
            <w:pPr>
              <w:spacing w:after="0" w:line="240" w:lineRule="auto"/>
            </w:pPr>
            <w:r/>
            <w:r>
              <w:rPr>
                <w:b/>
                <w:i w:val="0"/>
                <w:sz w:val="19"/>
              </w:rPr>
              <w:t>Leased area</w:t>
            </w:r>
          </w:p>
        </w:tc>
        <w:tc>
          <w:tcPr>
            <w:tcW w:type="dxa" w:w="6803"/>
          </w:tcPr>
          <w:p>
            <w:pPr>
              <w:spacing w:after="0" w:line="240" w:lineRule="auto"/>
            </w:pPr>
            <w:r/>
            <w:r>
              <w:rPr>
                <w:b w:val="0"/>
                <w:i w:val="0"/>
                <w:sz w:val="19"/>
              </w:rPr>
              <w:t>About 2,260 ha to Pukekahu Farms Limited, five-year term to 31 December 2029, rent prepaid</w:t>
            </w:r>
          </w:p>
        </w:tc>
      </w:tr>
      <w:tr>
        <w:tc>
          <w:tcPr>
            <w:tcW w:type="dxa" w:w="2835"/>
            <w:shd w:val="clear" w:color="auto" w:fill="F2F0EA"/>
          </w:tcPr>
          <w:p>
            <w:pPr>
              <w:spacing w:after="0" w:line="240" w:lineRule="auto"/>
            </w:pPr>
            <w:r/>
            <w:r>
              <w:rPr>
                <w:b/>
                <w:i w:val="0"/>
                <w:sz w:val="19"/>
              </w:rPr>
              <w:t>Territorial authorities</w:t>
            </w:r>
          </w:p>
        </w:tc>
        <w:tc>
          <w:tcPr>
            <w:tcW w:type="dxa" w:w="6803"/>
          </w:tcPr>
          <w:p>
            <w:pPr>
              <w:spacing w:after="0" w:line="240" w:lineRule="auto"/>
            </w:pPr>
            <w:r/>
            <w:r>
              <w:rPr>
                <w:b w:val="0"/>
                <w:i w:val="0"/>
                <w:sz w:val="19"/>
              </w:rPr>
              <w:t>South Taranaki District (12 properties), Stratford District (3 plus Soldiers Road) and Ōpōtiki District (1)</w:t>
            </w:r>
          </w:p>
        </w:tc>
      </w:tr>
      <w:tr>
        <w:tc>
          <w:tcPr>
            <w:tcW w:type="dxa" w:w="2835"/>
            <w:shd w:val="clear" w:color="auto" w:fill="F2F0EA"/>
          </w:tcPr>
          <w:p>
            <w:pPr>
              <w:spacing w:after="0" w:line="240" w:lineRule="auto"/>
            </w:pPr>
            <w:r/>
            <w:r>
              <w:rPr>
                <w:b/>
                <w:i w:val="0"/>
                <w:sz w:val="19"/>
              </w:rPr>
              <w:t>Regional councils</w:t>
            </w:r>
          </w:p>
        </w:tc>
        <w:tc>
          <w:tcPr>
            <w:tcW w:type="dxa" w:w="6803"/>
          </w:tcPr>
          <w:p>
            <w:pPr>
              <w:spacing w:after="0" w:line="240" w:lineRule="auto"/>
            </w:pPr>
            <w:r/>
            <w:r>
              <w:rPr>
                <w:b w:val="0"/>
                <w:i w:val="0"/>
                <w:sz w:val="19"/>
              </w:rPr>
              <w:t>Taranaki Regional Council; Bay of Plenty Regional Council (Pakihi)</w:t>
            </w:r>
          </w:p>
        </w:tc>
      </w:tr>
      <w:tr>
        <w:tc>
          <w:tcPr>
            <w:tcW w:type="dxa" w:w="2835"/>
            <w:shd w:val="clear" w:color="auto" w:fill="F2F0EA"/>
          </w:tcPr>
          <w:p>
            <w:pPr>
              <w:spacing w:after="0" w:line="240" w:lineRule="auto"/>
            </w:pPr>
            <w:r/>
            <w:r>
              <w:rPr>
                <w:b/>
                <w:i w:val="0"/>
                <w:sz w:val="19"/>
              </w:rPr>
              <w:t>Zoning</w:t>
            </w:r>
          </w:p>
        </w:tc>
        <w:tc>
          <w:tcPr>
            <w:tcW w:type="dxa" w:w="6803"/>
          </w:tcPr>
          <w:p>
            <w:pPr>
              <w:spacing w:after="0" w:line="240" w:lineRule="auto"/>
            </w:pPr>
            <w:r/>
            <w:r>
              <w:rPr>
                <w:b w:val="0"/>
                <w:i w:val="0"/>
                <w:sz w:val="19"/>
              </w:rPr>
              <w:t xml:space="preserve">Rural Zone under the Operative South Taranaki District Plan, the Stratford District Plan 2014 and the Operative Ōpōtiki District Plan 2021 </w:t>
            </w:r>
            <w:r>
              <w:rPr>
                <w:b/>
                <w:i w:val="0"/>
                <w:color w:val="B01E1E"/>
                <w:sz w:val="19"/>
              </w:rPr>
              <w:t>[TBC – Whangamomona's Section 31 Block IV Town of Whangamomona may carry township zoning]</w:t>
            </w:r>
          </w:p>
        </w:tc>
      </w:tr>
      <w:tr>
        <w:tc>
          <w:tcPr>
            <w:tcW w:type="dxa" w:w="2835"/>
            <w:shd w:val="clear" w:color="auto" w:fill="F2F0EA"/>
          </w:tcPr>
          <w:p>
            <w:pPr>
              <w:spacing w:after="0" w:line="240" w:lineRule="auto"/>
            </w:pPr>
            <w:r/>
            <w:r>
              <w:rPr>
                <w:b/>
                <w:i w:val="0"/>
                <w:sz w:val="19"/>
              </w:rPr>
              <w:t>Legal access</w:t>
            </w:r>
          </w:p>
        </w:tc>
        <w:tc>
          <w:tcPr>
            <w:tcW w:type="dxa" w:w="6803"/>
          </w:tcPr>
          <w:p>
            <w:pPr>
              <w:spacing w:after="0" w:line="240" w:lineRule="auto"/>
            </w:pPr>
            <w:r/>
            <w:r>
              <w:rPr>
                <w:b w:val="0"/>
                <w:i w:val="0"/>
                <w:sz w:val="19"/>
              </w:rPr>
              <w:t xml:space="preserve">Road frontage to all blocks except as noted; parts of Front Farm, the Eastern Block and Puau Road are worked through neighbouring properties </w:t>
            </w:r>
            <w:r>
              <w:rPr>
                <w:b/>
                <w:i w:val="0"/>
                <w:color w:val="B01E1E"/>
                <w:sz w:val="19"/>
              </w:rPr>
              <w:t>[TBC – access details from Stand]</w:t>
            </w:r>
          </w:p>
        </w:tc>
      </w:tr>
      <w:tr>
        <w:tc>
          <w:tcPr>
            <w:tcW w:type="dxa" w:w="2835"/>
            <w:shd w:val="clear" w:color="auto" w:fill="F2F0EA"/>
          </w:tcPr>
          <w:p>
            <w:pPr>
              <w:spacing w:after="0" w:line="240" w:lineRule="auto"/>
            </w:pPr>
            <w:r/>
            <w:r>
              <w:rPr>
                <w:b/>
                <w:i w:val="0"/>
                <w:sz w:val="19"/>
              </w:rPr>
              <w:t>Rating valuations</w:t>
            </w:r>
          </w:p>
        </w:tc>
        <w:tc>
          <w:tcPr>
            <w:tcW w:type="dxa" w:w="6803"/>
          </w:tcPr>
          <w:p>
            <w:pPr>
              <w:spacing w:after="0" w:line="240" w:lineRule="auto"/>
            </w:pPr>
            <w:r/>
            <w:r>
              <w:rPr>
                <w:b w:val="0"/>
                <w:i w:val="0"/>
                <w:sz w:val="19"/>
              </w:rPr>
              <w:t>Council capital values total $50,688,000 across the sale titles (land value $47,245,000); South Taranaki values as at 1 September 2024, Stratford 1 August 2023, Ōpōtiki 1 June 2025 – see Appendix C</w:t>
            </w:r>
          </w:p>
        </w:tc>
      </w:tr>
      <w:tr>
        <w:tc>
          <w:tcPr>
            <w:tcW w:type="dxa" w:w="2835"/>
            <w:shd w:val="clear" w:color="auto" w:fill="F2F0EA"/>
          </w:tcPr>
          <w:p>
            <w:pPr>
              <w:spacing w:after="0" w:line="240" w:lineRule="auto"/>
            </w:pPr>
            <w:r/>
            <w:r>
              <w:rPr>
                <w:b/>
                <w:i w:val="0"/>
                <w:sz w:val="19"/>
              </w:rPr>
              <w:t>Rates</w:t>
            </w:r>
          </w:p>
        </w:tc>
        <w:tc>
          <w:tcPr>
            <w:tcW w:type="dxa" w:w="6803"/>
          </w:tcPr>
          <w:p>
            <w:pPr>
              <w:spacing w:after="0" w:line="240" w:lineRule="auto"/>
            </w:pPr>
            <w:r/>
            <w:r>
              <w:rPr>
                <w:b w:val="0"/>
                <w:i w:val="0"/>
                <w:sz w:val="19"/>
              </w:rPr>
              <w:t xml:space="preserve">About $151,395 per annum across the sale titles (district and regional, 2026/27 as shown by the councils' rating databases) </w:t>
            </w:r>
            <w:r>
              <w:rPr>
                <w:b/>
                <w:i w:val="0"/>
                <w:color w:val="B01E1E"/>
                <w:sz w:val="19"/>
              </w:rPr>
              <w:t>[TBC – confirm against invoices]</w:t>
            </w:r>
          </w:p>
        </w:tc>
      </w:tr>
      <w:tr>
        <w:tc>
          <w:tcPr>
            <w:tcW w:type="dxa" w:w="2835"/>
            <w:shd w:val="clear" w:color="auto" w:fill="F2F0EA"/>
          </w:tcPr>
          <w:p>
            <w:pPr>
              <w:spacing w:after="0" w:line="240" w:lineRule="auto"/>
            </w:pPr>
            <w:r/>
            <w:r>
              <w:rPr>
                <w:b/>
                <w:i w:val="0"/>
                <w:sz w:val="19"/>
              </w:rPr>
              <w:t>Buildings and dwellings</w:t>
            </w:r>
          </w:p>
        </w:tc>
        <w:tc>
          <w:tcPr>
            <w:tcW w:type="dxa" w:w="6803"/>
          </w:tcPr>
          <w:p>
            <w:pPr>
              <w:spacing w:after="0" w:line="240" w:lineRule="auto"/>
            </w:pPr>
            <w:r/>
            <w:r>
              <w:rPr>
                <w:b w:val="0"/>
                <w:i w:val="0"/>
                <w:sz w:val="19"/>
              </w:rPr>
              <w:t xml:space="preserve">Farm complex with dwelling at Front Farm (leased), a second leased dwelling on the Eastern Block / Front Farm land, the workers' dwelling at 228 Taumatatahi Road, Patricks House at 2606 Waitotara Valley Road, and woolsheds and sheds on Longreach, Back Farm, Whangamomona, Ernies and the Nukumaru blocks </w:t>
            </w:r>
            <w:r>
              <w:rPr>
                <w:b/>
                <w:i w:val="0"/>
                <w:color w:val="B01E1E"/>
                <w:sz w:val="19"/>
              </w:rPr>
              <w:t>[TBC – building schedule from Stand / the receivers]</w:t>
            </w:r>
          </w:p>
        </w:tc>
      </w:tr>
      <w:tr>
        <w:tc>
          <w:tcPr>
            <w:tcW w:type="dxa" w:w="2835"/>
            <w:shd w:val="clear" w:color="auto" w:fill="F2F0EA"/>
          </w:tcPr>
          <w:p>
            <w:pPr>
              <w:spacing w:after="0" w:line="240" w:lineRule="auto"/>
            </w:pPr>
            <w:r/>
            <w:r>
              <w:rPr>
                <w:b/>
                <w:i w:val="0"/>
                <w:sz w:val="19"/>
              </w:rPr>
              <w:t>Also available</w:t>
            </w:r>
          </w:p>
        </w:tc>
        <w:tc>
          <w:tcPr>
            <w:tcW w:type="dxa" w:w="6803"/>
          </w:tcPr>
          <w:p>
            <w:pPr>
              <w:spacing w:after="0" w:line="240" w:lineRule="auto"/>
            </w:pPr>
            <w:r/>
            <w:r>
              <w:rPr>
                <w:b w:val="0"/>
                <w:i w:val="0"/>
                <w:sz w:val="19"/>
              </w:rPr>
              <w:t>Owned by FR Waipuna Limited and offered by separate negotiation through Searle Forestry: Magons (777 ha, 172 Puniwhakau Road) and the Staghaven homestead title TNH4/170 (156 ha, 694 Mangaehu Road)</w:t>
            </w:r>
          </w:p>
        </w:tc>
      </w:tr>
      <w:tr>
        <w:tc>
          <w:tcPr>
            <w:tcW w:type="dxa" w:w="2835"/>
            <w:shd w:val="clear" w:color="auto" w:fill="F2F0EA"/>
          </w:tcPr>
          <w:p>
            <w:pPr>
              <w:spacing w:after="0" w:line="240" w:lineRule="auto"/>
            </w:pPr>
            <w:r/>
            <w:r>
              <w:rPr>
                <w:b/>
                <w:i w:val="0"/>
                <w:sz w:val="19"/>
              </w:rPr>
              <w:t>Sale method</w:t>
            </w:r>
          </w:p>
        </w:tc>
        <w:tc>
          <w:tcPr>
            <w:tcW w:type="dxa" w:w="6803"/>
          </w:tcPr>
          <w:p>
            <w:pPr>
              <w:spacing w:after="0" w:line="240" w:lineRule="auto"/>
            </w:pPr>
            <w:r/>
            <w:r>
              <w:rPr>
                <w:b w:val="0"/>
                <w:i w:val="0"/>
                <w:sz w:val="19"/>
              </w:rPr>
              <w:t xml:space="preserve">Expressions of interest closing </w:t>
            </w:r>
            <w:r>
              <w:rPr>
                <w:b/>
                <w:i w:val="0"/>
                <w:color w:val="B01E1E"/>
                <w:sz w:val="19"/>
              </w:rPr>
              <w:t>[TBC date and time]</w:t>
            </w:r>
            <w:r>
              <w:rPr>
                <w:b w:val="0"/>
                <w:i w:val="0"/>
                <w:sz w:val="19"/>
              </w:rPr>
              <w:t>, plus GST (if any)</w:t>
            </w:r>
          </w:p>
        </w:tc>
      </w:tr>
    </w:tbl>
    <w:p>
      <w:pPr>
        <w:spacing w:after="40"/>
      </w:pPr>
    </w:p>
    <w:p>
      <w:pPr>
        <w:pStyle w:val="Heading2"/>
      </w:pPr>
      <w:r>
        <w:t>Portfolio of assets</w:t>
      </w:r>
    </w:p>
    <w:p>
      <w:r>
        <w:rPr>
          <w:b w:val="0"/>
          <w:i w:val="0"/>
        </w:rPr>
        <w:t>All assets in the offering, grouped by location. Areas are record-of-title hectares; planted and ETS figures are from Stand (April 2026) and the MPI land status reports (September 2026).</w:t>
      </w:r>
    </w:p>
    <w:p>
      <w:pPr>
        <w:spacing w:after="40"/>
      </w:pPr>
      <w:r>
        <w:rPr>
          <w:b/>
          <w:i w:val="0"/>
          <w:color w:val="717D4A"/>
        </w:rPr>
        <w:t>Receivership sale – Nirvana Farm Limited and the Makowhai Trust titles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1205"/>
        <w:gridCol w:w="1205"/>
        <w:gridCol w:w="1205"/>
        <w:gridCol w:w="1205"/>
        <w:gridCol w:w="1205"/>
        <w:gridCol w:w="1205"/>
        <w:gridCol w:w="1205"/>
        <w:gridCol w:w="1205"/>
      </w:tblGrid>
      <w:tr>
        <w:tc>
          <w:tcPr>
            <w:tcW w:type="dxa" w:w="1417"/>
            <w:shd w:val="clear" w:color="auto" w:fill="DBD2C3"/>
          </w:tcPr>
          <w:p>
            <w:pPr>
              <w:spacing w:after="0" w:line="240" w:lineRule="auto"/>
            </w:pPr>
            <w:r/>
            <w:r>
              <w:rPr>
                <w:b/>
                <w:i w:val="0"/>
                <w:sz w:val="15"/>
              </w:rPr>
              <w:t>Property</w:t>
            </w:r>
          </w:p>
        </w:tc>
        <w:tc>
          <w:tcPr>
            <w:tcW w:type="dxa" w:w="1474"/>
            <w:shd w:val="clear" w:color="auto" w:fill="DBD2C3"/>
          </w:tcPr>
          <w:p>
            <w:pPr>
              <w:spacing w:after="0" w:line="240" w:lineRule="auto"/>
            </w:pPr>
            <w:r/>
            <w:r>
              <w:rPr>
                <w:b/>
                <w:i w:val="0"/>
                <w:sz w:val="15"/>
              </w:rPr>
              <w:t>Location</w:t>
            </w:r>
          </w:p>
        </w:tc>
        <w:tc>
          <w:tcPr>
            <w:tcW w:type="dxa" w:w="1474"/>
            <w:shd w:val="clear" w:color="auto" w:fill="DBD2C3"/>
          </w:tcPr>
          <w:p>
            <w:pPr>
              <w:spacing w:after="0" w:line="240" w:lineRule="auto"/>
            </w:pPr>
            <w:r/>
            <w:r>
              <w:rPr>
                <w:b/>
                <w:i w:val="0"/>
                <w:sz w:val="15"/>
              </w:rPr>
              <w:t>Vendor / interest</w:t>
            </w:r>
          </w:p>
        </w:tc>
        <w:tc>
          <w:tcPr>
            <w:tcW w:type="dxa" w:w="510"/>
            <w:shd w:val="clear" w:color="auto" w:fill="DBD2C3"/>
          </w:tcPr>
          <w:p>
            <w:pPr>
              <w:spacing w:after="0" w:line="240" w:lineRule="auto"/>
            </w:pPr>
            <w:r/>
            <w:r>
              <w:rPr>
                <w:b/>
                <w:i w:val="0"/>
                <w:sz w:val="15"/>
              </w:rPr>
              <w:t>Titles</w:t>
            </w:r>
          </w:p>
        </w:tc>
        <w:tc>
          <w:tcPr>
            <w:tcW w:type="dxa" w:w="850"/>
            <w:shd w:val="clear" w:color="auto" w:fill="DBD2C3"/>
          </w:tcPr>
          <w:p>
            <w:pPr>
              <w:spacing w:after="0" w:line="240" w:lineRule="auto"/>
            </w:pPr>
            <w:r/>
            <w:r>
              <w:rPr>
                <w:b/>
                <w:i w:val="0"/>
                <w:sz w:val="15"/>
              </w:rPr>
              <w:t>Area (ha)</w:t>
            </w:r>
          </w:p>
        </w:tc>
        <w:tc>
          <w:tcPr>
            <w:tcW w:type="dxa" w:w="794"/>
            <w:shd w:val="clear" w:color="auto" w:fill="DBD2C3"/>
          </w:tcPr>
          <w:p>
            <w:pPr>
              <w:spacing w:after="0" w:line="240" w:lineRule="auto"/>
            </w:pPr>
            <w:r/>
            <w:r>
              <w:rPr>
                <w:b/>
                <w:i w:val="0"/>
                <w:sz w:val="15"/>
              </w:rPr>
              <w:t>Radiata (ha)</w:t>
            </w:r>
          </w:p>
        </w:tc>
        <w:tc>
          <w:tcPr>
            <w:tcW w:type="dxa" w:w="1134"/>
            <w:shd w:val="clear" w:color="auto" w:fill="DBD2C3"/>
          </w:tcPr>
          <w:p>
            <w:pPr>
              <w:spacing w:after="0" w:line="240" w:lineRule="auto"/>
            </w:pPr>
            <w:r/>
            <w:r>
              <w:rPr>
                <w:b/>
                <w:i w:val="0"/>
                <w:sz w:val="15"/>
              </w:rPr>
              <w:t>ETS CAA ha / NZUs</w:t>
            </w:r>
          </w:p>
        </w:tc>
        <w:tc>
          <w:tcPr>
            <w:tcW w:type="dxa" w:w="1984"/>
            <w:shd w:val="clear" w:color="auto" w:fill="DBD2C3"/>
          </w:tcPr>
          <w:p>
            <w:pPr>
              <w:spacing w:after="0" w:line="240" w:lineRule="auto"/>
            </w:pPr>
            <w:r/>
            <w:r>
              <w:rPr>
                <w:b/>
                <w:i w:val="0"/>
                <w:sz w:val="15"/>
              </w:rPr>
              <w:t>Principal land use</w:t>
            </w:r>
          </w:p>
        </w:tc>
      </w:tr>
      <w:tr>
        <w:tc>
          <w:tcPr>
            <w:tcW w:type="dxa" w:w="1417"/>
          </w:tcPr>
          <w:p>
            <w:pPr>
              <w:spacing w:after="0" w:line="240" w:lineRule="auto"/>
            </w:pPr>
            <w:r/>
            <w:r>
              <w:rPr>
                <w:b w:val="0"/>
                <w:i w:val="0"/>
                <w:sz w:val="15"/>
              </w:rPr>
              <w:t>Longreach</w:t>
            </w:r>
          </w:p>
        </w:tc>
        <w:tc>
          <w:tcPr>
            <w:tcW w:type="dxa" w:w="1474"/>
          </w:tcPr>
          <w:p>
            <w:pPr>
              <w:spacing w:after="0" w:line="240" w:lineRule="auto"/>
            </w:pPr>
            <w:r/>
            <w:r>
              <w:rPr>
                <w:b w:val="0"/>
                <w:i w:val="0"/>
                <w:sz w:val="15"/>
              </w:rPr>
              <w:t>Waitōtara Valley and Ngamatapouri</w:t>
            </w:r>
          </w:p>
        </w:tc>
        <w:tc>
          <w:tcPr>
            <w:tcW w:type="dxa" w:w="1474"/>
          </w:tcPr>
          <w:p>
            <w:pPr>
              <w:spacing w:after="0" w:line="240" w:lineRule="auto"/>
            </w:pPr>
            <w:r/>
            <w:r>
              <w:rPr>
                <w:b w:val="0"/>
                <w:i w:val="0"/>
                <w:sz w:val="15"/>
              </w:rPr>
              <w:t>Nirvana Farm Ltd (In Rec.)</w:t>
            </w:r>
          </w:p>
        </w:tc>
        <w:tc>
          <w:tcPr>
            <w:tcW w:type="dxa" w:w="510"/>
          </w:tcPr>
          <w:p>
            <w:pPr>
              <w:spacing w:after="0" w:line="240" w:lineRule="auto"/>
              <w:jc w:val="right"/>
            </w:pPr>
            <w:r/>
            <w:r>
              <w:rPr>
                <w:b w:val="0"/>
                <w:i w:val="0"/>
                <w:sz w:val="15"/>
              </w:rPr>
              <w:t>4</w:t>
            </w:r>
          </w:p>
        </w:tc>
        <w:tc>
          <w:tcPr>
            <w:tcW w:type="dxa" w:w="850"/>
          </w:tcPr>
          <w:p>
            <w:pPr>
              <w:spacing w:after="0" w:line="240" w:lineRule="auto"/>
              <w:jc w:val="right"/>
            </w:pPr>
            <w:r/>
            <w:r>
              <w:rPr>
                <w:b w:val="0"/>
                <w:i w:val="0"/>
                <w:sz w:val="15"/>
              </w:rPr>
              <w:t>1,723</w:t>
            </w:r>
          </w:p>
        </w:tc>
        <w:tc>
          <w:tcPr>
            <w:tcW w:type="dxa" w:w="794"/>
          </w:tcPr>
          <w:p>
            <w:pPr>
              <w:spacing w:after="0" w:line="240" w:lineRule="auto"/>
              <w:jc w:val="right"/>
            </w:pPr>
            <w:r/>
            <w:r>
              <w:rPr>
                <w:b w:val="0"/>
                <w:i w:val="0"/>
                <w:sz w:val="15"/>
              </w:rPr>
              <w:t>777</w:t>
            </w:r>
          </w:p>
        </w:tc>
        <w:tc>
          <w:tcPr>
            <w:tcW w:type="dxa" w:w="1134"/>
          </w:tcPr>
          <w:p>
            <w:pPr>
              <w:spacing w:after="0" w:line="240" w:lineRule="auto"/>
              <w:jc w:val="right"/>
            </w:pPr>
            <w:r/>
            <w:r>
              <w:rPr>
                <w:b w:val="0"/>
                <w:i w:val="0"/>
                <w:sz w:val="15"/>
              </w:rPr>
              <w:t>873 / 63,819</w:t>
            </w:r>
          </w:p>
        </w:tc>
        <w:tc>
          <w:tcPr>
            <w:tcW w:type="dxa" w:w="1984"/>
          </w:tcPr>
          <w:p>
            <w:pPr>
              <w:spacing w:after="0" w:line="240" w:lineRule="auto"/>
            </w:pPr>
            <w:r/>
            <w:r>
              <w:rPr>
                <w:b w:val="0"/>
                <w:i w:val="0"/>
                <w:sz w:val="15"/>
              </w:rPr>
              <w:t>Forestry (Pinus radiata) and carbon · permanent forest · native bush and mānuka · open hill grazing</w:t>
            </w:r>
          </w:p>
        </w:tc>
      </w:tr>
      <w:tr>
        <w:tc>
          <w:tcPr>
            <w:tcW w:type="dxa" w:w="1417"/>
            <w:shd w:val="clear" w:color="auto" w:fill="FAF9F6"/>
          </w:tcPr>
          <w:p>
            <w:pPr>
              <w:spacing w:after="0" w:line="240" w:lineRule="auto"/>
            </w:pPr>
            <w:r/>
            <w:r>
              <w:rPr>
                <w:b w:val="0"/>
                <w:i w:val="0"/>
                <w:sz w:val="15"/>
              </w:rPr>
              <w:t>Back Farm</w:t>
            </w:r>
          </w:p>
        </w:tc>
        <w:tc>
          <w:tcPr>
            <w:tcW w:type="dxa" w:w="1474"/>
            <w:shd w:val="clear" w:color="auto" w:fill="FAF9F6"/>
          </w:tcPr>
          <w:p>
            <w:pPr>
              <w:spacing w:after="0" w:line="240" w:lineRule="auto"/>
            </w:pPr>
            <w:r/>
            <w:r>
              <w:rPr>
                <w:b w:val="0"/>
                <w:i w:val="0"/>
                <w:sz w:val="15"/>
              </w:rPr>
              <w:t>Waitōtara Valley and Ngamatapouri</w:t>
            </w:r>
          </w:p>
        </w:tc>
        <w:tc>
          <w:tcPr>
            <w:tcW w:type="dxa" w:w="1474"/>
            <w:shd w:val="clear" w:color="auto" w:fill="FAF9F6"/>
          </w:tcPr>
          <w:p>
            <w:pPr>
              <w:spacing w:after="0" w:line="240" w:lineRule="auto"/>
            </w:pPr>
            <w:r/>
            <w:r>
              <w:rPr>
                <w:b w:val="0"/>
                <w:i w:val="0"/>
                <w:sz w:val="15"/>
              </w:rPr>
              <w:t>Makowhai Trust (receivers)</w:t>
            </w:r>
          </w:p>
        </w:tc>
        <w:tc>
          <w:tcPr>
            <w:tcW w:type="dxa" w:w="510"/>
            <w:shd w:val="clear" w:color="auto" w:fill="FAF9F6"/>
          </w:tcPr>
          <w:p>
            <w:pPr>
              <w:spacing w:after="0" w:line="240" w:lineRule="auto"/>
              <w:jc w:val="right"/>
            </w:pPr>
            <w:r/>
            <w:r>
              <w:rPr>
                <w:b w:val="0"/>
                <w:i w:val="0"/>
                <w:sz w:val="15"/>
              </w:rPr>
              <w:t>8</w:t>
            </w:r>
          </w:p>
        </w:tc>
        <w:tc>
          <w:tcPr>
            <w:tcW w:type="dxa" w:w="850"/>
            <w:shd w:val="clear" w:color="auto" w:fill="FAF9F6"/>
          </w:tcPr>
          <w:p>
            <w:pPr>
              <w:spacing w:after="0" w:line="240" w:lineRule="auto"/>
              <w:jc w:val="right"/>
            </w:pPr>
            <w:r/>
            <w:r>
              <w:rPr>
                <w:b w:val="0"/>
                <w:i w:val="0"/>
                <w:sz w:val="15"/>
              </w:rPr>
              <w:t>2,104</w:t>
            </w:r>
          </w:p>
        </w:tc>
        <w:tc>
          <w:tcPr>
            <w:tcW w:type="dxa" w:w="794"/>
            <w:shd w:val="clear" w:color="auto" w:fill="FAF9F6"/>
          </w:tcPr>
          <w:p>
            <w:pPr>
              <w:spacing w:after="0" w:line="240" w:lineRule="auto"/>
              <w:jc w:val="right"/>
            </w:pPr>
            <w:r/>
            <w:r>
              <w:rPr>
                <w:b w:val="0"/>
                <w:i w:val="0"/>
                <w:sz w:val="15"/>
              </w:rPr>
              <w:t>785</w:t>
            </w:r>
          </w:p>
        </w:tc>
        <w:tc>
          <w:tcPr>
            <w:tcW w:type="dxa" w:w="1134"/>
            <w:shd w:val="clear" w:color="auto" w:fill="FAF9F6"/>
          </w:tcPr>
          <w:p>
            <w:pPr>
              <w:spacing w:after="0" w:line="240" w:lineRule="auto"/>
              <w:jc w:val="right"/>
            </w:pPr>
            <w:r/>
            <w:r>
              <w:rPr>
                <w:b w:val="0"/>
                <w:i w:val="0"/>
                <w:sz w:val="15"/>
              </w:rPr>
              <w:t>952 / 64,769</w:t>
            </w:r>
          </w:p>
        </w:tc>
        <w:tc>
          <w:tcPr>
            <w:tcW w:type="dxa" w:w="1984"/>
            <w:shd w:val="clear" w:color="auto" w:fill="FAF9F6"/>
          </w:tcPr>
          <w:p>
            <w:pPr>
              <w:spacing w:after="0" w:line="240" w:lineRule="auto"/>
            </w:pPr>
            <w:r/>
            <w:r>
              <w:rPr>
                <w:b w:val="0"/>
                <w:i w:val="0"/>
                <w:sz w:val="15"/>
              </w:rPr>
              <w:t>Forestry (Pinus radiata) and carbon · permanent forest · native bush and mānuka · open hill grazing</w:t>
            </w:r>
          </w:p>
        </w:tc>
      </w:tr>
      <w:tr>
        <w:tc>
          <w:tcPr>
            <w:tcW w:type="dxa" w:w="1417"/>
          </w:tcPr>
          <w:p>
            <w:pPr>
              <w:spacing w:after="0" w:line="240" w:lineRule="auto"/>
            </w:pPr>
            <w:r/>
            <w:r>
              <w:rPr>
                <w:b w:val="0"/>
                <w:i w:val="0"/>
                <w:sz w:val="15"/>
              </w:rPr>
              <w:t>Front Farm</w:t>
            </w:r>
          </w:p>
        </w:tc>
        <w:tc>
          <w:tcPr>
            <w:tcW w:type="dxa" w:w="1474"/>
          </w:tcPr>
          <w:p>
            <w:pPr>
              <w:spacing w:after="0" w:line="240" w:lineRule="auto"/>
            </w:pPr>
            <w:r/>
            <w:r>
              <w:rPr>
                <w:b w:val="0"/>
                <w:i w:val="0"/>
                <w:sz w:val="15"/>
              </w:rPr>
              <w:t>Waitōtara Valley and Ngamatapouri</w:t>
            </w:r>
          </w:p>
        </w:tc>
        <w:tc>
          <w:tcPr>
            <w:tcW w:type="dxa" w:w="1474"/>
          </w:tcPr>
          <w:p>
            <w:pPr>
              <w:spacing w:after="0" w:line="240" w:lineRule="auto"/>
            </w:pPr>
            <w:r/>
            <w:r>
              <w:rPr>
                <w:b w:val="0"/>
                <w:i w:val="0"/>
                <w:sz w:val="15"/>
              </w:rPr>
              <w:t>Makowhai Trust (receivers)</w:t>
            </w:r>
          </w:p>
        </w:tc>
        <w:tc>
          <w:tcPr>
            <w:tcW w:type="dxa" w:w="510"/>
          </w:tcPr>
          <w:p>
            <w:pPr>
              <w:spacing w:after="0" w:line="240" w:lineRule="auto"/>
              <w:jc w:val="right"/>
            </w:pPr>
            <w:r/>
            <w:r>
              <w:rPr>
                <w:b w:val="0"/>
                <w:i w:val="0"/>
                <w:sz w:val="15"/>
              </w:rPr>
              <w:t>5</w:t>
            </w:r>
          </w:p>
        </w:tc>
        <w:tc>
          <w:tcPr>
            <w:tcW w:type="dxa" w:w="850"/>
          </w:tcPr>
          <w:p>
            <w:pPr>
              <w:spacing w:after="0" w:line="240" w:lineRule="auto"/>
              <w:jc w:val="right"/>
            </w:pPr>
            <w:r/>
            <w:r>
              <w:rPr>
                <w:b w:val="0"/>
                <w:i w:val="0"/>
                <w:sz w:val="15"/>
              </w:rPr>
              <w:t>502</w:t>
            </w:r>
          </w:p>
        </w:tc>
        <w:tc>
          <w:tcPr>
            <w:tcW w:type="dxa" w:w="794"/>
          </w:tcPr>
          <w:p>
            <w:pPr>
              <w:spacing w:after="0" w:line="240" w:lineRule="auto"/>
              <w:jc w:val="right"/>
            </w:pPr>
            <w:r/>
            <w:r>
              <w:rPr>
                <w:b w:val="0"/>
                <w:i w:val="0"/>
                <w:sz w:val="15"/>
              </w:rPr>
              <w:t>231</w:t>
            </w:r>
          </w:p>
        </w:tc>
        <w:tc>
          <w:tcPr>
            <w:tcW w:type="dxa" w:w="1134"/>
          </w:tcPr>
          <w:p>
            <w:pPr>
              <w:spacing w:after="0" w:line="240" w:lineRule="auto"/>
              <w:jc w:val="right"/>
            </w:pPr>
            <w:r/>
            <w:r>
              <w:rPr>
                <w:b w:val="0"/>
                <w:i w:val="0"/>
                <w:sz w:val="15"/>
              </w:rPr>
              <w:t>236 / 1,766</w:t>
            </w:r>
          </w:p>
        </w:tc>
        <w:tc>
          <w:tcPr>
            <w:tcW w:type="dxa" w:w="1984"/>
          </w:tcPr>
          <w:p>
            <w:pPr>
              <w:spacing w:after="0" w:line="240" w:lineRule="auto"/>
            </w:pPr>
            <w:r/>
            <w:r>
              <w:rPr>
                <w:b w:val="0"/>
                <w:i w:val="0"/>
                <w:sz w:val="15"/>
              </w:rPr>
              <w:t>Forestry (Pinus radiata) and carbon · grazing (leased to Pukekahu Farms) · farm buildings</w:t>
            </w:r>
          </w:p>
        </w:tc>
      </w:tr>
      <w:tr>
        <w:tc>
          <w:tcPr>
            <w:tcW w:type="dxa" w:w="1417"/>
            <w:shd w:val="clear" w:color="auto" w:fill="FAF9F6"/>
          </w:tcPr>
          <w:p>
            <w:pPr>
              <w:spacing w:after="0" w:line="240" w:lineRule="auto"/>
            </w:pPr>
            <w:r/>
            <w:r>
              <w:rPr>
                <w:b w:val="0"/>
                <w:i w:val="0"/>
                <w:sz w:val="15"/>
              </w:rPr>
              <w:t>Eastern Block</w:t>
            </w:r>
          </w:p>
        </w:tc>
        <w:tc>
          <w:tcPr>
            <w:tcW w:type="dxa" w:w="1474"/>
            <w:shd w:val="clear" w:color="auto" w:fill="FAF9F6"/>
          </w:tcPr>
          <w:p>
            <w:pPr>
              <w:spacing w:after="0" w:line="240" w:lineRule="auto"/>
            </w:pPr>
            <w:r/>
            <w:r>
              <w:rPr>
                <w:b w:val="0"/>
                <w:i w:val="0"/>
                <w:sz w:val="15"/>
              </w:rPr>
              <w:t>Waitōtara Valley and Ngamatapouri</w:t>
            </w:r>
          </w:p>
        </w:tc>
        <w:tc>
          <w:tcPr>
            <w:tcW w:type="dxa" w:w="1474"/>
            <w:shd w:val="clear" w:color="auto" w:fill="FAF9F6"/>
          </w:tcPr>
          <w:p>
            <w:pPr>
              <w:spacing w:after="0" w:line="240" w:lineRule="auto"/>
            </w:pPr>
            <w:r/>
            <w:r>
              <w:rPr>
                <w:b w:val="0"/>
                <w:i w:val="0"/>
                <w:sz w:val="15"/>
              </w:rPr>
              <w:t>Makowhai Trust (receivers)</w:t>
            </w:r>
          </w:p>
        </w:tc>
        <w:tc>
          <w:tcPr>
            <w:tcW w:type="dxa" w:w="510"/>
            <w:shd w:val="clear" w:color="auto" w:fill="FAF9F6"/>
          </w:tcPr>
          <w:p>
            <w:pPr>
              <w:spacing w:after="0" w:line="240" w:lineRule="auto"/>
              <w:jc w:val="right"/>
            </w:pPr>
            <w:r/>
            <w:r>
              <w:rPr>
                <w:b w:val="0"/>
                <w:i w:val="0"/>
                <w:sz w:val="15"/>
              </w:rPr>
              <w:t>3</w:t>
            </w:r>
          </w:p>
        </w:tc>
        <w:tc>
          <w:tcPr>
            <w:tcW w:type="dxa" w:w="850"/>
            <w:shd w:val="clear" w:color="auto" w:fill="FAF9F6"/>
          </w:tcPr>
          <w:p>
            <w:pPr>
              <w:spacing w:after="0" w:line="240" w:lineRule="auto"/>
              <w:jc w:val="right"/>
            </w:pPr>
            <w:r/>
            <w:r>
              <w:rPr>
                <w:b w:val="0"/>
                <w:i w:val="0"/>
                <w:sz w:val="15"/>
              </w:rPr>
              <w:t>1,071</w:t>
            </w:r>
          </w:p>
        </w:tc>
        <w:tc>
          <w:tcPr>
            <w:tcW w:type="dxa" w:w="794"/>
            <w:shd w:val="clear" w:color="auto" w:fill="FAF9F6"/>
          </w:tcPr>
          <w:p>
            <w:pPr>
              <w:spacing w:after="0" w:line="240" w:lineRule="auto"/>
              <w:jc w:val="right"/>
            </w:pPr>
            <w:r/>
            <w:r>
              <w:rPr>
                <w:b w:val="0"/>
                <w:i w:val="0"/>
                <w:sz w:val="15"/>
              </w:rPr>
              <w:t>138</w:t>
            </w:r>
          </w:p>
        </w:tc>
        <w:tc>
          <w:tcPr>
            <w:tcW w:type="dxa" w:w="1134"/>
            <w:shd w:val="clear" w:color="auto" w:fill="FAF9F6"/>
          </w:tcPr>
          <w:p>
            <w:pPr>
              <w:spacing w:after="0" w:line="240" w:lineRule="auto"/>
              <w:jc w:val="right"/>
            </w:pPr>
            <w:r/>
            <w:r>
              <w:rPr>
                <w:b w:val="0"/>
                <w:i w:val="0"/>
                <w:sz w:val="15"/>
              </w:rPr>
              <w:t>111 / 259</w:t>
            </w:r>
          </w:p>
        </w:tc>
        <w:tc>
          <w:tcPr>
            <w:tcW w:type="dxa" w:w="1984"/>
            <w:shd w:val="clear" w:color="auto" w:fill="FAF9F6"/>
          </w:tcPr>
          <w:p>
            <w:pPr>
              <w:spacing w:after="0" w:line="240" w:lineRule="auto"/>
            </w:pPr>
            <w:r/>
            <w:r>
              <w:rPr>
                <w:b w:val="0"/>
                <w:i w:val="0"/>
                <w:sz w:val="15"/>
              </w:rPr>
              <w:t>Forestry (Pinus radiata) and carbon · native bush and mānuka · grazing (leased to Pukekahu Farms)</w:t>
            </w:r>
          </w:p>
        </w:tc>
      </w:tr>
      <w:tr>
        <w:tc>
          <w:tcPr>
            <w:tcW w:type="dxa" w:w="1417"/>
          </w:tcPr>
          <w:p>
            <w:pPr>
              <w:spacing w:after="0" w:line="240" w:lineRule="auto"/>
            </w:pPr>
            <w:r/>
            <w:r>
              <w:rPr>
                <w:b w:val="0"/>
                <w:i w:val="0"/>
                <w:sz w:val="15"/>
              </w:rPr>
              <w:t>Home Block</w:t>
            </w:r>
          </w:p>
        </w:tc>
        <w:tc>
          <w:tcPr>
            <w:tcW w:type="dxa" w:w="1474"/>
          </w:tcPr>
          <w:p>
            <w:pPr>
              <w:spacing w:after="0" w:line="240" w:lineRule="auto"/>
            </w:pPr>
            <w:r/>
            <w:r>
              <w:rPr>
                <w:b w:val="0"/>
                <w:i w:val="0"/>
                <w:sz w:val="15"/>
              </w:rPr>
              <w:t>Waitōtara Valley and Ngamatapouri</w:t>
            </w:r>
          </w:p>
        </w:tc>
        <w:tc>
          <w:tcPr>
            <w:tcW w:type="dxa" w:w="1474"/>
          </w:tcPr>
          <w:p>
            <w:pPr>
              <w:spacing w:after="0" w:line="240" w:lineRule="auto"/>
            </w:pPr>
            <w:r/>
            <w:r>
              <w:rPr>
                <w:b w:val="0"/>
                <w:i w:val="0"/>
                <w:sz w:val="15"/>
              </w:rPr>
              <w:t>Makowhai Trust (receivers)</w:t>
            </w:r>
          </w:p>
        </w:tc>
        <w:tc>
          <w:tcPr>
            <w:tcW w:type="dxa" w:w="510"/>
          </w:tcPr>
          <w:p>
            <w:pPr>
              <w:spacing w:after="0" w:line="240" w:lineRule="auto"/>
              <w:jc w:val="right"/>
            </w:pPr>
            <w:r/>
            <w:r>
              <w:rPr>
                <w:b w:val="0"/>
                <w:i w:val="0"/>
                <w:sz w:val="15"/>
              </w:rPr>
              <w:t>2</w:t>
            </w:r>
          </w:p>
        </w:tc>
        <w:tc>
          <w:tcPr>
            <w:tcW w:type="dxa" w:w="850"/>
          </w:tcPr>
          <w:p>
            <w:pPr>
              <w:spacing w:after="0" w:line="240" w:lineRule="auto"/>
              <w:jc w:val="right"/>
            </w:pPr>
            <w:r/>
            <w:r>
              <w:rPr>
                <w:b w:val="0"/>
                <w:i w:val="0"/>
                <w:sz w:val="15"/>
              </w:rPr>
              <w:t>1,165</w:t>
            </w:r>
          </w:p>
        </w:tc>
        <w:tc>
          <w:tcPr>
            <w:tcW w:type="dxa" w:w="794"/>
          </w:tcPr>
          <w:p>
            <w:pPr>
              <w:spacing w:after="0" w:line="240" w:lineRule="auto"/>
              <w:jc w:val="right"/>
            </w:pPr>
            <w:r/>
            <w:r>
              <w:rPr>
                <w:b w:val="0"/>
                <w:i w:val="0"/>
                <w:sz w:val="15"/>
              </w:rPr>
              <w:t>–</w:t>
            </w:r>
          </w:p>
        </w:tc>
        <w:tc>
          <w:tcPr>
            <w:tcW w:type="dxa" w:w="1134"/>
          </w:tcPr>
          <w:p>
            <w:pPr>
              <w:spacing w:after="0" w:line="240" w:lineRule="auto"/>
              <w:jc w:val="right"/>
            </w:pPr>
            <w:r/>
            <w:r>
              <w:rPr>
                <w:b w:val="0"/>
                <w:i w:val="0"/>
                <w:sz w:val="15"/>
              </w:rPr>
              <w:t>–</w:t>
            </w:r>
          </w:p>
        </w:tc>
        <w:tc>
          <w:tcPr>
            <w:tcW w:type="dxa" w:w="1984"/>
          </w:tcPr>
          <w:p>
            <w:pPr>
              <w:spacing w:after="0" w:line="240" w:lineRule="auto"/>
            </w:pPr>
            <w:r/>
            <w:r>
              <w:rPr>
                <w:b w:val="0"/>
                <w:i w:val="0"/>
                <w:sz w:val="15"/>
              </w:rPr>
              <w:t>Native bush and mānuka (honey) · carbon (indigenous) · open hill grazing</w:t>
            </w:r>
          </w:p>
        </w:tc>
      </w:tr>
      <w:tr>
        <w:tc>
          <w:tcPr>
            <w:tcW w:type="dxa" w:w="1417"/>
            <w:shd w:val="clear" w:color="auto" w:fill="FAF9F6"/>
          </w:tcPr>
          <w:p>
            <w:pPr>
              <w:spacing w:after="0" w:line="240" w:lineRule="auto"/>
            </w:pPr>
            <w:r/>
            <w:r>
              <w:rPr>
                <w:b w:val="0"/>
                <w:i w:val="0"/>
                <w:sz w:val="15"/>
              </w:rPr>
              <w:t>Ernies</w:t>
            </w:r>
          </w:p>
        </w:tc>
        <w:tc>
          <w:tcPr>
            <w:tcW w:type="dxa" w:w="1474"/>
            <w:shd w:val="clear" w:color="auto" w:fill="FAF9F6"/>
          </w:tcPr>
          <w:p>
            <w:pPr>
              <w:spacing w:after="0" w:line="240" w:lineRule="auto"/>
            </w:pPr>
            <w:r/>
            <w:r>
              <w:rPr>
                <w:b w:val="0"/>
                <w:i w:val="0"/>
                <w:sz w:val="15"/>
              </w:rPr>
              <w:t>Waitōtara Valley and Ngamatapouri</w:t>
            </w:r>
          </w:p>
        </w:tc>
        <w:tc>
          <w:tcPr>
            <w:tcW w:type="dxa" w:w="1474"/>
            <w:shd w:val="clear" w:color="auto" w:fill="FAF9F6"/>
          </w:tcPr>
          <w:p>
            <w:pPr>
              <w:spacing w:after="0" w:line="240" w:lineRule="auto"/>
            </w:pPr>
            <w:r/>
            <w:r>
              <w:rPr>
                <w:b w:val="0"/>
                <w:i w:val="0"/>
                <w:sz w:val="15"/>
              </w:rPr>
              <w:t>Makowhai Trust (receivers)</w:t>
            </w:r>
          </w:p>
        </w:tc>
        <w:tc>
          <w:tcPr>
            <w:tcW w:type="dxa" w:w="510"/>
            <w:shd w:val="clear" w:color="auto" w:fill="FAF9F6"/>
          </w:tcPr>
          <w:p>
            <w:pPr>
              <w:spacing w:after="0" w:line="240" w:lineRule="auto"/>
              <w:jc w:val="right"/>
            </w:pPr>
            <w:r/>
            <w:r>
              <w:rPr>
                <w:b w:val="0"/>
                <w:i w:val="0"/>
                <w:sz w:val="15"/>
              </w:rPr>
              <w:t>6</w:t>
            </w:r>
          </w:p>
        </w:tc>
        <w:tc>
          <w:tcPr>
            <w:tcW w:type="dxa" w:w="850"/>
            <w:shd w:val="clear" w:color="auto" w:fill="FAF9F6"/>
          </w:tcPr>
          <w:p>
            <w:pPr>
              <w:spacing w:after="0" w:line="240" w:lineRule="auto"/>
              <w:jc w:val="right"/>
            </w:pPr>
            <w:r/>
            <w:r>
              <w:rPr>
                <w:b w:val="0"/>
                <w:i w:val="0"/>
                <w:sz w:val="15"/>
              </w:rPr>
              <w:t>1,626</w:t>
            </w:r>
          </w:p>
        </w:tc>
        <w:tc>
          <w:tcPr>
            <w:tcW w:type="dxa" w:w="794"/>
            <w:shd w:val="clear" w:color="auto" w:fill="FAF9F6"/>
          </w:tcPr>
          <w:p>
            <w:pPr>
              <w:spacing w:after="0" w:line="240" w:lineRule="auto"/>
              <w:jc w:val="right"/>
            </w:pPr>
            <w:r/>
            <w:r>
              <w:rPr>
                <w:b w:val="0"/>
                <w:i w:val="0"/>
                <w:sz w:val="15"/>
              </w:rPr>
              <w:t>–</w:t>
            </w:r>
          </w:p>
        </w:tc>
        <w:tc>
          <w:tcPr>
            <w:tcW w:type="dxa" w:w="1134"/>
            <w:shd w:val="clear" w:color="auto" w:fill="FAF9F6"/>
          </w:tcPr>
          <w:p>
            <w:pPr>
              <w:spacing w:after="0" w:line="240" w:lineRule="auto"/>
              <w:jc w:val="right"/>
            </w:pPr>
            <w:r/>
            <w:r>
              <w:rPr>
                <w:b w:val="0"/>
                <w:i w:val="0"/>
                <w:sz w:val="15"/>
              </w:rPr>
              <w:t>121 / 13,159</w:t>
            </w:r>
          </w:p>
        </w:tc>
        <w:tc>
          <w:tcPr>
            <w:tcW w:type="dxa" w:w="1984"/>
            <w:shd w:val="clear" w:color="auto" w:fill="FAF9F6"/>
          </w:tcPr>
          <w:p>
            <w:pPr>
              <w:spacing w:after="0" w:line="240" w:lineRule="auto"/>
            </w:pPr>
            <w:r/>
            <w:r>
              <w:rPr>
                <w:b w:val="0"/>
                <w:i w:val="0"/>
                <w:sz w:val="15"/>
              </w:rPr>
              <w:t>Mānuka and native bush (honey) · carbon (indigenous) · open hill grazing</w:t>
            </w:r>
          </w:p>
        </w:tc>
      </w:tr>
      <w:tr>
        <w:tc>
          <w:tcPr>
            <w:tcW w:type="dxa" w:w="1417"/>
          </w:tcPr>
          <w:p>
            <w:pPr>
              <w:spacing w:after="0" w:line="240" w:lineRule="auto"/>
            </w:pPr>
            <w:r/>
            <w:r>
              <w:rPr>
                <w:b w:val="0"/>
                <w:i w:val="0"/>
                <w:sz w:val="15"/>
              </w:rPr>
              <w:t>Karapara</w:t>
            </w:r>
          </w:p>
        </w:tc>
        <w:tc>
          <w:tcPr>
            <w:tcW w:type="dxa" w:w="1474"/>
          </w:tcPr>
          <w:p>
            <w:pPr>
              <w:spacing w:after="0" w:line="240" w:lineRule="auto"/>
            </w:pPr>
            <w:r/>
            <w:r>
              <w:rPr>
                <w:b w:val="0"/>
                <w:i w:val="0"/>
                <w:sz w:val="15"/>
              </w:rPr>
              <w:t>Waitōtara Valley and Ngamatapouri</w:t>
            </w:r>
          </w:p>
        </w:tc>
        <w:tc>
          <w:tcPr>
            <w:tcW w:type="dxa" w:w="1474"/>
          </w:tcPr>
          <w:p>
            <w:pPr>
              <w:spacing w:after="0" w:line="240" w:lineRule="auto"/>
            </w:pPr>
            <w:r/>
            <w:r>
              <w:rPr>
                <w:b w:val="0"/>
                <w:i w:val="0"/>
                <w:sz w:val="15"/>
              </w:rPr>
              <w:t>Makowhai Trust (receivers)</w:t>
            </w:r>
          </w:p>
        </w:tc>
        <w:tc>
          <w:tcPr>
            <w:tcW w:type="dxa" w:w="510"/>
          </w:tcPr>
          <w:p>
            <w:pPr>
              <w:spacing w:after="0" w:line="240" w:lineRule="auto"/>
              <w:jc w:val="right"/>
            </w:pPr>
            <w:r/>
            <w:r>
              <w:rPr>
                <w:b w:val="0"/>
                <w:i w:val="0"/>
                <w:sz w:val="15"/>
              </w:rPr>
              <w:t>3</w:t>
            </w:r>
          </w:p>
        </w:tc>
        <w:tc>
          <w:tcPr>
            <w:tcW w:type="dxa" w:w="850"/>
          </w:tcPr>
          <w:p>
            <w:pPr>
              <w:spacing w:after="0" w:line="240" w:lineRule="auto"/>
              <w:jc w:val="right"/>
            </w:pPr>
            <w:r/>
            <w:r>
              <w:rPr>
                <w:b w:val="0"/>
                <w:i w:val="0"/>
                <w:sz w:val="15"/>
              </w:rPr>
              <w:t>1,318</w:t>
            </w:r>
          </w:p>
        </w:tc>
        <w:tc>
          <w:tcPr>
            <w:tcW w:type="dxa" w:w="794"/>
          </w:tcPr>
          <w:p>
            <w:pPr>
              <w:spacing w:after="0" w:line="240" w:lineRule="auto"/>
              <w:jc w:val="right"/>
            </w:pPr>
            <w:r/>
            <w:r>
              <w:rPr>
                <w:b w:val="0"/>
                <w:i w:val="0"/>
                <w:sz w:val="15"/>
              </w:rPr>
              <w:t>–</w:t>
            </w:r>
          </w:p>
        </w:tc>
        <w:tc>
          <w:tcPr>
            <w:tcW w:type="dxa" w:w="1134"/>
          </w:tcPr>
          <w:p>
            <w:pPr>
              <w:spacing w:after="0" w:line="240" w:lineRule="auto"/>
              <w:jc w:val="right"/>
            </w:pPr>
            <w:r/>
            <w:r>
              <w:rPr>
                <w:b w:val="0"/>
                <w:i w:val="0"/>
                <w:sz w:val="15"/>
              </w:rPr>
              <w:t>–</w:t>
            </w:r>
          </w:p>
        </w:tc>
        <w:tc>
          <w:tcPr>
            <w:tcW w:type="dxa" w:w="1984"/>
          </w:tcPr>
          <w:p>
            <w:pPr>
              <w:spacing w:after="0" w:line="240" w:lineRule="auto"/>
            </w:pPr>
            <w:r/>
            <w:r>
              <w:rPr>
                <w:b w:val="0"/>
                <w:i w:val="0"/>
                <w:sz w:val="15"/>
              </w:rPr>
              <w:t>Native bush and mānuka (honey, conservation)</w:t>
            </w:r>
          </w:p>
        </w:tc>
      </w:tr>
      <w:tr>
        <w:tc>
          <w:tcPr>
            <w:tcW w:type="dxa" w:w="1417"/>
            <w:shd w:val="clear" w:color="auto" w:fill="FAF9F6"/>
          </w:tcPr>
          <w:p>
            <w:pPr>
              <w:spacing w:after="0" w:line="240" w:lineRule="auto"/>
            </w:pPr>
            <w:r/>
            <w:r>
              <w:rPr>
                <w:b w:val="0"/>
                <w:i w:val="0"/>
                <w:sz w:val="15"/>
              </w:rPr>
              <w:t>Workers House</w:t>
            </w:r>
          </w:p>
        </w:tc>
        <w:tc>
          <w:tcPr>
            <w:tcW w:type="dxa" w:w="1474"/>
            <w:shd w:val="clear" w:color="auto" w:fill="FAF9F6"/>
          </w:tcPr>
          <w:p>
            <w:pPr>
              <w:spacing w:after="0" w:line="240" w:lineRule="auto"/>
            </w:pPr>
            <w:r/>
            <w:r>
              <w:rPr>
                <w:b w:val="0"/>
                <w:i w:val="0"/>
                <w:sz w:val="15"/>
              </w:rPr>
              <w:t>Waitōtara Valley and Ngamatapouri</w:t>
            </w:r>
          </w:p>
        </w:tc>
        <w:tc>
          <w:tcPr>
            <w:tcW w:type="dxa" w:w="1474"/>
            <w:shd w:val="clear" w:color="auto" w:fill="FAF9F6"/>
          </w:tcPr>
          <w:p>
            <w:pPr>
              <w:spacing w:after="0" w:line="240" w:lineRule="auto"/>
            </w:pPr>
            <w:r/>
            <w:r>
              <w:rPr>
                <w:b w:val="0"/>
                <w:i w:val="0"/>
                <w:sz w:val="15"/>
              </w:rPr>
              <w:t>Nirvana Farm Ltd (In Rec.)</w:t>
            </w:r>
          </w:p>
        </w:tc>
        <w:tc>
          <w:tcPr>
            <w:tcW w:type="dxa" w:w="510"/>
            <w:shd w:val="clear" w:color="auto" w:fill="FAF9F6"/>
          </w:tcPr>
          <w:p>
            <w:pPr>
              <w:spacing w:after="0" w:line="240" w:lineRule="auto"/>
              <w:jc w:val="right"/>
            </w:pPr>
            <w:r/>
            <w:r>
              <w:rPr>
                <w:b w:val="0"/>
                <w:i w:val="0"/>
                <w:sz w:val="15"/>
              </w:rPr>
              <w:t>2</w:t>
            </w:r>
          </w:p>
        </w:tc>
        <w:tc>
          <w:tcPr>
            <w:tcW w:type="dxa" w:w="850"/>
            <w:shd w:val="clear" w:color="auto" w:fill="FAF9F6"/>
          </w:tcPr>
          <w:p>
            <w:pPr>
              <w:spacing w:after="0" w:line="240" w:lineRule="auto"/>
              <w:jc w:val="right"/>
            </w:pPr>
            <w:r/>
            <w:r>
              <w:rPr>
                <w:b w:val="0"/>
                <w:i w:val="0"/>
                <w:sz w:val="15"/>
              </w:rPr>
              <w:t>2</w:t>
            </w:r>
          </w:p>
        </w:tc>
        <w:tc>
          <w:tcPr>
            <w:tcW w:type="dxa" w:w="794"/>
            <w:shd w:val="clear" w:color="auto" w:fill="FAF9F6"/>
          </w:tcPr>
          <w:p>
            <w:pPr>
              <w:spacing w:after="0" w:line="240" w:lineRule="auto"/>
              <w:jc w:val="right"/>
            </w:pPr>
            <w:r/>
            <w:r>
              <w:rPr>
                <w:b w:val="0"/>
                <w:i w:val="0"/>
                <w:sz w:val="15"/>
              </w:rPr>
              <w:t>–</w:t>
            </w:r>
          </w:p>
        </w:tc>
        <w:tc>
          <w:tcPr>
            <w:tcW w:type="dxa" w:w="1134"/>
            <w:shd w:val="clear" w:color="auto" w:fill="FAF9F6"/>
          </w:tcPr>
          <w:p>
            <w:pPr>
              <w:spacing w:after="0" w:line="240" w:lineRule="auto"/>
              <w:jc w:val="right"/>
            </w:pPr>
            <w:r/>
            <w:r>
              <w:rPr>
                <w:b w:val="0"/>
                <w:i w:val="0"/>
                <w:sz w:val="15"/>
              </w:rPr>
              <w:t>–</w:t>
            </w:r>
          </w:p>
        </w:tc>
        <w:tc>
          <w:tcPr>
            <w:tcW w:type="dxa" w:w="1984"/>
            <w:shd w:val="clear" w:color="auto" w:fill="FAF9F6"/>
          </w:tcPr>
          <w:p>
            <w:pPr>
              <w:spacing w:after="0" w:line="240" w:lineRule="auto"/>
            </w:pPr>
            <w:r/>
            <w:r>
              <w:rPr>
                <w:b w:val="0"/>
                <w:i w:val="0"/>
                <w:sz w:val="15"/>
              </w:rPr>
              <w:t>Dwelling</w:t>
            </w:r>
          </w:p>
        </w:tc>
      </w:tr>
      <w:tr>
        <w:tc>
          <w:tcPr>
            <w:tcW w:type="dxa" w:w="1417"/>
          </w:tcPr>
          <w:p>
            <w:pPr>
              <w:spacing w:after="0" w:line="240" w:lineRule="auto"/>
            </w:pPr>
            <w:r/>
            <w:r>
              <w:rPr>
                <w:b w:val="0"/>
                <w:i w:val="0"/>
                <w:sz w:val="15"/>
              </w:rPr>
              <w:t>Patricks House</w:t>
            </w:r>
          </w:p>
        </w:tc>
        <w:tc>
          <w:tcPr>
            <w:tcW w:type="dxa" w:w="1474"/>
          </w:tcPr>
          <w:p>
            <w:pPr>
              <w:spacing w:after="0" w:line="240" w:lineRule="auto"/>
            </w:pPr>
            <w:r/>
            <w:r>
              <w:rPr>
                <w:b w:val="0"/>
                <w:i w:val="0"/>
                <w:sz w:val="15"/>
              </w:rPr>
              <w:t>Waitōtara Valley and Ngamatapouri</w:t>
            </w:r>
          </w:p>
        </w:tc>
        <w:tc>
          <w:tcPr>
            <w:tcW w:type="dxa" w:w="1474"/>
          </w:tcPr>
          <w:p>
            <w:pPr>
              <w:spacing w:after="0" w:line="240" w:lineRule="auto"/>
            </w:pPr>
            <w:r/>
            <w:r>
              <w:rPr>
                <w:b w:val="0"/>
                <w:i w:val="0"/>
                <w:sz w:val="15"/>
              </w:rPr>
              <w:t>Nirvana Farm Ltd (In Rec.)</w:t>
            </w:r>
          </w:p>
        </w:tc>
        <w:tc>
          <w:tcPr>
            <w:tcW w:type="dxa" w:w="510"/>
          </w:tcPr>
          <w:p>
            <w:pPr>
              <w:spacing w:after="0" w:line="240" w:lineRule="auto"/>
              <w:jc w:val="right"/>
            </w:pPr>
            <w:r/>
            <w:r>
              <w:rPr>
                <w:b w:val="0"/>
                <w:i w:val="0"/>
                <w:sz w:val="15"/>
              </w:rPr>
              <w:t>3</w:t>
            </w:r>
          </w:p>
        </w:tc>
        <w:tc>
          <w:tcPr>
            <w:tcW w:type="dxa" w:w="850"/>
          </w:tcPr>
          <w:p>
            <w:pPr>
              <w:spacing w:after="0" w:line="240" w:lineRule="auto"/>
              <w:jc w:val="right"/>
            </w:pPr>
            <w:r/>
            <w:r>
              <w:rPr>
                <w:b w:val="0"/>
                <w:i w:val="0"/>
                <w:sz w:val="15"/>
              </w:rPr>
              <w:t>28</w:t>
            </w:r>
          </w:p>
        </w:tc>
        <w:tc>
          <w:tcPr>
            <w:tcW w:type="dxa" w:w="794"/>
          </w:tcPr>
          <w:p>
            <w:pPr>
              <w:spacing w:after="0" w:line="240" w:lineRule="auto"/>
              <w:jc w:val="right"/>
            </w:pPr>
            <w:r/>
            <w:r>
              <w:rPr>
                <w:b w:val="0"/>
                <w:i w:val="0"/>
                <w:sz w:val="15"/>
              </w:rPr>
              <w:t>–</w:t>
            </w:r>
          </w:p>
        </w:tc>
        <w:tc>
          <w:tcPr>
            <w:tcW w:type="dxa" w:w="1134"/>
          </w:tcPr>
          <w:p>
            <w:pPr>
              <w:spacing w:after="0" w:line="240" w:lineRule="auto"/>
              <w:jc w:val="right"/>
            </w:pPr>
            <w:r/>
            <w:r>
              <w:rPr>
                <w:b w:val="0"/>
                <w:i w:val="0"/>
                <w:sz w:val="15"/>
              </w:rPr>
              <w:t>–</w:t>
            </w:r>
          </w:p>
        </w:tc>
        <w:tc>
          <w:tcPr>
            <w:tcW w:type="dxa" w:w="1984"/>
          </w:tcPr>
          <w:p>
            <w:pPr>
              <w:spacing w:after="0" w:line="240" w:lineRule="auto"/>
            </w:pPr>
            <w:r/>
            <w:r>
              <w:rPr>
                <w:b w:val="0"/>
                <w:i w:val="0"/>
                <w:sz w:val="15"/>
              </w:rPr>
              <w:t>Dwelling and small grazing block</w:t>
            </w:r>
          </w:p>
        </w:tc>
      </w:tr>
      <w:tr>
        <w:tc>
          <w:tcPr>
            <w:tcW w:type="dxa" w:w="1417"/>
            <w:shd w:val="clear" w:color="auto" w:fill="FAF9F6"/>
          </w:tcPr>
          <w:p>
            <w:pPr>
              <w:spacing w:after="0" w:line="240" w:lineRule="auto"/>
            </w:pPr>
            <w:r/>
            <w:r>
              <w:rPr>
                <w:b w:val="0"/>
                <w:i w:val="0"/>
                <w:sz w:val="15"/>
              </w:rPr>
              <w:t>Puau Road</w:t>
            </w:r>
          </w:p>
        </w:tc>
        <w:tc>
          <w:tcPr>
            <w:tcW w:type="dxa" w:w="1474"/>
            <w:shd w:val="clear" w:color="auto" w:fill="FAF9F6"/>
          </w:tcPr>
          <w:p>
            <w:pPr>
              <w:spacing w:after="0" w:line="240" w:lineRule="auto"/>
            </w:pPr>
            <w:r/>
            <w:r>
              <w:rPr>
                <w:b w:val="0"/>
                <w:i w:val="0"/>
                <w:sz w:val="15"/>
              </w:rPr>
              <w:t>Nukumaru and the Waverley coast</w:t>
            </w:r>
          </w:p>
        </w:tc>
        <w:tc>
          <w:tcPr>
            <w:tcW w:type="dxa" w:w="1474"/>
            <w:shd w:val="clear" w:color="auto" w:fill="FAF9F6"/>
          </w:tcPr>
          <w:p>
            <w:pPr>
              <w:spacing w:after="0" w:line="240" w:lineRule="auto"/>
            </w:pPr>
            <w:r/>
            <w:r>
              <w:rPr>
                <w:b w:val="0"/>
                <w:i w:val="0"/>
                <w:sz w:val="15"/>
              </w:rPr>
              <w:t>Nirvana Farm Ltd (In Rec.)</w:t>
            </w:r>
          </w:p>
        </w:tc>
        <w:tc>
          <w:tcPr>
            <w:tcW w:type="dxa" w:w="510"/>
            <w:shd w:val="clear" w:color="auto" w:fill="FAF9F6"/>
          </w:tcPr>
          <w:p>
            <w:pPr>
              <w:spacing w:after="0" w:line="240" w:lineRule="auto"/>
              <w:jc w:val="right"/>
            </w:pPr>
            <w:r/>
            <w:r>
              <w:rPr>
                <w:b w:val="0"/>
                <w:i w:val="0"/>
                <w:sz w:val="15"/>
              </w:rPr>
              <w:t>4</w:t>
            </w:r>
          </w:p>
        </w:tc>
        <w:tc>
          <w:tcPr>
            <w:tcW w:type="dxa" w:w="850"/>
            <w:shd w:val="clear" w:color="auto" w:fill="FAF9F6"/>
          </w:tcPr>
          <w:p>
            <w:pPr>
              <w:spacing w:after="0" w:line="240" w:lineRule="auto"/>
              <w:jc w:val="right"/>
            </w:pPr>
            <w:r/>
            <w:r>
              <w:rPr>
                <w:b w:val="0"/>
                <w:i w:val="0"/>
                <w:sz w:val="15"/>
              </w:rPr>
              <w:t>1,872</w:t>
            </w:r>
          </w:p>
        </w:tc>
        <w:tc>
          <w:tcPr>
            <w:tcW w:type="dxa" w:w="794"/>
            <w:shd w:val="clear" w:color="auto" w:fill="FAF9F6"/>
          </w:tcPr>
          <w:p>
            <w:pPr>
              <w:spacing w:after="0" w:line="240" w:lineRule="auto"/>
              <w:jc w:val="right"/>
            </w:pPr>
            <w:r/>
            <w:r>
              <w:rPr>
                <w:b w:val="0"/>
                <w:i w:val="0"/>
                <w:sz w:val="15"/>
              </w:rPr>
              <w:t>52</w:t>
            </w:r>
          </w:p>
        </w:tc>
        <w:tc>
          <w:tcPr>
            <w:tcW w:type="dxa" w:w="1134"/>
            <w:shd w:val="clear" w:color="auto" w:fill="FAF9F6"/>
          </w:tcPr>
          <w:p>
            <w:pPr>
              <w:spacing w:after="0" w:line="240" w:lineRule="auto"/>
              <w:jc w:val="right"/>
            </w:pPr>
            <w:r/>
            <w:r>
              <w:rPr>
                <w:b w:val="0"/>
                <w:i w:val="0"/>
                <w:sz w:val="15"/>
              </w:rPr>
              <w:t>46 / 139</w:t>
            </w:r>
          </w:p>
        </w:tc>
        <w:tc>
          <w:tcPr>
            <w:tcW w:type="dxa" w:w="1984"/>
            <w:shd w:val="clear" w:color="auto" w:fill="FAF9F6"/>
          </w:tcPr>
          <w:p>
            <w:pPr>
              <w:spacing w:after="0" w:line="240" w:lineRule="auto"/>
            </w:pPr>
            <w:r/>
            <w:r>
              <w:rPr>
                <w:b w:val="0"/>
                <w:i w:val="0"/>
                <w:sz w:val="15"/>
              </w:rPr>
              <w:t>Native bush and mānuka (honey) · forestry (Pinus radiata) · grazing (part leased to Pukekahu Farms) · Crown leasehold</w:t>
            </w:r>
          </w:p>
        </w:tc>
      </w:tr>
      <w:tr>
        <w:tc>
          <w:tcPr>
            <w:tcW w:type="dxa" w:w="1417"/>
          </w:tcPr>
          <w:p>
            <w:pPr>
              <w:spacing w:after="0" w:line="240" w:lineRule="auto"/>
            </w:pPr>
            <w:r/>
            <w:r>
              <w:rPr>
                <w:b w:val="0"/>
                <w:i w:val="0"/>
                <w:sz w:val="15"/>
              </w:rPr>
              <w:t>Moonys</w:t>
            </w:r>
          </w:p>
        </w:tc>
        <w:tc>
          <w:tcPr>
            <w:tcW w:type="dxa" w:w="1474"/>
          </w:tcPr>
          <w:p>
            <w:pPr>
              <w:spacing w:after="0" w:line="240" w:lineRule="auto"/>
            </w:pPr>
            <w:r/>
            <w:r>
              <w:rPr>
                <w:b w:val="0"/>
                <w:i w:val="0"/>
                <w:sz w:val="15"/>
              </w:rPr>
              <w:t>Nukumaru and the Waverley coast</w:t>
            </w:r>
          </w:p>
        </w:tc>
        <w:tc>
          <w:tcPr>
            <w:tcW w:type="dxa" w:w="1474"/>
          </w:tcPr>
          <w:p>
            <w:pPr>
              <w:spacing w:after="0" w:line="240" w:lineRule="auto"/>
            </w:pPr>
            <w:r/>
            <w:r>
              <w:rPr>
                <w:b w:val="0"/>
                <w:i w:val="0"/>
                <w:sz w:val="15"/>
              </w:rPr>
              <w:t>Nirvana Farm Ltd (In Rec.)</w:t>
            </w:r>
          </w:p>
        </w:tc>
        <w:tc>
          <w:tcPr>
            <w:tcW w:type="dxa" w:w="510"/>
          </w:tcPr>
          <w:p>
            <w:pPr>
              <w:spacing w:after="0" w:line="240" w:lineRule="auto"/>
              <w:jc w:val="right"/>
            </w:pPr>
            <w:r/>
            <w:r>
              <w:rPr>
                <w:b w:val="0"/>
                <w:i w:val="0"/>
                <w:sz w:val="15"/>
              </w:rPr>
              <w:t>4</w:t>
            </w:r>
          </w:p>
        </w:tc>
        <w:tc>
          <w:tcPr>
            <w:tcW w:type="dxa" w:w="850"/>
          </w:tcPr>
          <w:p>
            <w:pPr>
              <w:spacing w:after="0" w:line="240" w:lineRule="auto"/>
              <w:jc w:val="right"/>
            </w:pPr>
            <w:r/>
            <w:r>
              <w:rPr>
                <w:b w:val="0"/>
                <w:i w:val="0"/>
                <w:sz w:val="15"/>
              </w:rPr>
              <w:t>644</w:t>
            </w:r>
          </w:p>
        </w:tc>
        <w:tc>
          <w:tcPr>
            <w:tcW w:type="dxa" w:w="794"/>
          </w:tcPr>
          <w:p>
            <w:pPr>
              <w:spacing w:after="0" w:line="240" w:lineRule="auto"/>
              <w:jc w:val="right"/>
            </w:pPr>
            <w:r/>
            <w:r>
              <w:rPr>
                <w:b w:val="0"/>
                <w:i w:val="0"/>
                <w:sz w:val="15"/>
              </w:rPr>
              <w:t>–</w:t>
            </w:r>
          </w:p>
        </w:tc>
        <w:tc>
          <w:tcPr>
            <w:tcW w:type="dxa" w:w="1134"/>
          </w:tcPr>
          <w:p>
            <w:pPr>
              <w:spacing w:after="0" w:line="240" w:lineRule="auto"/>
              <w:jc w:val="right"/>
            </w:pPr>
            <w:r/>
            <w:r>
              <w:rPr>
                <w:b w:val="0"/>
                <w:i w:val="0"/>
                <w:sz w:val="15"/>
              </w:rPr>
              <w:t>–</w:t>
            </w:r>
          </w:p>
        </w:tc>
        <w:tc>
          <w:tcPr>
            <w:tcW w:type="dxa" w:w="1984"/>
          </w:tcPr>
          <w:p>
            <w:pPr>
              <w:spacing w:after="0" w:line="240" w:lineRule="auto"/>
            </w:pPr>
            <w:r/>
            <w:r>
              <w:rPr>
                <w:b w:val="0"/>
                <w:i w:val="0"/>
                <w:sz w:val="15"/>
              </w:rPr>
              <w:t>Mānuka, native bush and open hill grazing · older exotic cover</w:t>
            </w:r>
          </w:p>
        </w:tc>
      </w:tr>
      <w:tr>
        <w:tc>
          <w:tcPr>
            <w:tcW w:type="dxa" w:w="1417"/>
            <w:shd w:val="clear" w:color="auto" w:fill="FAF9F6"/>
          </w:tcPr>
          <w:p>
            <w:pPr>
              <w:spacing w:after="0" w:line="240" w:lineRule="auto"/>
            </w:pPr>
            <w:r/>
            <w:r>
              <w:rPr>
                <w:b w:val="0"/>
                <w:i w:val="0"/>
                <w:sz w:val="15"/>
              </w:rPr>
              <w:t>Ridge Road</w:t>
            </w:r>
          </w:p>
        </w:tc>
        <w:tc>
          <w:tcPr>
            <w:tcW w:type="dxa" w:w="1474"/>
            <w:shd w:val="clear" w:color="auto" w:fill="FAF9F6"/>
          </w:tcPr>
          <w:p>
            <w:pPr>
              <w:spacing w:after="0" w:line="240" w:lineRule="auto"/>
            </w:pPr>
            <w:r/>
            <w:r>
              <w:rPr>
                <w:b w:val="0"/>
                <w:i w:val="0"/>
                <w:sz w:val="15"/>
              </w:rPr>
              <w:t>Nukumaru and the Waverley coast</w:t>
            </w:r>
          </w:p>
        </w:tc>
        <w:tc>
          <w:tcPr>
            <w:tcW w:type="dxa" w:w="1474"/>
            <w:shd w:val="clear" w:color="auto" w:fill="FAF9F6"/>
          </w:tcPr>
          <w:p>
            <w:pPr>
              <w:spacing w:after="0" w:line="240" w:lineRule="auto"/>
            </w:pPr>
            <w:r/>
            <w:r>
              <w:rPr>
                <w:b w:val="0"/>
                <w:i w:val="0"/>
                <w:sz w:val="15"/>
              </w:rPr>
              <w:t>Nirvana Farm Ltd (In Rec.)</w:t>
            </w:r>
          </w:p>
        </w:tc>
        <w:tc>
          <w:tcPr>
            <w:tcW w:type="dxa" w:w="510"/>
            <w:shd w:val="clear" w:color="auto" w:fill="FAF9F6"/>
          </w:tcPr>
          <w:p>
            <w:pPr>
              <w:spacing w:after="0" w:line="240" w:lineRule="auto"/>
              <w:jc w:val="right"/>
            </w:pPr>
            <w:r/>
            <w:r>
              <w:rPr>
                <w:b w:val="0"/>
                <w:i w:val="0"/>
                <w:sz w:val="15"/>
              </w:rPr>
              <w:t>3</w:t>
            </w:r>
          </w:p>
        </w:tc>
        <w:tc>
          <w:tcPr>
            <w:tcW w:type="dxa" w:w="850"/>
            <w:shd w:val="clear" w:color="auto" w:fill="FAF9F6"/>
          </w:tcPr>
          <w:p>
            <w:pPr>
              <w:spacing w:after="0" w:line="240" w:lineRule="auto"/>
              <w:jc w:val="right"/>
            </w:pPr>
            <w:r/>
            <w:r>
              <w:rPr>
                <w:b w:val="0"/>
                <w:i w:val="0"/>
                <w:sz w:val="15"/>
              </w:rPr>
              <w:t>283</w:t>
            </w:r>
          </w:p>
        </w:tc>
        <w:tc>
          <w:tcPr>
            <w:tcW w:type="dxa" w:w="794"/>
            <w:shd w:val="clear" w:color="auto" w:fill="FAF9F6"/>
          </w:tcPr>
          <w:p>
            <w:pPr>
              <w:spacing w:after="0" w:line="240" w:lineRule="auto"/>
              <w:jc w:val="right"/>
            </w:pPr>
            <w:r/>
            <w:r>
              <w:rPr>
                <w:b w:val="0"/>
                <w:i w:val="0"/>
                <w:sz w:val="15"/>
              </w:rPr>
              <w:t>–</w:t>
            </w:r>
          </w:p>
        </w:tc>
        <w:tc>
          <w:tcPr>
            <w:tcW w:type="dxa" w:w="1134"/>
            <w:shd w:val="clear" w:color="auto" w:fill="FAF9F6"/>
          </w:tcPr>
          <w:p>
            <w:pPr>
              <w:spacing w:after="0" w:line="240" w:lineRule="auto"/>
              <w:jc w:val="right"/>
            </w:pPr>
            <w:r/>
            <w:r>
              <w:rPr>
                <w:b w:val="0"/>
                <w:i w:val="0"/>
                <w:sz w:val="15"/>
              </w:rPr>
              <w:t>–</w:t>
            </w:r>
          </w:p>
        </w:tc>
        <w:tc>
          <w:tcPr>
            <w:tcW w:type="dxa" w:w="1984"/>
            <w:shd w:val="clear" w:color="auto" w:fill="FAF9F6"/>
          </w:tcPr>
          <w:p>
            <w:pPr>
              <w:spacing w:after="0" w:line="240" w:lineRule="auto"/>
            </w:pPr>
            <w:r/>
            <w:r>
              <w:rPr>
                <w:b w:val="0"/>
                <w:i w:val="0"/>
                <w:sz w:val="15"/>
              </w:rPr>
              <w:t>Mānuka scrub and open grazing</w:t>
            </w:r>
          </w:p>
        </w:tc>
      </w:tr>
      <w:tr>
        <w:tc>
          <w:tcPr>
            <w:tcW w:type="dxa" w:w="1417"/>
          </w:tcPr>
          <w:p>
            <w:pPr>
              <w:spacing w:after="0" w:line="240" w:lineRule="auto"/>
            </w:pPr>
            <w:r/>
            <w:r>
              <w:rPr>
                <w:b w:val="0"/>
                <w:i w:val="0"/>
                <w:sz w:val="15"/>
              </w:rPr>
              <w:t>Whangamomona</w:t>
            </w:r>
          </w:p>
        </w:tc>
        <w:tc>
          <w:tcPr>
            <w:tcW w:type="dxa" w:w="1474"/>
          </w:tcPr>
          <w:p>
            <w:pPr>
              <w:spacing w:after="0" w:line="240" w:lineRule="auto"/>
            </w:pPr>
            <w:r/>
            <w:r>
              <w:rPr>
                <w:b w:val="0"/>
                <w:i w:val="0"/>
                <w:sz w:val="15"/>
              </w:rPr>
              <w:t>Eastern Taranaki</w:t>
            </w:r>
          </w:p>
        </w:tc>
        <w:tc>
          <w:tcPr>
            <w:tcW w:type="dxa" w:w="1474"/>
          </w:tcPr>
          <w:p>
            <w:pPr>
              <w:spacing w:after="0" w:line="240" w:lineRule="auto"/>
            </w:pPr>
            <w:r/>
            <w:r>
              <w:rPr>
                <w:b w:val="0"/>
                <w:i w:val="0"/>
                <w:sz w:val="15"/>
              </w:rPr>
              <w:t>Nirvana Farm Ltd (In Rec.)</w:t>
            </w:r>
          </w:p>
        </w:tc>
        <w:tc>
          <w:tcPr>
            <w:tcW w:type="dxa" w:w="510"/>
          </w:tcPr>
          <w:p>
            <w:pPr>
              <w:spacing w:after="0" w:line="240" w:lineRule="auto"/>
              <w:jc w:val="right"/>
            </w:pPr>
            <w:r/>
            <w:r>
              <w:rPr>
                <w:b w:val="0"/>
                <w:i w:val="0"/>
                <w:sz w:val="15"/>
              </w:rPr>
              <w:t>1</w:t>
            </w:r>
          </w:p>
        </w:tc>
        <w:tc>
          <w:tcPr>
            <w:tcW w:type="dxa" w:w="850"/>
          </w:tcPr>
          <w:p>
            <w:pPr>
              <w:spacing w:after="0" w:line="240" w:lineRule="auto"/>
              <w:jc w:val="right"/>
            </w:pPr>
            <w:r/>
            <w:r>
              <w:rPr>
                <w:b w:val="0"/>
                <w:i w:val="0"/>
                <w:sz w:val="15"/>
              </w:rPr>
              <w:t>739</w:t>
            </w:r>
          </w:p>
        </w:tc>
        <w:tc>
          <w:tcPr>
            <w:tcW w:type="dxa" w:w="794"/>
          </w:tcPr>
          <w:p>
            <w:pPr>
              <w:spacing w:after="0" w:line="240" w:lineRule="auto"/>
              <w:jc w:val="right"/>
            </w:pPr>
            <w:r/>
            <w:r>
              <w:rPr>
                <w:b w:val="0"/>
                <w:i w:val="0"/>
                <w:sz w:val="15"/>
              </w:rPr>
              <w:t>355</w:t>
            </w:r>
          </w:p>
        </w:tc>
        <w:tc>
          <w:tcPr>
            <w:tcW w:type="dxa" w:w="1134"/>
          </w:tcPr>
          <w:p>
            <w:pPr>
              <w:spacing w:after="0" w:line="240" w:lineRule="auto"/>
              <w:jc w:val="right"/>
            </w:pPr>
            <w:r/>
            <w:r>
              <w:rPr>
                <w:b w:val="0"/>
                <w:i w:val="0"/>
                <w:sz w:val="15"/>
              </w:rPr>
              <w:t>309 / 928</w:t>
            </w:r>
          </w:p>
        </w:tc>
        <w:tc>
          <w:tcPr>
            <w:tcW w:type="dxa" w:w="1984"/>
          </w:tcPr>
          <w:p>
            <w:pPr>
              <w:spacing w:after="0" w:line="240" w:lineRule="auto"/>
            </w:pPr>
            <w:r/>
            <w:r>
              <w:rPr>
                <w:b w:val="0"/>
                <w:i w:val="0"/>
                <w:sz w:val="15"/>
              </w:rPr>
              <w:t>Forestry (Pinus radiata) and carbon · native bush and mānuka</w:t>
            </w:r>
          </w:p>
        </w:tc>
      </w:tr>
      <w:tr>
        <w:tc>
          <w:tcPr>
            <w:tcW w:type="dxa" w:w="1417"/>
            <w:shd w:val="clear" w:color="auto" w:fill="FAF9F6"/>
          </w:tcPr>
          <w:p>
            <w:pPr>
              <w:spacing w:after="0" w:line="240" w:lineRule="auto"/>
            </w:pPr>
            <w:r/>
            <w:r>
              <w:rPr>
                <w:b w:val="0"/>
                <w:i w:val="0"/>
                <w:sz w:val="15"/>
              </w:rPr>
              <w:t>Staghaven</w:t>
            </w:r>
          </w:p>
        </w:tc>
        <w:tc>
          <w:tcPr>
            <w:tcW w:type="dxa" w:w="1474"/>
            <w:shd w:val="clear" w:color="auto" w:fill="FAF9F6"/>
          </w:tcPr>
          <w:p>
            <w:pPr>
              <w:spacing w:after="0" w:line="240" w:lineRule="auto"/>
            </w:pPr>
            <w:r/>
            <w:r>
              <w:rPr>
                <w:b w:val="0"/>
                <w:i w:val="0"/>
                <w:sz w:val="15"/>
              </w:rPr>
              <w:t>Eastern Taranaki</w:t>
            </w:r>
          </w:p>
        </w:tc>
        <w:tc>
          <w:tcPr>
            <w:tcW w:type="dxa" w:w="1474"/>
            <w:shd w:val="clear" w:color="auto" w:fill="FAF9F6"/>
          </w:tcPr>
          <w:p>
            <w:pPr>
              <w:spacing w:after="0" w:line="240" w:lineRule="auto"/>
            </w:pPr>
            <w:r/>
            <w:r>
              <w:rPr>
                <w:b w:val="0"/>
                <w:i w:val="0"/>
                <w:sz w:val="15"/>
              </w:rPr>
              <w:t>Nirvana Farm Ltd (In Rec.)</w:t>
            </w:r>
          </w:p>
        </w:tc>
        <w:tc>
          <w:tcPr>
            <w:tcW w:type="dxa" w:w="510"/>
            <w:shd w:val="clear" w:color="auto" w:fill="FAF9F6"/>
          </w:tcPr>
          <w:p>
            <w:pPr>
              <w:spacing w:after="0" w:line="240" w:lineRule="auto"/>
              <w:jc w:val="right"/>
            </w:pPr>
            <w:r/>
            <w:r>
              <w:rPr>
                <w:b w:val="0"/>
                <w:i w:val="0"/>
                <w:sz w:val="15"/>
              </w:rPr>
              <w:t>3</w:t>
            </w:r>
          </w:p>
        </w:tc>
        <w:tc>
          <w:tcPr>
            <w:tcW w:type="dxa" w:w="850"/>
            <w:shd w:val="clear" w:color="auto" w:fill="FAF9F6"/>
          </w:tcPr>
          <w:p>
            <w:pPr>
              <w:spacing w:after="0" w:line="240" w:lineRule="auto"/>
              <w:jc w:val="right"/>
            </w:pPr>
            <w:r/>
            <w:r>
              <w:rPr>
                <w:b w:val="0"/>
                <w:i w:val="0"/>
                <w:sz w:val="15"/>
              </w:rPr>
              <w:t>296</w:t>
            </w:r>
          </w:p>
        </w:tc>
        <w:tc>
          <w:tcPr>
            <w:tcW w:type="dxa" w:w="794"/>
            <w:shd w:val="clear" w:color="auto" w:fill="FAF9F6"/>
          </w:tcPr>
          <w:p>
            <w:pPr>
              <w:spacing w:after="0" w:line="240" w:lineRule="auto"/>
              <w:jc w:val="right"/>
            </w:pPr>
            <w:r/>
            <w:r>
              <w:rPr>
                <w:b w:val="0"/>
                <w:i w:val="0"/>
                <w:sz w:val="15"/>
              </w:rPr>
              <w:t>83</w:t>
            </w:r>
          </w:p>
        </w:tc>
        <w:tc>
          <w:tcPr>
            <w:tcW w:type="dxa" w:w="1134"/>
            <w:shd w:val="clear" w:color="auto" w:fill="FAF9F6"/>
          </w:tcPr>
          <w:p>
            <w:pPr>
              <w:spacing w:after="0" w:line="240" w:lineRule="auto"/>
              <w:jc w:val="right"/>
            </w:pPr>
            <w:r/>
            <w:r>
              <w:rPr>
                <w:b w:val="0"/>
                <w:i w:val="0"/>
                <w:sz w:val="15"/>
              </w:rPr>
              <w:t>82 / 4,654</w:t>
            </w:r>
          </w:p>
        </w:tc>
        <w:tc>
          <w:tcPr>
            <w:tcW w:type="dxa" w:w="1984"/>
            <w:shd w:val="clear" w:color="auto" w:fill="FAF9F6"/>
          </w:tcPr>
          <w:p>
            <w:pPr>
              <w:spacing w:after="0" w:line="240" w:lineRule="auto"/>
            </w:pPr>
            <w:r/>
            <w:r>
              <w:rPr>
                <w:b w:val="0"/>
                <w:i w:val="0"/>
                <w:sz w:val="15"/>
              </w:rPr>
              <w:t>Forestry (Pinus radiata) and carbon · native bush · rolling pasture</w:t>
            </w:r>
          </w:p>
        </w:tc>
      </w:tr>
      <w:tr>
        <w:tc>
          <w:tcPr>
            <w:tcW w:type="dxa" w:w="1417"/>
          </w:tcPr>
          <w:p>
            <w:pPr>
              <w:spacing w:after="0" w:line="240" w:lineRule="auto"/>
            </w:pPr>
            <w:r/>
            <w:r>
              <w:rPr>
                <w:b w:val="0"/>
                <w:i w:val="0"/>
                <w:sz w:val="15"/>
              </w:rPr>
              <w:t>Tims</w:t>
            </w:r>
          </w:p>
        </w:tc>
        <w:tc>
          <w:tcPr>
            <w:tcW w:type="dxa" w:w="1474"/>
          </w:tcPr>
          <w:p>
            <w:pPr>
              <w:spacing w:after="0" w:line="240" w:lineRule="auto"/>
            </w:pPr>
            <w:r/>
            <w:r>
              <w:rPr>
                <w:b w:val="0"/>
                <w:i w:val="0"/>
                <w:sz w:val="15"/>
              </w:rPr>
              <w:t>Eastern Taranaki</w:t>
            </w:r>
          </w:p>
        </w:tc>
        <w:tc>
          <w:tcPr>
            <w:tcW w:type="dxa" w:w="1474"/>
          </w:tcPr>
          <w:p>
            <w:pPr>
              <w:spacing w:after="0" w:line="240" w:lineRule="auto"/>
            </w:pPr>
            <w:r/>
            <w:r>
              <w:rPr>
                <w:b w:val="0"/>
                <w:i w:val="0"/>
                <w:sz w:val="15"/>
              </w:rPr>
              <w:t>Nirvana Farm Ltd (In Rec.)</w:t>
            </w:r>
          </w:p>
        </w:tc>
        <w:tc>
          <w:tcPr>
            <w:tcW w:type="dxa" w:w="510"/>
          </w:tcPr>
          <w:p>
            <w:pPr>
              <w:spacing w:after="0" w:line="240" w:lineRule="auto"/>
              <w:jc w:val="right"/>
            </w:pPr>
            <w:r/>
            <w:r>
              <w:rPr>
                <w:b w:val="0"/>
                <w:i w:val="0"/>
                <w:sz w:val="15"/>
              </w:rPr>
              <w:t>1</w:t>
            </w:r>
          </w:p>
        </w:tc>
        <w:tc>
          <w:tcPr>
            <w:tcW w:type="dxa" w:w="850"/>
          </w:tcPr>
          <w:p>
            <w:pPr>
              <w:spacing w:after="0" w:line="240" w:lineRule="auto"/>
              <w:jc w:val="right"/>
            </w:pPr>
            <w:r/>
            <w:r>
              <w:rPr>
                <w:b w:val="0"/>
                <w:i w:val="0"/>
                <w:sz w:val="15"/>
              </w:rPr>
              <w:t>14</w:t>
            </w:r>
          </w:p>
        </w:tc>
        <w:tc>
          <w:tcPr>
            <w:tcW w:type="dxa" w:w="794"/>
          </w:tcPr>
          <w:p>
            <w:pPr>
              <w:spacing w:after="0" w:line="240" w:lineRule="auto"/>
              <w:jc w:val="right"/>
            </w:pPr>
            <w:r/>
            <w:r>
              <w:rPr>
                <w:b w:val="0"/>
                <w:i w:val="0"/>
                <w:sz w:val="15"/>
              </w:rPr>
              <w:t>–</w:t>
            </w:r>
          </w:p>
        </w:tc>
        <w:tc>
          <w:tcPr>
            <w:tcW w:type="dxa" w:w="1134"/>
          </w:tcPr>
          <w:p>
            <w:pPr>
              <w:spacing w:after="0" w:line="240" w:lineRule="auto"/>
              <w:jc w:val="right"/>
            </w:pPr>
            <w:r/>
            <w:r>
              <w:rPr>
                <w:b w:val="0"/>
                <w:i w:val="0"/>
                <w:sz w:val="15"/>
              </w:rPr>
              <w:t>–</w:t>
            </w:r>
          </w:p>
        </w:tc>
        <w:tc>
          <w:tcPr>
            <w:tcW w:type="dxa" w:w="1984"/>
          </w:tcPr>
          <w:p>
            <w:pPr>
              <w:spacing w:after="0" w:line="240" w:lineRule="auto"/>
            </w:pPr>
            <w:r/>
            <w:r>
              <w:rPr>
                <w:b w:val="0"/>
                <w:i w:val="0"/>
                <w:sz w:val="15"/>
              </w:rPr>
              <w:t>Native bush and scrub</w:t>
            </w:r>
          </w:p>
        </w:tc>
      </w:tr>
      <w:tr>
        <w:tc>
          <w:tcPr>
            <w:tcW w:type="dxa" w:w="1417"/>
            <w:shd w:val="clear" w:color="auto" w:fill="FAF9F6"/>
          </w:tcPr>
          <w:p>
            <w:pPr>
              <w:spacing w:after="0" w:line="240" w:lineRule="auto"/>
            </w:pPr>
            <w:r/>
            <w:r>
              <w:rPr>
                <w:b w:val="0"/>
                <w:i w:val="0"/>
                <w:sz w:val="15"/>
              </w:rPr>
              <w:t>Soldiers Road (forestry right)</w:t>
            </w:r>
          </w:p>
        </w:tc>
        <w:tc>
          <w:tcPr>
            <w:tcW w:type="dxa" w:w="1474"/>
            <w:shd w:val="clear" w:color="auto" w:fill="FAF9F6"/>
          </w:tcPr>
          <w:p>
            <w:pPr>
              <w:spacing w:after="0" w:line="240" w:lineRule="auto"/>
            </w:pPr>
            <w:r/>
            <w:r>
              <w:rPr>
                <w:b w:val="0"/>
                <w:i w:val="0"/>
                <w:sz w:val="15"/>
              </w:rPr>
              <w:t>Eastern Taranaki</w:t>
            </w:r>
          </w:p>
        </w:tc>
        <w:tc>
          <w:tcPr>
            <w:tcW w:type="dxa" w:w="1474"/>
            <w:shd w:val="clear" w:color="auto" w:fill="FAF9F6"/>
          </w:tcPr>
          <w:p>
            <w:pPr>
              <w:spacing w:after="0" w:line="240" w:lineRule="auto"/>
            </w:pPr>
            <w:r/>
            <w:r>
              <w:rPr>
                <w:b w:val="0"/>
                <w:i w:val="0"/>
                <w:sz w:val="15"/>
              </w:rPr>
              <w:t>NFL forestry right – land excluded</w:t>
            </w:r>
          </w:p>
        </w:tc>
        <w:tc>
          <w:tcPr>
            <w:tcW w:type="dxa" w:w="510"/>
            <w:shd w:val="clear" w:color="auto" w:fill="FAF9F6"/>
          </w:tcPr>
          <w:p>
            <w:pPr>
              <w:spacing w:after="0" w:line="240" w:lineRule="auto"/>
              <w:jc w:val="right"/>
            </w:pPr>
            <w:r/>
            <w:r>
              <w:rPr>
                <w:b w:val="0"/>
                <w:i w:val="0"/>
                <w:sz w:val="15"/>
              </w:rPr>
              <w:t>1</w:t>
            </w:r>
          </w:p>
        </w:tc>
        <w:tc>
          <w:tcPr>
            <w:tcW w:type="dxa" w:w="850"/>
            <w:shd w:val="clear" w:color="auto" w:fill="FAF9F6"/>
          </w:tcPr>
          <w:p>
            <w:pPr>
              <w:spacing w:after="0" w:line="240" w:lineRule="auto"/>
              <w:jc w:val="right"/>
            </w:pPr>
            <w:r/>
            <w:r>
              <w:rPr>
                <w:b w:val="0"/>
                <w:i w:val="0"/>
                <w:sz w:val="15"/>
              </w:rPr>
              <w:t>362</w:t>
            </w:r>
          </w:p>
        </w:tc>
        <w:tc>
          <w:tcPr>
            <w:tcW w:type="dxa" w:w="794"/>
            <w:shd w:val="clear" w:color="auto" w:fill="FAF9F6"/>
          </w:tcPr>
          <w:p>
            <w:pPr>
              <w:spacing w:after="0" w:line="240" w:lineRule="auto"/>
              <w:jc w:val="right"/>
            </w:pPr>
            <w:r/>
            <w:r>
              <w:rPr>
                <w:b w:val="0"/>
                <w:i w:val="0"/>
                <w:sz w:val="15"/>
              </w:rPr>
              <w:t>176</w:t>
            </w:r>
          </w:p>
        </w:tc>
        <w:tc>
          <w:tcPr>
            <w:tcW w:type="dxa" w:w="1134"/>
            <w:shd w:val="clear" w:color="auto" w:fill="FAF9F6"/>
          </w:tcPr>
          <w:p>
            <w:pPr>
              <w:spacing w:after="0" w:line="240" w:lineRule="auto"/>
              <w:jc w:val="right"/>
            </w:pPr>
            <w:r/>
            <w:r>
              <w:rPr>
                <w:b w:val="0"/>
                <w:i w:val="0"/>
                <w:sz w:val="15"/>
              </w:rPr>
              <w:t xml:space="preserve">9.6 / 59 </w:t>
            </w:r>
            <w:r>
              <w:rPr>
                <w:b/>
                <w:i w:val="0"/>
                <w:color w:val="B01E1E"/>
                <w:sz w:val="15"/>
              </w:rPr>
              <w:t>[TBC]</w:t>
            </w:r>
          </w:p>
        </w:tc>
        <w:tc>
          <w:tcPr>
            <w:tcW w:type="dxa" w:w="1984"/>
            <w:shd w:val="clear" w:color="auto" w:fill="FAF9F6"/>
          </w:tcPr>
          <w:p>
            <w:pPr>
              <w:spacing w:after="0" w:line="240" w:lineRule="auto"/>
            </w:pPr>
            <w:r/>
            <w:r>
              <w:rPr>
                <w:b w:val="0"/>
                <w:i w:val="0"/>
                <w:sz w:val="15"/>
              </w:rPr>
              <w:t>Forestry right only – Pinus radiata and carbon</w:t>
            </w:r>
          </w:p>
        </w:tc>
      </w:tr>
      <w:tr>
        <w:tc>
          <w:tcPr>
            <w:tcW w:type="dxa" w:w="1417"/>
          </w:tcPr>
          <w:p>
            <w:pPr>
              <w:spacing w:after="0" w:line="240" w:lineRule="auto"/>
            </w:pPr>
            <w:r/>
            <w:r>
              <w:rPr>
                <w:b w:val="0"/>
                <w:i w:val="0"/>
                <w:sz w:val="15"/>
              </w:rPr>
              <w:t>Pakihi</w:t>
            </w:r>
          </w:p>
        </w:tc>
        <w:tc>
          <w:tcPr>
            <w:tcW w:type="dxa" w:w="1474"/>
          </w:tcPr>
          <w:p>
            <w:pPr>
              <w:spacing w:after="0" w:line="240" w:lineRule="auto"/>
            </w:pPr>
            <w:r/>
            <w:r>
              <w:rPr>
                <w:b w:val="0"/>
                <w:i w:val="0"/>
                <w:sz w:val="15"/>
              </w:rPr>
              <w:t>Eastern Bay of Plenty</w:t>
            </w:r>
          </w:p>
        </w:tc>
        <w:tc>
          <w:tcPr>
            <w:tcW w:type="dxa" w:w="1474"/>
          </w:tcPr>
          <w:p>
            <w:pPr>
              <w:spacing w:after="0" w:line="240" w:lineRule="auto"/>
            </w:pPr>
            <w:r/>
            <w:r>
              <w:rPr>
                <w:b w:val="0"/>
                <w:i w:val="0"/>
                <w:sz w:val="15"/>
              </w:rPr>
              <w:t>Nirvana Farm Ltd (In Rec.)</w:t>
            </w:r>
          </w:p>
        </w:tc>
        <w:tc>
          <w:tcPr>
            <w:tcW w:type="dxa" w:w="510"/>
          </w:tcPr>
          <w:p>
            <w:pPr>
              <w:spacing w:after="0" w:line="240" w:lineRule="auto"/>
              <w:jc w:val="right"/>
            </w:pPr>
            <w:r/>
            <w:r>
              <w:rPr>
                <w:b w:val="0"/>
                <w:i w:val="0"/>
                <w:sz w:val="15"/>
              </w:rPr>
              <w:t>4</w:t>
            </w:r>
          </w:p>
        </w:tc>
        <w:tc>
          <w:tcPr>
            <w:tcW w:type="dxa" w:w="850"/>
          </w:tcPr>
          <w:p>
            <w:pPr>
              <w:spacing w:after="0" w:line="240" w:lineRule="auto"/>
              <w:jc w:val="right"/>
            </w:pPr>
            <w:r/>
            <w:r>
              <w:rPr>
                <w:b w:val="0"/>
                <w:i w:val="0"/>
                <w:sz w:val="15"/>
              </w:rPr>
              <w:t>446</w:t>
            </w:r>
          </w:p>
        </w:tc>
        <w:tc>
          <w:tcPr>
            <w:tcW w:type="dxa" w:w="794"/>
          </w:tcPr>
          <w:p>
            <w:pPr>
              <w:spacing w:after="0" w:line="240" w:lineRule="auto"/>
              <w:jc w:val="right"/>
            </w:pPr>
            <w:r/>
            <w:r>
              <w:rPr>
                <w:b w:val="0"/>
                <w:i w:val="0"/>
                <w:sz w:val="15"/>
              </w:rPr>
              <w:t>–</w:t>
            </w:r>
          </w:p>
        </w:tc>
        <w:tc>
          <w:tcPr>
            <w:tcW w:type="dxa" w:w="1134"/>
          </w:tcPr>
          <w:p>
            <w:pPr>
              <w:spacing w:after="0" w:line="240" w:lineRule="auto"/>
              <w:jc w:val="right"/>
            </w:pPr>
            <w:r/>
            <w:r>
              <w:rPr>
                <w:b w:val="0"/>
                <w:i w:val="0"/>
                <w:sz w:val="15"/>
              </w:rPr>
              <w:t>–</w:t>
            </w:r>
          </w:p>
        </w:tc>
        <w:tc>
          <w:tcPr>
            <w:tcW w:type="dxa" w:w="1984"/>
          </w:tcPr>
          <w:p>
            <w:pPr>
              <w:spacing w:after="0" w:line="240" w:lineRule="auto"/>
            </w:pPr>
            <w:r/>
            <w:r>
              <w:rPr>
                <w:b w:val="0"/>
                <w:i w:val="0"/>
                <w:sz w:val="15"/>
              </w:rPr>
              <w:t>Mānuka and native bush (honey)</w:t>
            </w:r>
          </w:p>
        </w:tc>
      </w:tr>
      <w:tr>
        <w:tc>
          <w:tcPr>
            <w:tcW w:type="dxa" w:w="1417"/>
            <w:shd w:val="clear" w:color="auto" w:fill="EDEBE3"/>
          </w:tcPr>
          <w:p>
            <w:pPr>
              <w:spacing w:after="0" w:line="240" w:lineRule="auto"/>
            </w:pPr>
            <w:r/>
            <w:r>
              <w:rPr>
                <w:b/>
                <w:i w:val="0"/>
                <w:sz w:val="15"/>
              </w:rPr>
              <w:t>Total – receivership sale</w:t>
            </w:r>
          </w:p>
        </w:tc>
        <w:tc>
          <w:tcPr>
            <w:tcW w:type="dxa" w:w="1474"/>
            <w:shd w:val="clear" w:color="auto" w:fill="EDEBE3"/>
          </w:tcPr>
          <w:p>
            <w:pPr>
              <w:spacing w:after="0" w:line="240" w:lineRule="auto"/>
            </w:pPr>
            <w:r/>
          </w:p>
        </w:tc>
        <w:tc>
          <w:tcPr>
            <w:tcW w:type="dxa" w:w="1474"/>
            <w:shd w:val="clear" w:color="auto" w:fill="EDEBE3"/>
          </w:tcPr>
          <w:p>
            <w:pPr>
              <w:spacing w:after="0" w:line="240" w:lineRule="auto"/>
            </w:pPr>
            <w:r/>
          </w:p>
        </w:tc>
        <w:tc>
          <w:tcPr>
            <w:tcW w:type="dxa" w:w="510"/>
            <w:shd w:val="clear" w:color="auto" w:fill="EDEBE3"/>
          </w:tcPr>
          <w:p>
            <w:pPr>
              <w:spacing w:after="0" w:line="240" w:lineRule="auto"/>
              <w:jc w:val="right"/>
            </w:pPr>
            <w:r/>
            <w:r>
              <w:rPr>
                <w:b/>
                <w:i w:val="0"/>
                <w:sz w:val="15"/>
              </w:rPr>
              <w:t>56</w:t>
            </w:r>
          </w:p>
        </w:tc>
        <w:tc>
          <w:tcPr>
            <w:tcW w:type="dxa" w:w="850"/>
            <w:shd w:val="clear" w:color="auto" w:fill="EDEBE3"/>
          </w:tcPr>
          <w:p>
            <w:pPr>
              <w:spacing w:after="0" w:line="240" w:lineRule="auto"/>
              <w:jc w:val="right"/>
            </w:pPr>
            <w:r/>
            <w:r>
              <w:rPr>
                <w:b/>
                <w:i w:val="0"/>
                <w:sz w:val="15"/>
              </w:rPr>
              <w:t>13,832</w:t>
            </w:r>
          </w:p>
        </w:tc>
        <w:tc>
          <w:tcPr>
            <w:tcW w:type="dxa" w:w="794"/>
            <w:shd w:val="clear" w:color="auto" w:fill="EDEBE3"/>
          </w:tcPr>
          <w:p>
            <w:pPr>
              <w:spacing w:after="0" w:line="240" w:lineRule="auto"/>
              <w:jc w:val="right"/>
            </w:pPr>
            <w:r/>
            <w:r>
              <w:rPr>
                <w:b/>
                <w:i w:val="0"/>
                <w:sz w:val="15"/>
              </w:rPr>
              <w:t>2,421</w:t>
            </w:r>
          </w:p>
        </w:tc>
        <w:tc>
          <w:tcPr>
            <w:tcW w:type="dxa" w:w="1134"/>
            <w:shd w:val="clear" w:color="auto" w:fill="EDEBE3"/>
          </w:tcPr>
          <w:p>
            <w:pPr>
              <w:spacing w:after="0" w:line="240" w:lineRule="auto"/>
              <w:jc w:val="right"/>
            </w:pPr>
            <w:r/>
            <w:r>
              <w:rPr>
                <w:b/>
                <w:i w:val="0"/>
                <w:sz w:val="15"/>
              </w:rPr>
              <w:t>2,740 / 149,552</w:t>
            </w:r>
          </w:p>
        </w:tc>
        <w:tc>
          <w:tcPr>
            <w:tcW w:type="dxa" w:w="1984"/>
            <w:shd w:val="clear" w:color="auto" w:fill="EDEBE3"/>
          </w:tcPr>
          <w:p>
            <w:pPr>
              <w:spacing w:after="0" w:line="240" w:lineRule="auto"/>
            </w:pPr>
            <w:r/>
          </w:p>
        </w:tc>
      </w:tr>
    </w:tbl>
    <w:p>
      <w:pPr>
        <w:spacing w:after="40"/>
      </w:pPr>
    </w:p>
    <w:p>
      <w:pPr>
        <w:shd w:val="clear" w:color="auto" w:fill="F2F0EA"/>
        <w:spacing w:after="160"/>
        <w:ind w:left="113"/>
      </w:pPr>
      <w:r>
        <w:rPr>
          <w:b/>
          <w:color w:val="6B6B60"/>
          <w:sz w:val="18"/>
        </w:rPr>
        <w:t xml:space="preserve">Internal note – not for the IM: </w:t>
      </w:r>
      <w:r>
        <w:rPr>
          <w:b w:val="0"/>
          <w:i w:val="0"/>
          <w:color w:val="3A3A35"/>
          <w:sz w:val="18"/>
        </w:rPr>
        <w:t>The Soldiers Road forestry right sits outside the title total. The 56-title total includes Staghaven's three retained titles (295.6 ha), added to the sale on 21 September 2026.</w:t>
      </w:r>
    </w:p>
    <w:p>
      <w:pPr>
        <w:spacing w:after="40"/>
      </w:pPr>
      <w:r>
        <w:rPr>
          <w:b/>
          <w:i w:val="0"/>
          <w:color w:val="717D4A"/>
        </w:rPr>
        <w:t>Available separately – owned by FR Waipuna Limited (not part of the receivership sale)</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1205"/>
        <w:gridCol w:w="1205"/>
        <w:gridCol w:w="1205"/>
        <w:gridCol w:w="1205"/>
        <w:gridCol w:w="1205"/>
        <w:gridCol w:w="1205"/>
        <w:gridCol w:w="1205"/>
        <w:gridCol w:w="1205"/>
      </w:tblGrid>
      <w:tr>
        <w:tc>
          <w:tcPr>
            <w:tcW w:type="dxa" w:w="1417"/>
            <w:shd w:val="clear" w:color="auto" w:fill="DBD2C3"/>
          </w:tcPr>
          <w:p>
            <w:pPr>
              <w:spacing w:after="0" w:line="240" w:lineRule="auto"/>
            </w:pPr>
            <w:r/>
            <w:r>
              <w:rPr>
                <w:b/>
                <w:i w:val="0"/>
                <w:sz w:val="15"/>
              </w:rPr>
              <w:t>Property</w:t>
            </w:r>
          </w:p>
        </w:tc>
        <w:tc>
          <w:tcPr>
            <w:tcW w:type="dxa" w:w="1474"/>
            <w:shd w:val="clear" w:color="auto" w:fill="DBD2C3"/>
          </w:tcPr>
          <w:p>
            <w:pPr>
              <w:spacing w:after="0" w:line="240" w:lineRule="auto"/>
            </w:pPr>
            <w:r/>
            <w:r>
              <w:rPr>
                <w:b/>
                <w:i w:val="0"/>
                <w:sz w:val="15"/>
              </w:rPr>
              <w:t>Location</w:t>
            </w:r>
          </w:p>
        </w:tc>
        <w:tc>
          <w:tcPr>
            <w:tcW w:type="dxa" w:w="1474"/>
            <w:shd w:val="clear" w:color="auto" w:fill="DBD2C3"/>
          </w:tcPr>
          <w:p>
            <w:pPr>
              <w:spacing w:after="0" w:line="240" w:lineRule="auto"/>
            </w:pPr>
            <w:r/>
            <w:r>
              <w:rPr>
                <w:b/>
                <w:i w:val="0"/>
                <w:sz w:val="15"/>
              </w:rPr>
              <w:t>Owner / basis</w:t>
            </w:r>
          </w:p>
        </w:tc>
        <w:tc>
          <w:tcPr>
            <w:tcW w:type="dxa" w:w="510"/>
            <w:shd w:val="clear" w:color="auto" w:fill="DBD2C3"/>
          </w:tcPr>
          <w:p>
            <w:pPr>
              <w:spacing w:after="0" w:line="240" w:lineRule="auto"/>
            </w:pPr>
            <w:r/>
            <w:r>
              <w:rPr>
                <w:b/>
                <w:i w:val="0"/>
                <w:sz w:val="15"/>
              </w:rPr>
              <w:t>Titles</w:t>
            </w:r>
          </w:p>
        </w:tc>
        <w:tc>
          <w:tcPr>
            <w:tcW w:type="dxa" w:w="850"/>
            <w:shd w:val="clear" w:color="auto" w:fill="DBD2C3"/>
          </w:tcPr>
          <w:p>
            <w:pPr>
              <w:spacing w:after="0" w:line="240" w:lineRule="auto"/>
            </w:pPr>
            <w:r/>
            <w:r>
              <w:rPr>
                <w:b/>
                <w:i w:val="0"/>
                <w:sz w:val="15"/>
              </w:rPr>
              <w:t>Area (ha)</w:t>
            </w:r>
          </w:p>
        </w:tc>
        <w:tc>
          <w:tcPr>
            <w:tcW w:type="dxa" w:w="794"/>
            <w:shd w:val="clear" w:color="auto" w:fill="DBD2C3"/>
          </w:tcPr>
          <w:p>
            <w:pPr>
              <w:spacing w:after="0" w:line="240" w:lineRule="auto"/>
            </w:pPr>
            <w:r/>
            <w:r>
              <w:rPr>
                <w:b/>
                <w:i w:val="0"/>
                <w:sz w:val="15"/>
              </w:rPr>
              <w:t>Radiata (ha)</w:t>
            </w:r>
          </w:p>
        </w:tc>
        <w:tc>
          <w:tcPr>
            <w:tcW w:type="dxa" w:w="1134"/>
            <w:shd w:val="clear" w:color="auto" w:fill="DBD2C3"/>
          </w:tcPr>
          <w:p>
            <w:pPr>
              <w:spacing w:after="0" w:line="240" w:lineRule="auto"/>
            </w:pPr>
            <w:r/>
            <w:r>
              <w:rPr>
                <w:b/>
                <w:i w:val="0"/>
                <w:sz w:val="15"/>
              </w:rPr>
              <w:t>ETS CAA ha / NZUs</w:t>
            </w:r>
          </w:p>
        </w:tc>
        <w:tc>
          <w:tcPr>
            <w:tcW w:type="dxa" w:w="1984"/>
            <w:shd w:val="clear" w:color="auto" w:fill="DBD2C3"/>
          </w:tcPr>
          <w:p>
            <w:pPr>
              <w:spacing w:after="0" w:line="240" w:lineRule="auto"/>
            </w:pPr>
            <w:r/>
            <w:r>
              <w:rPr>
                <w:b/>
                <w:i w:val="0"/>
                <w:sz w:val="15"/>
              </w:rPr>
              <w:t>Principal land use</w:t>
            </w:r>
          </w:p>
        </w:tc>
      </w:tr>
      <w:tr>
        <w:tc>
          <w:tcPr>
            <w:tcW w:type="dxa" w:w="1417"/>
          </w:tcPr>
          <w:p>
            <w:pPr>
              <w:spacing w:after="0" w:line="240" w:lineRule="auto"/>
            </w:pPr>
            <w:r/>
            <w:r>
              <w:rPr>
                <w:b w:val="0"/>
                <w:i w:val="0"/>
                <w:sz w:val="15"/>
              </w:rPr>
              <w:t>Magons</w:t>
            </w:r>
          </w:p>
        </w:tc>
        <w:tc>
          <w:tcPr>
            <w:tcW w:type="dxa" w:w="1474"/>
          </w:tcPr>
          <w:p>
            <w:pPr>
              <w:spacing w:after="0" w:line="240" w:lineRule="auto"/>
            </w:pPr>
            <w:r/>
            <w:r>
              <w:rPr>
                <w:b w:val="0"/>
                <w:i w:val="0"/>
                <w:sz w:val="15"/>
              </w:rPr>
              <w:t>Eastern Taranaki – Puniwhakau Road</w:t>
            </w:r>
          </w:p>
        </w:tc>
        <w:tc>
          <w:tcPr>
            <w:tcW w:type="dxa" w:w="1474"/>
          </w:tcPr>
          <w:p>
            <w:pPr>
              <w:spacing w:after="0" w:line="240" w:lineRule="auto"/>
            </w:pPr>
            <w:r/>
            <w:r>
              <w:rPr>
                <w:b w:val="0"/>
                <w:i w:val="0"/>
                <w:sz w:val="15"/>
              </w:rPr>
              <w:t>FR Waipuna Limited – separate negotiation through Searle Forestry</w:t>
            </w:r>
          </w:p>
        </w:tc>
        <w:tc>
          <w:tcPr>
            <w:tcW w:type="dxa" w:w="510"/>
          </w:tcPr>
          <w:p>
            <w:pPr>
              <w:spacing w:after="0" w:line="240" w:lineRule="auto"/>
              <w:jc w:val="right"/>
            </w:pPr>
            <w:r/>
            <w:r>
              <w:rPr>
                <w:b w:val="0"/>
                <w:i w:val="0"/>
                <w:sz w:val="15"/>
              </w:rPr>
              <w:t>7</w:t>
            </w:r>
          </w:p>
        </w:tc>
        <w:tc>
          <w:tcPr>
            <w:tcW w:type="dxa" w:w="850"/>
          </w:tcPr>
          <w:p>
            <w:pPr>
              <w:spacing w:after="0" w:line="240" w:lineRule="auto"/>
              <w:jc w:val="right"/>
            </w:pPr>
            <w:r/>
            <w:r>
              <w:rPr>
                <w:b w:val="0"/>
                <w:i w:val="0"/>
                <w:sz w:val="15"/>
              </w:rPr>
              <w:t>777</w:t>
            </w:r>
          </w:p>
        </w:tc>
        <w:tc>
          <w:tcPr>
            <w:tcW w:type="dxa" w:w="794"/>
          </w:tcPr>
          <w:p>
            <w:pPr>
              <w:spacing w:after="0" w:line="240" w:lineRule="auto"/>
              <w:jc w:val="right"/>
            </w:pPr>
            <w:r/>
            <w:r>
              <w:rPr>
                <w:b w:val="0"/>
                <w:i w:val="0"/>
                <w:sz w:val="15"/>
              </w:rPr>
              <w:t xml:space="preserve">~311 </w:t>
            </w:r>
            <w:r>
              <w:rPr>
                <w:b/>
                <w:i w:val="0"/>
                <w:color w:val="B01E1E"/>
                <w:sz w:val="15"/>
              </w:rPr>
              <w:t>[TBC]</w:t>
            </w:r>
          </w:p>
        </w:tc>
        <w:tc>
          <w:tcPr>
            <w:tcW w:type="dxa" w:w="1134"/>
          </w:tcPr>
          <w:p>
            <w:pPr>
              <w:spacing w:after="0" w:line="240" w:lineRule="auto"/>
              <w:jc w:val="right"/>
            </w:pPr>
            <w:r/>
            <w:r>
              <w:rPr>
                <w:b w:val="0"/>
                <w:i w:val="0"/>
                <w:sz w:val="15"/>
              </w:rPr>
              <w:t xml:space="preserve">~311 </w:t>
            </w:r>
            <w:r>
              <w:rPr>
                <w:b/>
                <w:i w:val="0"/>
                <w:color w:val="B01E1E"/>
                <w:sz w:val="15"/>
              </w:rPr>
              <w:t>[TBC]</w:t>
            </w:r>
          </w:p>
        </w:tc>
        <w:tc>
          <w:tcPr>
            <w:tcW w:type="dxa" w:w="1984"/>
          </w:tcPr>
          <w:p>
            <w:pPr>
              <w:spacing w:after="0" w:line="240" w:lineRule="auto"/>
            </w:pPr>
            <w:r/>
            <w:r>
              <w:rPr>
                <w:b w:val="0"/>
                <w:i w:val="0"/>
                <w:sz w:val="15"/>
              </w:rPr>
              <w:t>Forestry (Pinus radiata) and carbon · hill grazing – available separately</w:t>
            </w:r>
          </w:p>
        </w:tc>
      </w:tr>
      <w:tr>
        <w:tc>
          <w:tcPr>
            <w:tcW w:type="dxa" w:w="1417"/>
            <w:shd w:val="clear" w:color="auto" w:fill="FAF9F6"/>
          </w:tcPr>
          <w:p>
            <w:pPr>
              <w:spacing w:after="0" w:line="240" w:lineRule="auto"/>
            </w:pPr>
            <w:r/>
            <w:r>
              <w:rPr>
                <w:b w:val="0"/>
                <w:i w:val="0"/>
                <w:sz w:val="15"/>
              </w:rPr>
              <w:t>Staghaven – homestead title TNH4/170</w:t>
            </w:r>
          </w:p>
        </w:tc>
        <w:tc>
          <w:tcPr>
            <w:tcW w:type="dxa" w:w="1474"/>
            <w:shd w:val="clear" w:color="auto" w:fill="FAF9F6"/>
          </w:tcPr>
          <w:p>
            <w:pPr>
              <w:spacing w:after="0" w:line="240" w:lineRule="auto"/>
            </w:pPr>
            <w:r/>
            <w:r>
              <w:rPr>
                <w:b w:val="0"/>
                <w:i w:val="0"/>
                <w:sz w:val="15"/>
              </w:rPr>
              <w:t>Eastern Taranaki – 694 Mangaehu Road</w:t>
            </w:r>
          </w:p>
        </w:tc>
        <w:tc>
          <w:tcPr>
            <w:tcW w:type="dxa" w:w="1474"/>
            <w:shd w:val="clear" w:color="auto" w:fill="FAF9F6"/>
          </w:tcPr>
          <w:p>
            <w:pPr>
              <w:spacing w:after="0" w:line="240" w:lineRule="auto"/>
            </w:pPr>
            <w:r/>
            <w:r>
              <w:rPr>
                <w:b w:val="0"/>
                <w:i w:val="0"/>
                <w:sz w:val="15"/>
              </w:rPr>
              <w:t>FR Waipuna Limited – separate negotiation through Searle Forestry</w:t>
            </w:r>
          </w:p>
        </w:tc>
        <w:tc>
          <w:tcPr>
            <w:tcW w:type="dxa" w:w="510"/>
            <w:shd w:val="clear" w:color="auto" w:fill="FAF9F6"/>
          </w:tcPr>
          <w:p>
            <w:pPr>
              <w:spacing w:after="0" w:line="240" w:lineRule="auto"/>
              <w:jc w:val="right"/>
            </w:pPr>
            <w:r/>
            <w:r>
              <w:rPr>
                <w:b w:val="0"/>
                <w:i w:val="0"/>
                <w:sz w:val="15"/>
              </w:rPr>
              <w:t>1</w:t>
            </w:r>
          </w:p>
        </w:tc>
        <w:tc>
          <w:tcPr>
            <w:tcW w:type="dxa" w:w="850"/>
            <w:shd w:val="clear" w:color="auto" w:fill="FAF9F6"/>
          </w:tcPr>
          <w:p>
            <w:pPr>
              <w:spacing w:after="0" w:line="240" w:lineRule="auto"/>
              <w:jc w:val="right"/>
            </w:pPr>
            <w:r/>
            <w:r>
              <w:rPr>
                <w:b w:val="0"/>
                <w:i w:val="0"/>
                <w:sz w:val="15"/>
              </w:rPr>
              <w:t>156</w:t>
            </w:r>
          </w:p>
        </w:tc>
        <w:tc>
          <w:tcPr>
            <w:tcW w:type="dxa" w:w="794"/>
            <w:shd w:val="clear" w:color="auto" w:fill="FAF9F6"/>
          </w:tcPr>
          <w:p>
            <w:pPr>
              <w:spacing w:after="0" w:line="240" w:lineRule="auto"/>
              <w:jc w:val="right"/>
            </w:pPr>
            <w:r/>
            <w:r>
              <w:rPr>
                <w:b/>
                <w:i w:val="0"/>
                <w:color w:val="B01E1E"/>
                <w:sz w:val="15"/>
              </w:rPr>
              <w:t>[TBC]</w:t>
            </w:r>
          </w:p>
        </w:tc>
        <w:tc>
          <w:tcPr>
            <w:tcW w:type="dxa" w:w="1134"/>
            <w:shd w:val="clear" w:color="auto" w:fill="FAF9F6"/>
          </w:tcPr>
          <w:p>
            <w:pPr>
              <w:spacing w:after="0" w:line="240" w:lineRule="auto"/>
              <w:jc w:val="right"/>
            </w:pPr>
            <w:r/>
            <w:r>
              <w:rPr>
                <w:b/>
                <w:i w:val="0"/>
                <w:color w:val="B01E1E"/>
                <w:sz w:val="15"/>
              </w:rPr>
              <w:t>[TBC]</w:t>
            </w:r>
          </w:p>
        </w:tc>
        <w:tc>
          <w:tcPr>
            <w:tcW w:type="dxa" w:w="1984"/>
            <w:shd w:val="clear" w:color="auto" w:fill="FAF9F6"/>
          </w:tcPr>
          <w:p>
            <w:pPr>
              <w:spacing w:after="0" w:line="240" w:lineRule="auto"/>
            </w:pPr>
            <w:r/>
            <w:r>
              <w:rPr>
                <w:b w:val="0"/>
                <w:i w:val="0"/>
                <w:sz w:val="15"/>
              </w:rPr>
              <w:t xml:space="preserve">Homestead, farm buildings and hill country adjoining the Staghaven sale titles </w:t>
            </w:r>
            <w:r>
              <w:rPr>
                <w:b/>
                <w:i w:val="0"/>
                <w:color w:val="B01E1E"/>
                <w:sz w:val="15"/>
              </w:rPr>
              <w:t>[TBC]</w:t>
            </w:r>
          </w:p>
        </w:tc>
      </w:tr>
      <w:tr>
        <w:tc>
          <w:tcPr>
            <w:tcW w:type="dxa" w:w="1417"/>
            <w:shd w:val="clear" w:color="auto" w:fill="EDEBE3"/>
          </w:tcPr>
          <w:p>
            <w:pPr>
              <w:spacing w:after="0" w:line="240" w:lineRule="auto"/>
            </w:pPr>
            <w:r/>
            <w:r>
              <w:rPr>
                <w:b/>
                <w:i w:val="0"/>
                <w:sz w:val="15"/>
              </w:rPr>
              <w:t>Total – available separately</w:t>
            </w:r>
          </w:p>
        </w:tc>
        <w:tc>
          <w:tcPr>
            <w:tcW w:type="dxa" w:w="1474"/>
            <w:shd w:val="clear" w:color="auto" w:fill="EDEBE3"/>
          </w:tcPr>
          <w:p>
            <w:pPr>
              <w:spacing w:after="0" w:line="240" w:lineRule="auto"/>
            </w:pPr>
            <w:r/>
          </w:p>
        </w:tc>
        <w:tc>
          <w:tcPr>
            <w:tcW w:type="dxa" w:w="1474"/>
            <w:shd w:val="clear" w:color="auto" w:fill="EDEBE3"/>
          </w:tcPr>
          <w:p>
            <w:pPr>
              <w:spacing w:after="0" w:line="240" w:lineRule="auto"/>
            </w:pPr>
            <w:r/>
          </w:p>
        </w:tc>
        <w:tc>
          <w:tcPr>
            <w:tcW w:type="dxa" w:w="510"/>
            <w:shd w:val="clear" w:color="auto" w:fill="EDEBE3"/>
          </w:tcPr>
          <w:p>
            <w:pPr>
              <w:spacing w:after="0" w:line="240" w:lineRule="auto"/>
              <w:jc w:val="right"/>
            </w:pPr>
            <w:r/>
            <w:r>
              <w:rPr>
                <w:b/>
                <w:i w:val="0"/>
                <w:sz w:val="15"/>
              </w:rPr>
              <w:t>8</w:t>
            </w:r>
          </w:p>
        </w:tc>
        <w:tc>
          <w:tcPr>
            <w:tcW w:type="dxa" w:w="850"/>
            <w:shd w:val="clear" w:color="auto" w:fill="EDEBE3"/>
          </w:tcPr>
          <w:p>
            <w:pPr>
              <w:spacing w:after="0" w:line="240" w:lineRule="auto"/>
              <w:jc w:val="right"/>
            </w:pPr>
            <w:r/>
            <w:r>
              <w:rPr>
                <w:b/>
                <w:i w:val="0"/>
                <w:sz w:val="15"/>
              </w:rPr>
              <w:t>933</w:t>
            </w:r>
          </w:p>
        </w:tc>
        <w:tc>
          <w:tcPr>
            <w:tcW w:type="dxa" w:w="794"/>
            <w:shd w:val="clear" w:color="auto" w:fill="EDEBE3"/>
          </w:tcPr>
          <w:p>
            <w:pPr>
              <w:spacing w:after="0" w:line="240" w:lineRule="auto"/>
              <w:jc w:val="right"/>
            </w:pPr>
            <w:r/>
          </w:p>
        </w:tc>
        <w:tc>
          <w:tcPr>
            <w:tcW w:type="dxa" w:w="1134"/>
            <w:shd w:val="clear" w:color="auto" w:fill="EDEBE3"/>
          </w:tcPr>
          <w:p>
            <w:pPr>
              <w:spacing w:after="0" w:line="240" w:lineRule="auto"/>
              <w:jc w:val="right"/>
            </w:pPr>
            <w:r/>
          </w:p>
        </w:tc>
        <w:tc>
          <w:tcPr>
            <w:tcW w:type="dxa" w:w="1984"/>
            <w:shd w:val="clear" w:color="auto" w:fill="EDEBE3"/>
          </w:tcPr>
          <w:p>
            <w:pPr>
              <w:spacing w:after="0" w:line="240" w:lineRule="auto"/>
            </w:pPr>
            <w:r/>
          </w:p>
        </w:tc>
      </w:tr>
    </w:tbl>
    <w:p>
      <w:pPr>
        <w:spacing w:after="40"/>
      </w:pPr>
    </w:p>
    <w:p>
      <w:pPr>
        <w:shd w:val="clear" w:color="auto" w:fill="F2F0EA"/>
        <w:spacing w:after="160"/>
        <w:ind w:left="113"/>
      </w:pPr>
      <w:r>
        <w:rPr>
          <w:b/>
          <w:color w:val="6B6B60"/>
          <w:sz w:val="18"/>
        </w:rPr>
        <w:t xml:space="preserve">Internal note – not for the IM: </w:t>
      </w:r>
      <w:r>
        <w:rPr>
          <w:b w:val="0"/>
          <w:i w:val="0"/>
          <w:color w:val="3A3A35"/>
          <w:sz w:val="18"/>
        </w:rPr>
        <w:t>LINZ records FR Waipuna Limited as registered owner of all seven Magons titles and of TNH4/170 (Section 1 SO 13102, 156.24 ha, Stratford rating unit 1204110202). Confirm with the owner the basis on which both are offered before the IM is released.</w:t>
      </w:r>
    </w:p>
    <w:p>
      <w:pPr>
        <w:pStyle w:val="Heading2"/>
      </w:pPr>
      <w:r>
        <w:t>Investment highlights</w:t>
      </w:r>
    </w:p>
    <w:p>
      <w:pPr>
        <w:pStyle w:val="ListBullet"/>
        <w:spacing w:after="40"/>
      </w:pPr>
      <w:r>
        <w:rPr>
          <w:b w:val="0"/>
          <w:i w:val="0"/>
        </w:rPr>
        <w:t>Scale – 13,832 ha in 56 titles with a further 362 ha under forestry right, offered as a whole or in parts.</w:t>
      </w:r>
    </w:p>
    <w:p>
      <w:pPr>
        <w:pStyle w:val="ListBullet"/>
        <w:spacing w:after="40"/>
      </w:pPr>
      <w:r>
        <w:rPr>
          <w:b w:val="0"/>
          <w:i w:val="0"/>
        </w:rPr>
        <w:t xml:space="preserve">A young, ETS-registered radiata estate of about 2,597 ha, remediated in 2026 under an independent programme, with stand records and a third-party review to be provided </w:t>
      </w:r>
      <w:r>
        <w:rPr>
          <w:b/>
          <w:i w:val="0"/>
          <w:color w:val="B01E1E"/>
        </w:rPr>
        <w:t>[TBC]</w:t>
      </w:r>
      <w:r>
        <w:rPr>
          <w:b w:val="0"/>
          <w:i w:val="0"/>
        </w:rPr>
        <w:t>.</w:t>
      </w:r>
    </w:p>
    <w:p>
      <w:pPr>
        <w:pStyle w:val="ListBullet"/>
        <w:spacing w:after="40"/>
      </w:pPr>
      <w:r>
        <w:rPr>
          <w:b w:val="0"/>
          <w:i w:val="0"/>
        </w:rPr>
        <w:t>Registered carbon of 2,740 ha and a unit balance of roughly 149,552 NZUs, including two permanent-forest accounting areas to 2060.</w:t>
      </w:r>
    </w:p>
    <w:p>
      <w:pPr>
        <w:pStyle w:val="ListBullet"/>
        <w:spacing w:after="40"/>
      </w:pPr>
      <w:r>
        <w:rPr>
          <w:b w:val="0"/>
          <w:i w:val="0"/>
        </w:rPr>
        <w:t>About 9,190 ha of native bush and mānuka/kānuka – an established mānuka honey resource with 163 ha of registered indigenous carbon and roughly 3,190 ha of further indicatively eligible land.</w:t>
      </w:r>
    </w:p>
    <w:p>
      <w:pPr>
        <w:pStyle w:val="ListBullet"/>
        <w:spacing w:after="40"/>
      </w:pPr>
      <w:r>
        <w:rPr>
          <w:b w:val="0"/>
          <w:i w:val="0"/>
        </w:rPr>
        <w:t>Farming income and infrastructure – about 2,260 ha under a prepaid grazing lease, farm buildings and dwellings on the Waitōtara Valley blocks, and about 219 ha of further plantable open ground.</w:t>
      </w:r>
    </w:p>
    <w:p>
      <w:pPr>
        <w:pStyle w:val="ListBullet"/>
        <w:spacing w:after="40"/>
      </w:pPr>
      <w:r>
        <w:rPr>
          <w:b w:val="0"/>
          <w:i w:val="0"/>
        </w:rPr>
        <w:t>Freehold tenure on 54 titles; two renewable Crown leases with 27 years to run; road frontage to most blocks.</w:t>
      </w:r>
    </w:p>
    <w:p>
      <w:pPr>
        <w:pStyle w:val="ListBullet"/>
        <w:spacing w:after="40"/>
      </w:pPr>
      <w:r>
        <w:rPr>
          <w:b w:val="0"/>
          <w:i w:val="0"/>
        </w:rPr>
        <w:t>The option to add Magons (777 ha, about 311 ha of ETS-registered radiata) and the Staghaven homestead title (156 ha) from their third-party owner by separate negotiation, building an eastern Taranaki holding of more than 1,200 ha with Staghaven and Tims.</w:t>
      </w:r>
    </w:p>
    <w:p>
      <w:pPr>
        <w:sectPr>
          <w:footerReference w:type="default" r:id="rId32"/>
          <w:pgSz w:w="11906" w:h="16838"/>
          <w:pgMar w:top="1134" w:right="1134" w:bottom="1020" w:left="1134" w:header="720" w:footer="720" w:gutter="0"/>
          <w:cols w:space="720"/>
          <w:docGrid w:linePitch="360"/>
        </w:sectPr>
      </w:pPr>
    </w:p>
    <w:p>
      <w:pPr>
        <w:spacing w:after="20"/>
      </w:pPr>
      <w:r>
        <w:rPr>
          <w:b/>
          <w:i w:val="0"/>
          <w:color w:val="37441D"/>
          <w:sz w:val="18"/>
        </w:rPr>
        <w:t>Estate overview – all holdings – property map</w:t>
      </w:r>
    </w:p>
    <w:p>
      <w:pPr>
        <w:jc w:val="center"/>
      </w:pPr>
      <w:r>
        <w:drawing>
          <wp:inline xmlns:a="http://schemas.openxmlformats.org/drawingml/2006/main" xmlns:pic="http://schemas.openxmlformats.org/drawingml/2006/picture">
            <wp:extent cx="8784000" cy="6214958"/>
            <wp:docPr id="1" name="Picture 1"/>
            <wp:cNvGraphicFramePr>
              <a:graphicFrameLocks noChangeAspect="1"/>
            </wp:cNvGraphicFramePr>
            <a:graphic>
              <a:graphicData uri="http://schemas.openxmlformats.org/drawingml/2006/picture">
                <pic:pic>
                  <pic:nvPicPr>
                    <pic:cNvPr id="0" name="map_overview.jpg"/>
                    <pic:cNvPicPr/>
                  </pic:nvPicPr>
                  <pic:blipFill>
                    <a:blip r:embed="rId9"/>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1"/>
      </w:pPr>
      <w:r>
        <w:t>2  Forestry summary</w:t>
      </w:r>
    </w:p>
    <w:p>
      <w:r>
        <w:rPr>
          <w:b w:val="0"/>
          <w:i w:val="0"/>
        </w:rPr>
        <w:t xml:space="preserve">Eight blocks carry a Pinus radiata crop: Longreach, Back Farm, Front Farm and the Eastern Block in the Waitōtara Valley, Puau Road at Nukumaru, and Whangamomona, Staghaven and the Soldiers Road forestry right in eastern Taranaki. About 2,597 ha was planted between 2022 and 2024 at a target of 850 stems/ha (originally 1,100). Older exotic stands – the 1994–97 radiata in the permanent-forest accounting areas at Longreach and Back Farm, and the 2011 stands at Staghaven – add roughly 150 ha. The forest manager's stand records (species, planting year and net stocked area by stand) are awaited </w:t>
      </w:r>
      <w:r>
        <w:rPr>
          <w:b/>
          <w:i w:val="0"/>
          <w:color w:val="B01E1E"/>
        </w:rPr>
        <w:t>[TBC – Stand]</w:t>
      </w:r>
      <w:r>
        <w:rPr>
          <w:b w:val="0"/>
          <w:i w:val="0"/>
        </w:rPr>
        <w:t>; until they arrive, planting years are taken from the ETS carbon accounting area registrations.</w:t>
      </w:r>
    </w:p>
    <w:p>
      <w:pPr>
        <w:pStyle w:val="Heading2"/>
      </w:pPr>
      <w:r>
        <w:t>2.1  Planted estate and the 2026 programme</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1205"/>
        <w:gridCol w:w="1205"/>
        <w:gridCol w:w="1205"/>
        <w:gridCol w:w="1205"/>
        <w:gridCol w:w="1205"/>
        <w:gridCol w:w="1205"/>
        <w:gridCol w:w="1205"/>
        <w:gridCol w:w="1205"/>
      </w:tblGrid>
      <w:tr>
        <w:tc>
          <w:tcPr>
            <w:tcW w:type="dxa" w:w="1304"/>
            <w:shd w:val="clear" w:color="auto" w:fill="DBD2C3"/>
          </w:tcPr>
          <w:p>
            <w:pPr>
              <w:spacing w:after="0" w:line="240" w:lineRule="auto"/>
            </w:pPr>
            <w:r/>
            <w:r>
              <w:rPr>
                <w:b/>
                <w:i w:val="0"/>
                <w:sz w:val="15"/>
              </w:rPr>
              <w:t>Block</w:t>
            </w:r>
          </w:p>
        </w:tc>
        <w:tc>
          <w:tcPr>
            <w:tcW w:type="dxa" w:w="794"/>
            <w:shd w:val="clear" w:color="auto" w:fill="DBD2C3"/>
          </w:tcPr>
          <w:p>
            <w:pPr>
              <w:spacing w:after="0" w:line="240" w:lineRule="auto"/>
            </w:pPr>
            <w:r/>
            <w:r>
              <w:rPr>
                <w:b/>
                <w:i w:val="0"/>
                <w:sz w:val="15"/>
              </w:rPr>
              <w:t>Planted (ha)</w:t>
            </w:r>
          </w:p>
        </w:tc>
        <w:tc>
          <w:tcPr>
            <w:tcW w:type="dxa" w:w="907"/>
            <w:shd w:val="clear" w:color="auto" w:fill="DBD2C3"/>
          </w:tcPr>
          <w:p>
            <w:pPr>
              <w:spacing w:after="0" w:line="240" w:lineRule="auto"/>
            </w:pPr>
            <w:r/>
            <w:r>
              <w:rPr>
                <w:b/>
                <w:i w:val="0"/>
                <w:sz w:val="15"/>
              </w:rPr>
              <w:t>Adequate Apr 2026</w:t>
            </w:r>
          </w:p>
        </w:tc>
        <w:tc>
          <w:tcPr>
            <w:tcW w:type="dxa" w:w="794"/>
            <w:shd w:val="clear" w:color="auto" w:fill="DBD2C3"/>
          </w:tcPr>
          <w:p>
            <w:pPr>
              <w:spacing w:after="0" w:line="240" w:lineRule="auto"/>
            </w:pPr>
            <w:r/>
            <w:r>
              <w:rPr>
                <w:b/>
                <w:i w:val="0"/>
                <w:sz w:val="15"/>
              </w:rPr>
              <w:t>2026 replant</w:t>
            </w:r>
          </w:p>
        </w:tc>
        <w:tc>
          <w:tcPr>
            <w:tcW w:type="dxa" w:w="794"/>
            <w:shd w:val="clear" w:color="auto" w:fill="DBD2C3"/>
          </w:tcPr>
          <w:p>
            <w:pPr>
              <w:spacing w:after="0" w:line="240" w:lineRule="auto"/>
            </w:pPr>
            <w:r/>
            <w:r>
              <w:rPr>
                <w:b/>
                <w:i w:val="0"/>
                <w:sz w:val="15"/>
              </w:rPr>
              <w:t>2026 blanking</w:t>
            </w:r>
          </w:p>
        </w:tc>
        <w:tc>
          <w:tcPr>
            <w:tcW w:type="dxa" w:w="907"/>
            <w:shd w:val="clear" w:color="auto" w:fill="DBD2C3"/>
          </w:tcPr>
          <w:p>
            <w:pPr>
              <w:spacing w:after="0" w:line="240" w:lineRule="auto"/>
            </w:pPr>
            <w:r/>
            <w:r>
              <w:rPr>
                <w:b/>
                <w:i w:val="0"/>
                <w:sz w:val="15"/>
              </w:rPr>
              <w:t>Adequate after 2026</w:t>
            </w:r>
          </w:p>
        </w:tc>
        <w:tc>
          <w:tcPr>
            <w:tcW w:type="dxa" w:w="850"/>
            <w:shd w:val="clear" w:color="auto" w:fill="DBD2C3"/>
          </w:tcPr>
          <w:p>
            <w:pPr>
              <w:spacing w:after="0" w:line="240" w:lineRule="auto"/>
            </w:pPr>
            <w:r/>
            <w:r>
              <w:rPr>
                <w:b/>
                <w:i w:val="0"/>
                <w:sz w:val="15"/>
              </w:rPr>
              <w:t>Further plantable</w:t>
            </w:r>
          </w:p>
        </w:tc>
        <w:tc>
          <w:tcPr>
            <w:tcW w:type="dxa" w:w="3288"/>
            <w:shd w:val="clear" w:color="auto" w:fill="DBD2C3"/>
          </w:tcPr>
          <w:p>
            <w:pPr>
              <w:spacing w:after="0" w:line="240" w:lineRule="auto"/>
            </w:pPr>
            <w:r/>
            <w:r>
              <w:rPr>
                <w:b/>
                <w:i w:val="0"/>
                <w:sz w:val="15"/>
              </w:rPr>
              <w:t>Planting years (ETS CAAs)</w:t>
            </w:r>
          </w:p>
        </w:tc>
      </w:tr>
      <w:tr>
        <w:tc>
          <w:tcPr>
            <w:tcW w:type="dxa" w:w="1304"/>
          </w:tcPr>
          <w:p>
            <w:pPr>
              <w:spacing w:after="0" w:line="240" w:lineRule="auto"/>
            </w:pPr>
            <w:r/>
            <w:r>
              <w:rPr>
                <w:b w:val="0"/>
                <w:i w:val="0"/>
                <w:sz w:val="15"/>
              </w:rPr>
              <w:t>Longreach</w:t>
            </w:r>
          </w:p>
        </w:tc>
        <w:tc>
          <w:tcPr>
            <w:tcW w:type="dxa" w:w="794"/>
          </w:tcPr>
          <w:p>
            <w:pPr>
              <w:spacing w:after="0" w:line="240" w:lineRule="auto"/>
              <w:jc w:val="right"/>
            </w:pPr>
            <w:r/>
            <w:r>
              <w:rPr>
                <w:b w:val="0"/>
                <w:i w:val="0"/>
                <w:sz w:val="15"/>
              </w:rPr>
              <w:t>777</w:t>
            </w:r>
          </w:p>
        </w:tc>
        <w:tc>
          <w:tcPr>
            <w:tcW w:type="dxa" w:w="907"/>
          </w:tcPr>
          <w:p>
            <w:pPr>
              <w:spacing w:after="0" w:line="240" w:lineRule="auto"/>
              <w:jc w:val="right"/>
            </w:pPr>
            <w:r/>
            <w:r>
              <w:rPr>
                <w:b w:val="0"/>
                <w:i w:val="0"/>
                <w:sz w:val="15"/>
              </w:rPr>
              <w:t>691</w:t>
            </w:r>
          </w:p>
        </w:tc>
        <w:tc>
          <w:tcPr>
            <w:tcW w:type="dxa" w:w="794"/>
          </w:tcPr>
          <w:p>
            <w:pPr>
              <w:spacing w:after="0" w:line="240" w:lineRule="auto"/>
              <w:jc w:val="right"/>
            </w:pPr>
            <w:r/>
            <w:r>
              <w:rPr>
                <w:b w:val="0"/>
                <w:i w:val="0"/>
                <w:sz w:val="15"/>
              </w:rPr>
              <w:t>27</w:t>
            </w:r>
          </w:p>
        </w:tc>
        <w:tc>
          <w:tcPr>
            <w:tcW w:type="dxa" w:w="794"/>
          </w:tcPr>
          <w:p>
            <w:pPr>
              <w:spacing w:after="0" w:line="240" w:lineRule="auto"/>
              <w:jc w:val="right"/>
            </w:pPr>
            <w:r/>
            <w:r>
              <w:rPr>
                <w:b w:val="0"/>
                <w:i w:val="0"/>
                <w:sz w:val="15"/>
              </w:rPr>
              <w:t>59</w:t>
            </w:r>
          </w:p>
        </w:tc>
        <w:tc>
          <w:tcPr>
            <w:tcW w:type="dxa" w:w="907"/>
          </w:tcPr>
          <w:p>
            <w:pPr>
              <w:spacing w:after="0" w:line="240" w:lineRule="auto"/>
              <w:jc w:val="right"/>
            </w:pPr>
            <w:r/>
            <w:r>
              <w:rPr>
                <w:b w:val="0"/>
                <w:i w:val="0"/>
                <w:sz w:val="15"/>
              </w:rPr>
              <w:t>777</w:t>
            </w:r>
          </w:p>
        </w:tc>
        <w:tc>
          <w:tcPr>
            <w:tcW w:type="dxa" w:w="850"/>
          </w:tcPr>
          <w:p>
            <w:pPr>
              <w:spacing w:after="0" w:line="240" w:lineRule="auto"/>
              <w:jc w:val="right"/>
            </w:pPr>
            <w:r/>
            <w:r>
              <w:rPr>
                <w:b w:val="0"/>
                <w:i w:val="0"/>
                <w:sz w:val="15"/>
              </w:rPr>
              <w:t>–</w:t>
            </w:r>
          </w:p>
        </w:tc>
        <w:tc>
          <w:tcPr>
            <w:tcW w:type="dxa" w:w="3288"/>
          </w:tcPr>
          <w:p>
            <w:pPr>
              <w:spacing w:after="0" w:line="240" w:lineRule="auto"/>
            </w:pPr>
            <w:r/>
            <w:r>
              <w:rPr>
                <w:b w:val="0"/>
                <w:i w:val="0"/>
                <w:sz w:val="15"/>
              </w:rPr>
              <w:t>2024 (777 ha); permanent-forest CAA of 1995 and 1997 radiata (84 ha); 1995–2011 radiata (23 ha) and 1997–2007 indigenous (42 ha) under stock change</w:t>
            </w:r>
          </w:p>
        </w:tc>
      </w:tr>
      <w:tr>
        <w:tc>
          <w:tcPr>
            <w:tcW w:type="dxa" w:w="1304"/>
            <w:shd w:val="clear" w:color="auto" w:fill="FAF9F6"/>
          </w:tcPr>
          <w:p>
            <w:pPr>
              <w:spacing w:after="0" w:line="240" w:lineRule="auto"/>
            </w:pPr>
            <w:r/>
            <w:r>
              <w:rPr>
                <w:b w:val="0"/>
                <w:i w:val="0"/>
                <w:sz w:val="15"/>
              </w:rPr>
              <w:t>Back Farm</w:t>
            </w:r>
          </w:p>
        </w:tc>
        <w:tc>
          <w:tcPr>
            <w:tcW w:type="dxa" w:w="794"/>
            <w:shd w:val="clear" w:color="auto" w:fill="FAF9F6"/>
          </w:tcPr>
          <w:p>
            <w:pPr>
              <w:spacing w:after="0" w:line="240" w:lineRule="auto"/>
              <w:jc w:val="right"/>
            </w:pPr>
            <w:r/>
            <w:r>
              <w:rPr>
                <w:b w:val="0"/>
                <w:i w:val="0"/>
                <w:sz w:val="15"/>
              </w:rPr>
              <w:t>785</w:t>
            </w:r>
          </w:p>
        </w:tc>
        <w:tc>
          <w:tcPr>
            <w:tcW w:type="dxa" w:w="907"/>
            <w:shd w:val="clear" w:color="auto" w:fill="FAF9F6"/>
          </w:tcPr>
          <w:p>
            <w:pPr>
              <w:spacing w:after="0" w:line="240" w:lineRule="auto"/>
              <w:jc w:val="right"/>
            </w:pPr>
            <w:r/>
            <w:r>
              <w:rPr>
                <w:b w:val="0"/>
                <w:i w:val="0"/>
                <w:sz w:val="15"/>
              </w:rPr>
              <w:t>500</w:t>
            </w:r>
          </w:p>
        </w:tc>
        <w:tc>
          <w:tcPr>
            <w:tcW w:type="dxa" w:w="794"/>
            <w:shd w:val="clear" w:color="auto" w:fill="FAF9F6"/>
          </w:tcPr>
          <w:p>
            <w:pPr>
              <w:spacing w:after="0" w:line="240" w:lineRule="auto"/>
              <w:jc w:val="right"/>
            </w:pPr>
            <w:r/>
            <w:r>
              <w:rPr>
                <w:b w:val="0"/>
                <w:i w:val="0"/>
                <w:sz w:val="15"/>
              </w:rPr>
              <w:t>50</w:t>
            </w:r>
          </w:p>
        </w:tc>
        <w:tc>
          <w:tcPr>
            <w:tcW w:type="dxa" w:w="794"/>
            <w:shd w:val="clear" w:color="auto" w:fill="FAF9F6"/>
          </w:tcPr>
          <w:p>
            <w:pPr>
              <w:spacing w:after="0" w:line="240" w:lineRule="auto"/>
              <w:jc w:val="right"/>
            </w:pPr>
            <w:r/>
            <w:r>
              <w:rPr>
                <w:b w:val="0"/>
                <w:i w:val="0"/>
                <w:sz w:val="15"/>
              </w:rPr>
              <w:t>235</w:t>
            </w:r>
          </w:p>
        </w:tc>
        <w:tc>
          <w:tcPr>
            <w:tcW w:type="dxa" w:w="907"/>
            <w:shd w:val="clear" w:color="auto" w:fill="FAF9F6"/>
          </w:tcPr>
          <w:p>
            <w:pPr>
              <w:spacing w:after="0" w:line="240" w:lineRule="auto"/>
              <w:jc w:val="right"/>
            </w:pPr>
            <w:r/>
            <w:r>
              <w:rPr>
                <w:b w:val="0"/>
                <w:i w:val="0"/>
                <w:sz w:val="15"/>
              </w:rPr>
              <w:t>785</w:t>
            </w:r>
          </w:p>
        </w:tc>
        <w:tc>
          <w:tcPr>
            <w:tcW w:type="dxa" w:w="850"/>
            <w:shd w:val="clear" w:color="auto" w:fill="FAF9F6"/>
          </w:tcPr>
          <w:p>
            <w:pPr>
              <w:spacing w:after="0" w:line="240" w:lineRule="auto"/>
              <w:jc w:val="right"/>
            </w:pPr>
            <w:r/>
            <w:r>
              <w:rPr>
                <w:b w:val="0"/>
                <w:i w:val="0"/>
                <w:sz w:val="15"/>
              </w:rPr>
              <w:t>3.5</w:t>
            </w:r>
          </w:p>
        </w:tc>
        <w:tc>
          <w:tcPr>
            <w:tcW w:type="dxa" w:w="3288"/>
            <w:shd w:val="clear" w:color="auto" w:fill="FAF9F6"/>
          </w:tcPr>
          <w:p>
            <w:pPr>
              <w:spacing w:after="0" w:line="240" w:lineRule="auto"/>
            </w:pPr>
            <w:r/>
            <w:r>
              <w:rPr>
                <w:b w:val="0"/>
                <w:i w:val="0"/>
                <w:sz w:val="15"/>
              </w:rPr>
              <w:t>2022 (188 ha) and 2023 (437 ha) under the NFL forestry right; 2022 (144 ha) by Makowhai Station; 1994 radiata (66 ha) and indigenous within permanent-forest CAA 69</w:t>
            </w:r>
          </w:p>
        </w:tc>
      </w:tr>
      <w:tr>
        <w:tc>
          <w:tcPr>
            <w:tcW w:type="dxa" w:w="1304"/>
          </w:tcPr>
          <w:p>
            <w:pPr>
              <w:spacing w:after="0" w:line="240" w:lineRule="auto"/>
            </w:pPr>
            <w:r/>
            <w:r>
              <w:rPr>
                <w:b w:val="0"/>
                <w:i w:val="0"/>
                <w:sz w:val="15"/>
              </w:rPr>
              <w:t>Front Farm</w:t>
            </w:r>
          </w:p>
        </w:tc>
        <w:tc>
          <w:tcPr>
            <w:tcW w:type="dxa" w:w="794"/>
          </w:tcPr>
          <w:p>
            <w:pPr>
              <w:spacing w:after="0" w:line="240" w:lineRule="auto"/>
              <w:jc w:val="right"/>
            </w:pPr>
            <w:r/>
            <w:r>
              <w:rPr>
                <w:b w:val="0"/>
                <w:i w:val="0"/>
                <w:sz w:val="15"/>
              </w:rPr>
              <w:t>231</w:t>
            </w:r>
          </w:p>
        </w:tc>
        <w:tc>
          <w:tcPr>
            <w:tcW w:type="dxa" w:w="907"/>
          </w:tcPr>
          <w:p>
            <w:pPr>
              <w:spacing w:after="0" w:line="240" w:lineRule="auto"/>
              <w:jc w:val="right"/>
            </w:pPr>
            <w:r/>
            <w:r>
              <w:rPr>
                <w:b w:val="0"/>
                <w:i w:val="0"/>
                <w:sz w:val="15"/>
              </w:rPr>
              <w:t>184</w:t>
            </w:r>
          </w:p>
        </w:tc>
        <w:tc>
          <w:tcPr>
            <w:tcW w:type="dxa" w:w="794"/>
          </w:tcPr>
          <w:p>
            <w:pPr>
              <w:spacing w:after="0" w:line="240" w:lineRule="auto"/>
              <w:jc w:val="right"/>
            </w:pPr>
            <w:r/>
            <w:r>
              <w:rPr>
                <w:b w:val="0"/>
                <w:i w:val="0"/>
                <w:sz w:val="15"/>
              </w:rPr>
              <w:t>12</w:t>
            </w:r>
          </w:p>
        </w:tc>
        <w:tc>
          <w:tcPr>
            <w:tcW w:type="dxa" w:w="794"/>
          </w:tcPr>
          <w:p>
            <w:pPr>
              <w:spacing w:after="0" w:line="240" w:lineRule="auto"/>
              <w:jc w:val="right"/>
            </w:pPr>
            <w:r/>
            <w:r>
              <w:rPr>
                <w:b w:val="0"/>
                <w:i w:val="0"/>
                <w:sz w:val="15"/>
              </w:rPr>
              <w:t>35</w:t>
            </w:r>
          </w:p>
        </w:tc>
        <w:tc>
          <w:tcPr>
            <w:tcW w:type="dxa" w:w="907"/>
          </w:tcPr>
          <w:p>
            <w:pPr>
              <w:spacing w:after="0" w:line="240" w:lineRule="auto"/>
              <w:jc w:val="right"/>
            </w:pPr>
            <w:r/>
            <w:r>
              <w:rPr>
                <w:b w:val="0"/>
                <w:i w:val="0"/>
                <w:sz w:val="15"/>
              </w:rPr>
              <w:t>231</w:t>
            </w:r>
          </w:p>
        </w:tc>
        <w:tc>
          <w:tcPr>
            <w:tcW w:type="dxa" w:w="850"/>
          </w:tcPr>
          <w:p>
            <w:pPr>
              <w:spacing w:after="0" w:line="240" w:lineRule="auto"/>
              <w:jc w:val="right"/>
            </w:pPr>
            <w:r/>
            <w:r>
              <w:rPr>
                <w:b w:val="0"/>
                <w:i w:val="0"/>
                <w:sz w:val="15"/>
              </w:rPr>
              <w:t>140.0</w:t>
            </w:r>
          </w:p>
        </w:tc>
        <w:tc>
          <w:tcPr>
            <w:tcW w:type="dxa" w:w="3288"/>
          </w:tcPr>
          <w:p>
            <w:pPr>
              <w:spacing w:after="0" w:line="240" w:lineRule="auto"/>
            </w:pPr>
            <w:r/>
            <w:r>
              <w:rPr>
                <w:b w:val="0"/>
                <w:i w:val="0"/>
                <w:sz w:val="15"/>
              </w:rPr>
              <w:t>2023 (231 ha)</w:t>
            </w:r>
          </w:p>
        </w:tc>
      </w:tr>
      <w:tr>
        <w:tc>
          <w:tcPr>
            <w:tcW w:type="dxa" w:w="1304"/>
            <w:shd w:val="clear" w:color="auto" w:fill="FAF9F6"/>
          </w:tcPr>
          <w:p>
            <w:pPr>
              <w:spacing w:after="0" w:line="240" w:lineRule="auto"/>
            </w:pPr>
            <w:r/>
            <w:r>
              <w:rPr>
                <w:b w:val="0"/>
                <w:i w:val="0"/>
                <w:sz w:val="15"/>
              </w:rPr>
              <w:t>Eastern Block</w:t>
            </w:r>
          </w:p>
        </w:tc>
        <w:tc>
          <w:tcPr>
            <w:tcW w:type="dxa" w:w="794"/>
            <w:shd w:val="clear" w:color="auto" w:fill="FAF9F6"/>
          </w:tcPr>
          <w:p>
            <w:pPr>
              <w:spacing w:after="0" w:line="240" w:lineRule="auto"/>
              <w:jc w:val="right"/>
            </w:pPr>
            <w:r/>
            <w:r>
              <w:rPr>
                <w:b w:val="0"/>
                <w:i w:val="0"/>
                <w:sz w:val="15"/>
              </w:rPr>
              <w:t>138</w:t>
            </w:r>
          </w:p>
        </w:tc>
        <w:tc>
          <w:tcPr>
            <w:tcW w:type="dxa" w:w="907"/>
            <w:shd w:val="clear" w:color="auto" w:fill="FAF9F6"/>
          </w:tcPr>
          <w:p>
            <w:pPr>
              <w:spacing w:after="0" w:line="240" w:lineRule="auto"/>
              <w:jc w:val="right"/>
            </w:pPr>
            <w:r/>
            <w:r>
              <w:rPr>
                <w:b w:val="0"/>
                <w:i w:val="0"/>
                <w:sz w:val="15"/>
              </w:rPr>
              <w:t>0</w:t>
            </w:r>
          </w:p>
        </w:tc>
        <w:tc>
          <w:tcPr>
            <w:tcW w:type="dxa" w:w="794"/>
            <w:shd w:val="clear" w:color="auto" w:fill="FAF9F6"/>
          </w:tcPr>
          <w:p>
            <w:pPr>
              <w:spacing w:after="0" w:line="240" w:lineRule="auto"/>
              <w:jc w:val="right"/>
            </w:pPr>
            <w:r/>
            <w:r>
              <w:rPr>
                <w:b w:val="0"/>
                <w:i w:val="0"/>
                <w:sz w:val="15"/>
              </w:rPr>
              <w:t>18</w:t>
            </w:r>
          </w:p>
        </w:tc>
        <w:tc>
          <w:tcPr>
            <w:tcW w:type="dxa" w:w="794"/>
            <w:shd w:val="clear" w:color="auto" w:fill="FAF9F6"/>
          </w:tcPr>
          <w:p>
            <w:pPr>
              <w:spacing w:after="0" w:line="240" w:lineRule="auto"/>
              <w:jc w:val="right"/>
            </w:pPr>
            <w:r/>
            <w:r>
              <w:rPr>
                <w:b w:val="0"/>
                <w:i w:val="0"/>
                <w:sz w:val="15"/>
              </w:rPr>
              <w:t>20</w:t>
            </w:r>
          </w:p>
        </w:tc>
        <w:tc>
          <w:tcPr>
            <w:tcW w:type="dxa" w:w="907"/>
            <w:shd w:val="clear" w:color="auto" w:fill="FAF9F6"/>
          </w:tcPr>
          <w:p>
            <w:pPr>
              <w:spacing w:after="0" w:line="240" w:lineRule="auto"/>
              <w:jc w:val="right"/>
            </w:pPr>
            <w:r/>
            <w:r>
              <w:rPr>
                <w:b w:val="0"/>
                <w:i w:val="0"/>
                <w:sz w:val="15"/>
              </w:rPr>
              <w:t>38</w:t>
            </w:r>
          </w:p>
        </w:tc>
        <w:tc>
          <w:tcPr>
            <w:tcW w:type="dxa" w:w="850"/>
            <w:shd w:val="clear" w:color="auto" w:fill="FAF9F6"/>
          </w:tcPr>
          <w:p>
            <w:pPr>
              <w:spacing w:after="0" w:line="240" w:lineRule="auto"/>
              <w:jc w:val="right"/>
            </w:pPr>
            <w:r/>
            <w:r>
              <w:rPr>
                <w:b w:val="0"/>
                <w:i w:val="0"/>
                <w:sz w:val="15"/>
              </w:rPr>
              <w:t>70.0</w:t>
            </w:r>
          </w:p>
        </w:tc>
        <w:tc>
          <w:tcPr>
            <w:tcW w:type="dxa" w:w="3288"/>
            <w:shd w:val="clear" w:color="auto" w:fill="FAF9F6"/>
          </w:tcPr>
          <w:p>
            <w:pPr>
              <w:spacing w:after="0" w:line="240" w:lineRule="auto"/>
            </w:pPr>
            <w:r/>
            <w:r>
              <w:rPr>
                <w:b w:val="0"/>
                <w:i w:val="0"/>
                <w:sz w:val="15"/>
              </w:rPr>
              <w:t>2023 (25 ha) and 2024 (86 ha) registered; about 138 ha planted 2023–24 including the failed stand 1.03</w:t>
            </w:r>
          </w:p>
        </w:tc>
      </w:tr>
      <w:tr>
        <w:tc>
          <w:tcPr>
            <w:tcW w:type="dxa" w:w="1304"/>
          </w:tcPr>
          <w:p>
            <w:pPr>
              <w:spacing w:after="0" w:line="240" w:lineRule="auto"/>
            </w:pPr>
            <w:r/>
            <w:r>
              <w:rPr>
                <w:b w:val="0"/>
                <w:i w:val="0"/>
                <w:sz w:val="15"/>
              </w:rPr>
              <w:t>Puau Road</w:t>
            </w:r>
          </w:p>
        </w:tc>
        <w:tc>
          <w:tcPr>
            <w:tcW w:type="dxa" w:w="794"/>
          </w:tcPr>
          <w:p>
            <w:pPr>
              <w:spacing w:after="0" w:line="240" w:lineRule="auto"/>
              <w:jc w:val="right"/>
            </w:pPr>
            <w:r/>
            <w:r>
              <w:rPr>
                <w:b w:val="0"/>
                <w:i w:val="0"/>
                <w:sz w:val="15"/>
              </w:rPr>
              <w:t>52</w:t>
            </w:r>
          </w:p>
        </w:tc>
        <w:tc>
          <w:tcPr>
            <w:tcW w:type="dxa" w:w="907"/>
          </w:tcPr>
          <w:p>
            <w:pPr>
              <w:spacing w:after="0" w:line="240" w:lineRule="auto"/>
              <w:jc w:val="right"/>
            </w:pPr>
            <w:r/>
            <w:r>
              <w:rPr>
                <w:b w:val="0"/>
                <w:i w:val="0"/>
                <w:sz w:val="15"/>
              </w:rPr>
              <w:t>26</w:t>
            </w:r>
          </w:p>
        </w:tc>
        <w:tc>
          <w:tcPr>
            <w:tcW w:type="dxa" w:w="794"/>
          </w:tcPr>
          <w:p>
            <w:pPr>
              <w:spacing w:after="0" w:line="240" w:lineRule="auto"/>
              <w:jc w:val="right"/>
            </w:pPr>
            <w:r/>
            <w:r>
              <w:rPr>
                <w:b w:val="0"/>
                <w:i w:val="0"/>
                <w:sz w:val="15"/>
              </w:rPr>
              <w:t>17</w:t>
            </w:r>
          </w:p>
        </w:tc>
        <w:tc>
          <w:tcPr>
            <w:tcW w:type="dxa" w:w="794"/>
          </w:tcPr>
          <w:p>
            <w:pPr>
              <w:spacing w:after="0" w:line="240" w:lineRule="auto"/>
              <w:jc w:val="right"/>
            </w:pPr>
            <w:r/>
            <w:r>
              <w:rPr>
                <w:b w:val="0"/>
                <w:i w:val="0"/>
                <w:sz w:val="15"/>
              </w:rPr>
              <w:t>8</w:t>
            </w:r>
          </w:p>
        </w:tc>
        <w:tc>
          <w:tcPr>
            <w:tcW w:type="dxa" w:w="907"/>
          </w:tcPr>
          <w:p>
            <w:pPr>
              <w:spacing w:after="0" w:line="240" w:lineRule="auto"/>
              <w:jc w:val="right"/>
            </w:pPr>
            <w:r/>
            <w:r>
              <w:rPr>
                <w:b w:val="0"/>
                <w:i w:val="0"/>
                <w:sz w:val="15"/>
              </w:rPr>
              <w:t>52</w:t>
            </w:r>
          </w:p>
        </w:tc>
        <w:tc>
          <w:tcPr>
            <w:tcW w:type="dxa" w:w="850"/>
          </w:tcPr>
          <w:p>
            <w:pPr>
              <w:spacing w:after="0" w:line="240" w:lineRule="auto"/>
              <w:jc w:val="right"/>
            </w:pPr>
            <w:r/>
            <w:r>
              <w:rPr>
                <w:b w:val="0"/>
                <w:i w:val="0"/>
                <w:sz w:val="15"/>
              </w:rPr>
              <w:t>–</w:t>
            </w:r>
          </w:p>
        </w:tc>
        <w:tc>
          <w:tcPr>
            <w:tcW w:type="dxa" w:w="3288"/>
          </w:tcPr>
          <w:p>
            <w:pPr>
              <w:spacing w:after="0" w:line="240" w:lineRule="auto"/>
            </w:pPr>
            <w:r/>
            <w:r>
              <w:rPr>
                <w:b w:val="0"/>
                <w:i w:val="0"/>
                <w:sz w:val="15"/>
              </w:rPr>
              <w:t>2024 (52 ha)</w:t>
            </w:r>
          </w:p>
        </w:tc>
      </w:tr>
      <w:tr>
        <w:tc>
          <w:tcPr>
            <w:tcW w:type="dxa" w:w="1304"/>
            <w:shd w:val="clear" w:color="auto" w:fill="FAF9F6"/>
          </w:tcPr>
          <w:p>
            <w:pPr>
              <w:spacing w:after="0" w:line="240" w:lineRule="auto"/>
            </w:pPr>
            <w:r/>
            <w:r>
              <w:rPr>
                <w:b w:val="0"/>
                <w:i w:val="0"/>
                <w:sz w:val="15"/>
              </w:rPr>
              <w:t>Whangamomona</w:t>
            </w:r>
          </w:p>
        </w:tc>
        <w:tc>
          <w:tcPr>
            <w:tcW w:type="dxa" w:w="794"/>
            <w:shd w:val="clear" w:color="auto" w:fill="FAF9F6"/>
          </w:tcPr>
          <w:p>
            <w:pPr>
              <w:spacing w:after="0" w:line="240" w:lineRule="auto"/>
              <w:jc w:val="right"/>
            </w:pPr>
            <w:r/>
            <w:r>
              <w:rPr>
                <w:b w:val="0"/>
                <w:i w:val="0"/>
                <w:sz w:val="15"/>
              </w:rPr>
              <w:t>355</w:t>
            </w:r>
          </w:p>
        </w:tc>
        <w:tc>
          <w:tcPr>
            <w:tcW w:type="dxa" w:w="907"/>
            <w:shd w:val="clear" w:color="auto" w:fill="FAF9F6"/>
          </w:tcPr>
          <w:p>
            <w:pPr>
              <w:spacing w:after="0" w:line="240" w:lineRule="auto"/>
              <w:jc w:val="right"/>
            </w:pPr>
            <w:r/>
            <w:r>
              <w:rPr>
                <w:b w:val="0"/>
                <w:i w:val="0"/>
                <w:sz w:val="15"/>
              </w:rPr>
              <w:t>139</w:t>
            </w:r>
          </w:p>
        </w:tc>
        <w:tc>
          <w:tcPr>
            <w:tcW w:type="dxa" w:w="794"/>
            <w:shd w:val="clear" w:color="auto" w:fill="FAF9F6"/>
          </w:tcPr>
          <w:p>
            <w:pPr>
              <w:spacing w:after="0" w:line="240" w:lineRule="auto"/>
              <w:jc w:val="right"/>
            </w:pPr>
            <w:r/>
            <w:r>
              <w:rPr>
                <w:b w:val="0"/>
                <w:i w:val="0"/>
                <w:sz w:val="15"/>
              </w:rPr>
              <w:t>194</w:t>
            </w:r>
          </w:p>
        </w:tc>
        <w:tc>
          <w:tcPr>
            <w:tcW w:type="dxa" w:w="794"/>
            <w:shd w:val="clear" w:color="auto" w:fill="FAF9F6"/>
          </w:tcPr>
          <w:p>
            <w:pPr>
              <w:spacing w:after="0" w:line="240" w:lineRule="auto"/>
              <w:jc w:val="right"/>
            </w:pPr>
            <w:r/>
            <w:r>
              <w:rPr>
                <w:b w:val="0"/>
                <w:i w:val="0"/>
                <w:sz w:val="15"/>
              </w:rPr>
              <w:t>22</w:t>
            </w:r>
          </w:p>
        </w:tc>
        <w:tc>
          <w:tcPr>
            <w:tcW w:type="dxa" w:w="907"/>
            <w:shd w:val="clear" w:color="auto" w:fill="FAF9F6"/>
          </w:tcPr>
          <w:p>
            <w:pPr>
              <w:spacing w:after="0" w:line="240" w:lineRule="auto"/>
              <w:jc w:val="right"/>
            </w:pPr>
            <w:r/>
            <w:r>
              <w:rPr>
                <w:b w:val="0"/>
                <w:i w:val="0"/>
                <w:sz w:val="15"/>
              </w:rPr>
              <w:t>355</w:t>
            </w:r>
          </w:p>
        </w:tc>
        <w:tc>
          <w:tcPr>
            <w:tcW w:type="dxa" w:w="850"/>
            <w:shd w:val="clear" w:color="auto" w:fill="FAF9F6"/>
          </w:tcPr>
          <w:p>
            <w:pPr>
              <w:spacing w:after="0" w:line="240" w:lineRule="auto"/>
              <w:jc w:val="right"/>
            </w:pPr>
            <w:r/>
            <w:r>
              <w:rPr>
                <w:b w:val="0"/>
                <w:i w:val="0"/>
                <w:sz w:val="15"/>
              </w:rPr>
              <w:t>5.5</w:t>
            </w:r>
          </w:p>
        </w:tc>
        <w:tc>
          <w:tcPr>
            <w:tcW w:type="dxa" w:w="3288"/>
            <w:shd w:val="clear" w:color="auto" w:fill="FAF9F6"/>
          </w:tcPr>
          <w:p>
            <w:pPr>
              <w:spacing w:after="0" w:line="240" w:lineRule="auto"/>
            </w:pPr>
            <w:r/>
            <w:r>
              <w:rPr>
                <w:b w:val="0"/>
                <w:i w:val="0"/>
                <w:sz w:val="15"/>
              </w:rPr>
              <w:t>2024 (355 ha)</w:t>
            </w:r>
          </w:p>
        </w:tc>
      </w:tr>
      <w:tr>
        <w:tc>
          <w:tcPr>
            <w:tcW w:type="dxa" w:w="1304"/>
          </w:tcPr>
          <w:p>
            <w:pPr>
              <w:spacing w:after="0" w:line="240" w:lineRule="auto"/>
            </w:pPr>
            <w:r/>
            <w:r>
              <w:rPr>
                <w:b w:val="0"/>
                <w:i w:val="0"/>
                <w:sz w:val="15"/>
              </w:rPr>
              <w:t>Staghaven</w:t>
            </w:r>
          </w:p>
        </w:tc>
        <w:tc>
          <w:tcPr>
            <w:tcW w:type="dxa" w:w="794"/>
          </w:tcPr>
          <w:p>
            <w:pPr>
              <w:spacing w:after="0" w:line="240" w:lineRule="auto"/>
              <w:jc w:val="right"/>
            </w:pPr>
            <w:r/>
            <w:r>
              <w:rPr>
                <w:b w:val="0"/>
                <w:i w:val="0"/>
                <w:sz w:val="15"/>
              </w:rPr>
              <w:t>83</w:t>
            </w:r>
          </w:p>
        </w:tc>
        <w:tc>
          <w:tcPr>
            <w:tcW w:type="dxa" w:w="907"/>
          </w:tcPr>
          <w:p>
            <w:pPr>
              <w:spacing w:after="0" w:line="240" w:lineRule="auto"/>
              <w:jc w:val="right"/>
            </w:pPr>
            <w:r/>
            <w:r>
              <w:rPr>
                <w:b w:val="0"/>
                <w:i w:val="0"/>
                <w:sz w:val="15"/>
              </w:rPr>
              <w:t>83</w:t>
            </w:r>
          </w:p>
        </w:tc>
        <w:tc>
          <w:tcPr>
            <w:tcW w:type="dxa" w:w="794"/>
          </w:tcPr>
          <w:p>
            <w:pPr>
              <w:spacing w:after="0" w:line="240" w:lineRule="auto"/>
              <w:jc w:val="right"/>
            </w:pPr>
            <w:r/>
            <w:r>
              <w:rPr>
                <w:b w:val="0"/>
                <w:i w:val="0"/>
                <w:sz w:val="15"/>
              </w:rPr>
              <w:t>0</w:t>
            </w:r>
          </w:p>
        </w:tc>
        <w:tc>
          <w:tcPr>
            <w:tcW w:type="dxa" w:w="794"/>
          </w:tcPr>
          <w:p>
            <w:pPr>
              <w:spacing w:after="0" w:line="240" w:lineRule="auto"/>
              <w:jc w:val="right"/>
            </w:pPr>
            <w:r/>
            <w:r>
              <w:rPr>
                <w:b w:val="0"/>
                <w:i w:val="0"/>
                <w:sz w:val="15"/>
              </w:rPr>
              <w:t>0</w:t>
            </w:r>
          </w:p>
        </w:tc>
        <w:tc>
          <w:tcPr>
            <w:tcW w:type="dxa" w:w="907"/>
          </w:tcPr>
          <w:p>
            <w:pPr>
              <w:spacing w:after="0" w:line="240" w:lineRule="auto"/>
              <w:jc w:val="right"/>
            </w:pPr>
            <w:r/>
            <w:r>
              <w:rPr>
                <w:b w:val="0"/>
                <w:i w:val="0"/>
                <w:sz w:val="15"/>
              </w:rPr>
              <w:t>83</w:t>
            </w:r>
          </w:p>
        </w:tc>
        <w:tc>
          <w:tcPr>
            <w:tcW w:type="dxa" w:w="850"/>
          </w:tcPr>
          <w:p>
            <w:pPr>
              <w:spacing w:after="0" w:line="240" w:lineRule="auto"/>
              <w:jc w:val="right"/>
            </w:pPr>
            <w:r/>
            <w:r>
              <w:rPr>
                <w:b w:val="0"/>
                <w:i w:val="0"/>
                <w:sz w:val="15"/>
              </w:rPr>
              <w:t>–</w:t>
            </w:r>
          </w:p>
        </w:tc>
        <w:tc>
          <w:tcPr>
            <w:tcW w:type="dxa" w:w="3288"/>
          </w:tcPr>
          <w:p>
            <w:pPr>
              <w:spacing w:after="0" w:line="240" w:lineRule="auto"/>
            </w:pPr>
            <w:r/>
            <w:r>
              <w:rPr>
                <w:b w:val="0"/>
                <w:i w:val="0"/>
                <w:sz w:val="15"/>
              </w:rPr>
              <w:t>2024 (83 ha); 2011 radiata (22 ha) under stock change; older exotic about 27 ha</w:t>
            </w:r>
          </w:p>
        </w:tc>
      </w:tr>
      <w:tr>
        <w:tc>
          <w:tcPr>
            <w:tcW w:type="dxa" w:w="1304"/>
            <w:shd w:val="clear" w:color="auto" w:fill="FAF9F6"/>
          </w:tcPr>
          <w:p>
            <w:pPr>
              <w:spacing w:after="0" w:line="240" w:lineRule="auto"/>
            </w:pPr>
            <w:r/>
            <w:r>
              <w:rPr>
                <w:b w:val="0"/>
                <w:i w:val="0"/>
                <w:sz w:val="15"/>
              </w:rPr>
              <w:t>Soldiers Road (forestry right)</w:t>
            </w:r>
          </w:p>
        </w:tc>
        <w:tc>
          <w:tcPr>
            <w:tcW w:type="dxa" w:w="794"/>
            <w:shd w:val="clear" w:color="auto" w:fill="FAF9F6"/>
          </w:tcPr>
          <w:p>
            <w:pPr>
              <w:spacing w:after="0" w:line="240" w:lineRule="auto"/>
              <w:jc w:val="right"/>
            </w:pPr>
            <w:r/>
            <w:r>
              <w:rPr>
                <w:b w:val="0"/>
                <w:i w:val="0"/>
                <w:sz w:val="15"/>
              </w:rPr>
              <w:t>176</w:t>
            </w:r>
          </w:p>
        </w:tc>
        <w:tc>
          <w:tcPr>
            <w:tcW w:type="dxa" w:w="907"/>
            <w:shd w:val="clear" w:color="auto" w:fill="FAF9F6"/>
          </w:tcPr>
          <w:p>
            <w:pPr>
              <w:spacing w:after="0" w:line="240" w:lineRule="auto"/>
              <w:jc w:val="right"/>
            </w:pPr>
            <w:r/>
            <w:r>
              <w:rPr>
                <w:b w:val="0"/>
                <w:i w:val="0"/>
                <w:sz w:val="15"/>
              </w:rPr>
              <w:t>50</w:t>
            </w:r>
          </w:p>
        </w:tc>
        <w:tc>
          <w:tcPr>
            <w:tcW w:type="dxa" w:w="794"/>
            <w:shd w:val="clear" w:color="auto" w:fill="FAF9F6"/>
          </w:tcPr>
          <w:p>
            <w:pPr>
              <w:spacing w:after="0" w:line="240" w:lineRule="auto"/>
              <w:jc w:val="right"/>
            </w:pPr>
            <w:r/>
            <w:r>
              <w:rPr>
                <w:b w:val="0"/>
                <w:i w:val="0"/>
                <w:sz w:val="15"/>
              </w:rPr>
              <w:t>88</w:t>
            </w:r>
          </w:p>
        </w:tc>
        <w:tc>
          <w:tcPr>
            <w:tcW w:type="dxa" w:w="794"/>
            <w:shd w:val="clear" w:color="auto" w:fill="FAF9F6"/>
          </w:tcPr>
          <w:p>
            <w:pPr>
              <w:spacing w:after="0" w:line="240" w:lineRule="auto"/>
              <w:jc w:val="right"/>
            </w:pPr>
            <w:r/>
            <w:r>
              <w:rPr>
                <w:b w:val="0"/>
                <w:i w:val="0"/>
                <w:sz w:val="15"/>
              </w:rPr>
              <w:t>38</w:t>
            </w:r>
          </w:p>
        </w:tc>
        <w:tc>
          <w:tcPr>
            <w:tcW w:type="dxa" w:w="907"/>
            <w:shd w:val="clear" w:color="auto" w:fill="FAF9F6"/>
          </w:tcPr>
          <w:p>
            <w:pPr>
              <w:spacing w:after="0" w:line="240" w:lineRule="auto"/>
              <w:jc w:val="right"/>
            </w:pPr>
            <w:r/>
            <w:r>
              <w:rPr>
                <w:b w:val="0"/>
                <w:i w:val="0"/>
                <w:sz w:val="15"/>
              </w:rPr>
              <w:t>176</w:t>
            </w:r>
          </w:p>
        </w:tc>
        <w:tc>
          <w:tcPr>
            <w:tcW w:type="dxa" w:w="850"/>
            <w:shd w:val="clear" w:color="auto" w:fill="FAF9F6"/>
          </w:tcPr>
          <w:p>
            <w:pPr>
              <w:spacing w:after="0" w:line="240" w:lineRule="auto"/>
              <w:jc w:val="right"/>
            </w:pPr>
            <w:r/>
            <w:r>
              <w:rPr>
                <w:b w:val="0"/>
                <w:i w:val="0"/>
                <w:sz w:val="15"/>
              </w:rPr>
              <w:t>–</w:t>
            </w:r>
          </w:p>
        </w:tc>
        <w:tc>
          <w:tcPr>
            <w:tcW w:type="dxa" w:w="3288"/>
            <w:shd w:val="clear" w:color="auto" w:fill="FAF9F6"/>
          </w:tcPr>
          <w:p>
            <w:pPr>
              <w:spacing w:after="0" w:line="240" w:lineRule="auto"/>
            </w:pPr>
            <w:r/>
            <w:r>
              <w:rPr>
                <w:b w:val="0"/>
                <w:i w:val="0"/>
                <w:sz w:val="15"/>
              </w:rPr>
              <w:t>2023 (176 ha)</w:t>
            </w:r>
          </w:p>
        </w:tc>
      </w:tr>
      <w:tr>
        <w:tc>
          <w:tcPr>
            <w:tcW w:type="dxa" w:w="1304"/>
            <w:shd w:val="clear" w:color="auto" w:fill="EDEBE3"/>
          </w:tcPr>
          <w:p>
            <w:pPr>
              <w:spacing w:after="0" w:line="240" w:lineRule="auto"/>
            </w:pPr>
            <w:r/>
            <w:r>
              <w:rPr>
                <w:b/>
                <w:i w:val="0"/>
                <w:sz w:val="15"/>
              </w:rPr>
              <w:t>Total</w:t>
            </w:r>
          </w:p>
        </w:tc>
        <w:tc>
          <w:tcPr>
            <w:tcW w:type="dxa" w:w="794"/>
            <w:shd w:val="clear" w:color="auto" w:fill="EDEBE3"/>
          </w:tcPr>
          <w:p>
            <w:pPr>
              <w:spacing w:after="0" w:line="240" w:lineRule="auto"/>
              <w:jc w:val="right"/>
            </w:pPr>
            <w:r/>
            <w:r>
              <w:rPr>
                <w:b/>
                <w:i w:val="0"/>
                <w:sz w:val="15"/>
              </w:rPr>
              <w:t>2,597</w:t>
            </w:r>
          </w:p>
        </w:tc>
        <w:tc>
          <w:tcPr>
            <w:tcW w:type="dxa" w:w="907"/>
            <w:shd w:val="clear" w:color="auto" w:fill="EDEBE3"/>
          </w:tcPr>
          <w:p>
            <w:pPr>
              <w:spacing w:after="0" w:line="240" w:lineRule="auto"/>
              <w:jc w:val="right"/>
            </w:pPr>
            <w:r/>
            <w:r>
              <w:rPr>
                <w:b/>
                <w:i w:val="0"/>
                <w:sz w:val="15"/>
              </w:rPr>
              <w:t>1,673</w:t>
            </w:r>
          </w:p>
        </w:tc>
        <w:tc>
          <w:tcPr>
            <w:tcW w:type="dxa" w:w="794"/>
            <w:shd w:val="clear" w:color="auto" w:fill="EDEBE3"/>
          </w:tcPr>
          <w:p>
            <w:pPr>
              <w:spacing w:after="0" w:line="240" w:lineRule="auto"/>
              <w:jc w:val="right"/>
            </w:pPr>
            <w:r/>
            <w:r>
              <w:rPr>
                <w:b/>
                <w:i w:val="0"/>
                <w:sz w:val="15"/>
              </w:rPr>
              <w:t>406</w:t>
            </w:r>
          </w:p>
        </w:tc>
        <w:tc>
          <w:tcPr>
            <w:tcW w:type="dxa" w:w="794"/>
            <w:shd w:val="clear" w:color="auto" w:fill="EDEBE3"/>
          </w:tcPr>
          <w:p>
            <w:pPr>
              <w:spacing w:after="0" w:line="240" w:lineRule="auto"/>
              <w:jc w:val="right"/>
            </w:pPr>
            <w:r/>
            <w:r>
              <w:rPr>
                <w:b/>
                <w:i w:val="0"/>
                <w:sz w:val="15"/>
              </w:rPr>
              <w:t>417</w:t>
            </w:r>
          </w:p>
        </w:tc>
        <w:tc>
          <w:tcPr>
            <w:tcW w:type="dxa" w:w="907"/>
            <w:shd w:val="clear" w:color="auto" w:fill="EDEBE3"/>
          </w:tcPr>
          <w:p>
            <w:pPr>
              <w:spacing w:after="0" w:line="240" w:lineRule="auto"/>
              <w:jc w:val="right"/>
            </w:pPr>
            <w:r/>
            <w:r>
              <w:rPr>
                <w:b/>
                <w:i w:val="0"/>
                <w:sz w:val="15"/>
              </w:rPr>
              <w:t>2,497</w:t>
            </w:r>
          </w:p>
        </w:tc>
        <w:tc>
          <w:tcPr>
            <w:tcW w:type="dxa" w:w="850"/>
            <w:shd w:val="clear" w:color="auto" w:fill="EDEBE3"/>
          </w:tcPr>
          <w:p>
            <w:pPr>
              <w:spacing w:after="0" w:line="240" w:lineRule="auto"/>
              <w:jc w:val="right"/>
            </w:pPr>
            <w:r/>
            <w:r>
              <w:rPr>
                <w:b/>
                <w:i w:val="0"/>
                <w:sz w:val="15"/>
              </w:rPr>
              <w:t>219.0</w:t>
            </w:r>
          </w:p>
        </w:tc>
        <w:tc>
          <w:tcPr>
            <w:tcW w:type="dxa" w:w="3288"/>
            <w:shd w:val="clear" w:color="auto" w:fill="EDEBE3"/>
          </w:tcPr>
          <w:p>
            <w:pPr>
              <w:spacing w:after="0" w:line="240" w:lineRule="auto"/>
            </w:pPr>
            <w:r/>
          </w:p>
        </w:tc>
      </w:tr>
    </w:tbl>
    <w:p>
      <w:pPr>
        <w:spacing w:after="40"/>
      </w:pPr>
    </w:p>
    <w:p>
      <w:r>
        <w:rPr>
          <w:b w:val="0"/>
          <w:i w:val="0"/>
        </w:rPr>
        <w:t xml:space="preserve">Stand's ground survey (23 April 2026) checked every planted block against Interpine's tree-detection report. Survival was highest at Longreach and Staghaven and weakest on the 2022 Back Farm plantings, Whangamomona's stands 2.01 and 2.02, the Eastern Block's stand 1.03 and the Soldiers Road fingers of planting, mainly from deer, goat and pig browsing and stock incursion before the pest-control programme took effect; Dothistroma needle blight was noted on about 150 ha at Whangamomona. The 2026 programme (replanting about $0.82 million and blanking about $0.78 million at Stand's estimates) has been carried out and completion certification, survival plots and an independent third-party review are to be placed in the data room </w:t>
      </w:r>
      <w:r>
        <w:rPr>
          <w:b/>
          <w:i w:val="0"/>
          <w:color w:val="B01E1E"/>
        </w:rPr>
        <w:t>[TBC – confirm completion]</w:t>
      </w:r>
      <w:r>
        <w:rPr>
          <w:b w:val="0"/>
          <w:i w:val="0"/>
        </w:rPr>
        <w:t>.</w:t>
      </w:r>
    </w:p>
    <w:p>
      <w:pPr>
        <w:jc w:val="center"/>
      </w:pPr>
      <w:r>
        <w:drawing>
          <wp:inline xmlns:a="http://schemas.openxmlformats.org/drawingml/2006/main" xmlns:pic="http://schemas.openxmlformats.org/drawingml/2006/picture">
            <wp:extent cx="6120000" cy="3988929"/>
            <wp:docPr id="2" name="Picture 2"/>
            <wp:cNvGraphicFramePr>
              <a:graphicFrameLocks noChangeAspect="1"/>
            </wp:cNvGraphicFramePr>
            <a:graphic>
              <a:graphicData uri="http://schemas.openxmlformats.org/drawingml/2006/picture">
                <pic:pic>
                  <pic:nvPicPr>
                    <pic:cNvPr id="0" name="chart3_planted_crop.png"/>
                    <pic:cNvPicPr/>
                  </pic:nvPicPr>
                  <pic:blipFill>
                    <a:blip r:embed="rId10"/>
                    <a:stretch>
                      <a:fillRect/>
                    </a:stretch>
                  </pic:blipFill>
                  <pic:spPr>
                    <a:xfrm>
                      <a:off x="0" y="0"/>
                      <a:ext cx="6120000" cy="3988929"/>
                    </a:xfrm>
                    <a:prstGeom prst="rect"/>
                  </pic:spPr>
                </pic:pic>
              </a:graphicData>
            </a:graphic>
          </wp:inline>
        </w:drawing>
      </w:r>
    </w:p>
    <w:p>
      <w:pPr>
        <w:spacing w:after="200"/>
        <w:jc w:val="center"/>
      </w:pPr>
      <w:r>
        <w:rPr>
          <w:b w:val="0"/>
          <w:i/>
          <w:color w:val="6B6B60"/>
          <w:sz w:val="17"/>
        </w:rPr>
        <w:t>Figure 1 – Planted radiata by block: adequately stocked at April 2026, 2026 replanting and blanking, and the resulting adequately stocked area.</w:t>
      </w:r>
    </w:p>
    <w:p>
      <w:pPr>
        <w:pStyle w:val="ListBullet"/>
        <w:spacing w:after="40"/>
      </w:pPr>
      <w:r>
        <w:rPr>
          <w:b w:val="0"/>
          <w:i w:val="0"/>
        </w:rPr>
        <w:t>Pest control: a culling programme was carried out before planting on Back Farm, the Eastern Block and Soldiers Road, and constant pest control (including aerial shooting) continues across the planted blocks to keep the pressure on deer, goats and pigs.</w:t>
      </w:r>
    </w:p>
    <w:p>
      <w:pPr>
        <w:pStyle w:val="ListBullet"/>
        <w:spacing w:after="40"/>
      </w:pPr>
      <w:r>
        <w:rPr>
          <w:b w:val="0"/>
          <w:i w:val="0"/>
        </w:rPr>
        <w:t>Stock exclusion and fencing are required where grazing continues beside the stands (Longreach stand 1.03, Front Farm, Whangamomona).</w:t>
      </w:r>
    </w:p>
    <w:p>
      <w:pPr>
        <w:pStyle w:val="ListBullet"/>
        <w:spacing w:after="40"/>
      </w:pPr>
      <w:r>
        <w:rPr>
          <w:b w:val="0"/>
          <w:i w:val="0"/>
        </w:rPr>
        <w:t>About 219 ha of further plantable open ground has been identified on Front Farm (140 ha), the Eastern Block (70 ha), Whangamomona (5.5 ha) and Back Farm (3.5 ha).</w:t>
      </w:r>
    </w:p>
    <w:p>
      <w:pPr>
        <w:pStyle w:val="ListBullet"/>
        <w:spacing w:after="40"/>
      </w:pPr>
      <w:r>
        <w:rPr>
          <w:b w:val="0"/>
          <w:i w:val="0"/>
        </w:rPr>
        <w:t xml:space="preserve">Planting records, completion certificates and the stand records will be supplied by the forest manager </w:t>
      </w:r>
      <w:r>
        <w:rPr>
          <w:b/>
          <w:i w:val="0"/>
          <w:color w:val="B01E1E"/>
        </w:rPr>
        <w:t>[TBC – Stand]</w:t>
      </w:r>
      <w:r>
        <w:rPr>
          <w:b w:val="0"/>
          <w:i w:val="0"/>
        </w:rPr>
        <w:t>.</w:t>
      </w:r>
    </w:p>
    <w:p>
      <w:pPr>
        <w:pStyle w:val="Heading2"/>
      </w:pPr>
      <w:r>
        <w:t>2.2  Emissions Trading Scheme and carbon</w:t>
      </w:r>
    </w:p>
    <w:p>
      <w:r>
        <w:rPr>
          <w:b w:val="0"/>
          <w:i w:val="0"/>
        </w:rPr>
        <w:t>Two participants hold the registered forest land: Nirvana Farm Limited (NZ-10251, MPI holding P-054526) as landowner on its own titles and as forestry-right holder over the Makowhai Trust land and Soldiers Road, and Makowhai Station (NZ-1181, P-054188) as landowner on part of the Makowhai Trust titles. The MPI land status reports (NFL 28 September 2026; Makowhai Station August 2025) record 2,740 ha of carbon accounting areas with a combined unit balance of 149,552 NZUs. All of it is on land in the sale except four small Soldiers Road CAAs (9.6 ha, 59 NZUs) registered under the forestry right.</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1928"/>
        <w:gridCol w:w="1928"/>
        <w:gridCol w:w="1928"/>
        <w:gridCol w:w="1928"/>
        <w:gridCol w:w="1928"/>
      </w:tblGrid>
      <w:tr>
        <w:tc>
          <w:tcPr>
            <w:tcW w:type="dxa" w:w="1474"/>
            <w:shd w:val="clear" w:color="auto" w:fill="DBD2C3"/>
          </w:tcPr>
          <w:p>
            <w:pPr>
              <w:spacing w:after="0" w:line="240" w:lineRule="auto"/>
            </w:pPr>
            <w:r/>
            <w:r>
              <w:rPr>
                <w:b/>
                <w:i w:val="0"/>
                <w:sz w:val="16"/>
              </w:rPr>
              <w:t>Block</w:t>
            </w:r>
          </w:p>
        </w:tc>
        <w:tc>
          <w:tcPr>
            <w:tcW w:type="dxa" w:w="567"/>
            <w:shd w:val="clear" w:color="auto" w:fill="DBD2C3"/>
          </w:tcPr>
          <w:p>
            <w:pPr>
              <w:spacing w:after="0" w:line="240" w:lineRule="auto"/>
            </w:pPr>
            <w:r/>
            <w:r>
              <w:rPr>
                <w:b/>
                <w:i w:val="0"/>
                <w:sz w:val="16"/>
              </w:rPr>
              <w:t>CAAs</w:t>
            </w:r>
          </w:p>
        </w:tc>
        <w:tc>
          <w:tcPr>
            <w:tcW w:type="dxa" w:w="1077"/>
            <w:shd w:val="clear" w:color="auto" w:fill="DBD2C3"/>
          </w:tcPr>
          <w:p>
            <w:pPr>
              <w:spacing w:after="0" w:line="240" w:lineRule="auto"/>
            </w:pPr>
            <w:r/>
            <w:r>
              <w:rPr>
                <w:b/>
                <w:i w:val="0"/>
                <w:sz w:val="16"/>
              </w:rPr>
              <w:t>Registered ha</w:t>
            </w:r>
          </w:p>
        </w:tc>
        <w:tc>
          <w:tcPr>
            <w:tcW w:type="dxa" w:w="1247"/>
            <w:shd w:val="clear" w:color="auto" w:fill="DBD2C3"/>
          </w:tcPr>
          <w:p>
            <w:pPr>
              <w:spacing w:after="0" w:line="240" w:lineRule="auto"/>
            </w:pPr>
            <w:r/>
            <w:r>
              <w:rPr>
                <w:b/>
                <w:i w:val="0"/>
                <w:sz w:val="16"/>
              </w:rPr>
              <w:t>Unit balance (NZUs)</w:t>
            </w:r>
          </w:p>
        </w:tc>
        <w:tc>
          <w:tcPr>
            <w:tcW w:type="dxa" w:w="5272"/>
            <w:shd w:val="clear" w:color="auto" w:fill="DBD2C3"/>
          </w:tcPr>
          <w:p>
            <w:pPr>
              <w:spacing w:after="0" w:line="240" w:lineRule="auto"/>
            </w:pPr>
            <w:r/>
            <w:r>
              <w:rPr>
                <w:b/>
                <w:i w:val="0"/>
                <w:sz w:val="16"/>
              </w:rPr>
              <w:t>Accounting and age classes</w:t>
            </w:r>
          </w:p>
        </w:tc>
      </w:tr>
      <w:tr>
        <w:tc>
          <w:tcPr>
            <w:tcW w:type="dxa" w:w="1474"/>
          </w:tcPr>
          <w:p>
            <w:pPr>
              <w:spacing w:after="0" w:line="240" w:lineRule="auto"/>
            </w:pPr>
            <w:r/>
            <w:r>
              <w:rPr>
                <w:b w:val="0"/>
                <w:i w:val="0"/>
                <w:sz w:val="16"/>
              </w:rPr>
              <w:t>Longreach</w:t>
            </w:r>
          </w:p>
        </w:tc>
        <w:tc>
          <w:tcPr>
            <w:tcW w:type="dxa" w:w="567"/>
          </w:tcPr>
          <w:p>
            <w:pPr>
              <w:spacing w:after="0" w:line="240" w:lineRule="auto"/>
              <w:jc w:val="right"/>
            </w:pPr>
            <w:r/>
            <w:r>
              <w:rPr>
                <w:b w:val="0"/>
                <w:i w:val="0"/>
                <w:sz w:val="16"/>
              </w:rPr>
              <w:t>38</w:t>
            </w:r>
          </w:p>
        </w:tc>
        <w:tc>
          <w:tcPr>
            <w:tcW w:type="dxa" w:w="1077"/>
          </w:tcPr>
          <w:p>
            <w:pPr>
              <w:spacing w:after="0" w:line="240" w:lineRule="auto"/>
              <w:jc w:val="right"/>
            </w:pPr>
            <w:r/>
            <w:r>
              <w:rPr>
                <w:b w:val="0"/>
                <w:i w:val="0"/>
                <w:sz w:val="16"/>
              </w:rPr>
              <w:t>873.2</w:t>
            </w:r>
          </w:p>
        </w:tc>
        <w:tc>
          <w:tcPr>
            <w:tcW w:type="dxa" w:w="1247"/>
          </w:tcPr>
          <w:p>
            <w:pPr>
              <w:spacing w:after="0" w:line="240" w:lineRule="auto"/>
              <w:jc w:val="right"/>
            </w:pPr>
            <w:r/>
            <w:r>
              <w:rPr>
                <w:b w:val="0"/>
                <w:i w:val="0"/>
                <w:sz w:val="16"/>
              </w:rPr>
              <w:t>63,819</w:t>
            </w:r>
          </w:p>
        </w:tc>
        <w:tc>
          <w:tcPr>
            <w:tcW w:type="dxa" w:w="5272"/>
          </w:tcPr>
          <w:p>
            <w:pPr>
              <w:spacing w:after="0" w:line="240" w:lineRule="auto"/>
            </w:pPr>
            <w:r/>
            <w:r>
              <w:rPr>
                <w:b w:val="0"/>
                <w:i w:val="0"/>
                <w:sz w:val="16"/>
              </w:rPr>
              <w:t>Stock change – indigenous 42 ha (5,272 NZUs); Stock change – pine 23 ha (6,800 NZUs); Permanent (PP89) 84 ha (49,574 NZUs); Averaging – 2024 724 ha (2,173 NZUs)</w:t>
            </w:r>
          </w:p>
        </w:tc>
      </w:tr>
      <w:tr>
        <w:tc>
          <w:tcPr>
            <w:tcW w:type="dxa" w:w="1474"/>
            <w:shd w:val="clear" w:color="auto" w:fill="FAF9F6"/>
          </w:tcPr>
          <w:p>
            <w:pPr>
              <w:spacing w:after="0" w:line="240" w:lineRule="auto"/>
            </w:pPr>
            <w:r/>
            <w:r>
              <w:rPr>
                <w:b w:val="0"/>
                <w:i w:val="0"/>
                <w:sz w:val="16"/>
              </w:rPr>
              <w:t>Back Farm</w:t>
            </w:r>
          </w:p>
        </w:tc>
        <w:tc>
          <w:tcPr>
            <w:tcW w:type="dxa" w:w="567"/>
            <w:shd w:val="clear" w:color="auto" w:fill="FAF9F6"/>
          </w:tcPr>
          <w:p>
            <w:pPr>
              <w:spacing w:after="0" w:line="240" w:lineRule="auto"/>
              <w:jc w:val="right"/>
            </w:pPr>
            <w:r/>
            <w:r>
              <w:rPr>
                <w:b w:val="0"/>
                <w:i w:val="0"/>
                <w:sz w:val="16"/>
              </w:rPr>
              <w:t>42</w:t>
            </w:r>
          </w:p>
        </w:tc>
        <w:tc>
          <w:tcPr>
            <w:tcW w:type="dxa" w:w="1077"/>
            <w:shd w:val="clear" w:color="auto" w:fill="FAF9F6"/>
          </w:tcPr>
          <w:p>
            <w:pPr>
              <w:spacing w:after="0" w:line="240" w:lineRule="auto"/>
              <w:jc w:val="right"/>
            </w:pPr>
            <w:r/>
            <w:r>
              <w:rPr>
                <w:b w:val="0"/>
                <w:i w:val="0"/>
                <w:sz w:val="16"/>
              </w:rPr>
              <w:t>952.5</w:t>
            </w:r>
          </w:p>
        </w:tc>
        <w:tc>
          <w:tcPr>
            <w:tcW w:type="dxa" w:w="1247"/>
            <w:shd w:val="clear" w:color="auto" w:fill="FAF9F6"/>
          </w:tcPr>
          <w:p>
            <w:pPr>
              <w:spacing w:after="0" w:line="240" w:lineRule="auto"/>
              <w:jc w:val="right"/>
            </w:pPr>
            <w:r/>
            <w:r>
              <w:rPr>
                <w:b w:val="0"/>
                <w:i w:val="0"/>
                <w:sz w:val="16"/>
              </w:rPr>
              <w:t>64,769</w:t>
            </w:r>
          </w:p>
        </w:tc>
        <w:tc>
          <w:tcPr>
            <w:tcW w:type="dxa" w:w="5272"/>
            <w:shd w:val="clear" w:color="auto" w:fill="FAF9F6"/>
          </w:tcPr>
          <w:p>
            <w:pPr>
              <w:spacing w:after="0" w:line="240" w:lineRule="auto"/>
            </w:pPr>
            <w:r/>
            <w:r>
              <w:rPr>
                <w:b w:val="0"/>
                <w:i w:val="0"/>
                <w:sz w:val="16"/>
              </w:rPr>
              <w:t>Averaging – 2022 144 ha (4,371 NZUs); Permanent (PP89) 183 ha (52,466 NZUs); Averaging – 2023 437 ha (2,862 NZUs); Averaging – 2022 188 ha (5,070 NZUs)</w:t>
            </w:r>
          </w:p>
        </w:tc>
      </w:tr>
      <w:tr>
        <w:tc>
          <w:tcPr>
            <w:tcW w:type="dxa" w:w="1474"/>
          </w:tcPr>
          <w:p>
            <w:pPr>
              <w:spacing w:after="0" w:line="240" w:lineRule="auto"/>
            </w:pPr>
            <w:r/>
            <w:r>
              <w:rPr>
                <w:b w:val="0"/>
                <w:i w:val="0"/>
                <w:sz w:val="16"/>
              </w:rPr>
              <w:t>Front Farm</w:t>
            </w:r>
          </w:p>
        </w:tc>
        <w:tc>
          <w:tcPr>
            <w:tcW w:type="dxa" w:w="567"/>
          </w:tcPr>
          <w:p>
            <w:pPr>
              <w:spacing w:after="0" w:line="240" w:lineRule="auto"/>
              <w:jc w:val="right"/>
            </w:pPr>
            <w:r/>
            <w:r>
              <w:rPr>
                <w:b w:val="0"/>
                <w:i w:val="0"/>
                <w:sz w:val="16"/>
              </w:rPr>
              <w:t>6</w:t>
            </w:r>
          </w:p>
        </w:tc>
        <w:tc>
          <w:tcPr>
            <w:tcW w:type="dxa" w:w="1077"/>
          </w:tcPr>
          <w:p>
            <w:pPr>
              <w:spacing w:after="0" w:line="240" w:lineRule="auto"/>
              <w:jc w:val="right"/>
            </w:pPr>
            <w:r/>
            <w:r>
              <w:rPr>
                <w:b w:val="0"/>
                <w:i w:val="0"/>
                <w:sz w:val="16"/>
              </w:rPr>
              <w:t>235.8</w:t>
            </w:r>
          </w:p>
        </w:tc>
        <w:tc>
          <w:tcPr>
            <w:tcW w:type="dxa" w:w="1247"/>
          </w:tcPr>
          <w:p>
            <w:pPr>
              <w:spacing w:after="0" w:line="240" w:lineRule="auto"/>
              <w:jc w:val="right"/>
            </w:pPr>
            <w:r/>
            <w:r>
              <w:rPr>
                <w:b w:val="0"/>
                <w:i w:val="0"/>
                <w:sz w:val="16"/>
              </w:rPr>
              <w:t>1,766</w:t>
            </w:r>
          </w:p>
        </w:tc>
        <w:tc>
          <w:tcPr>
            <w:tcW w:type="dxa" w:w="5272"/>
          </w:tcPr>
          <w:p>
            <w:pPr>
              <w:spacing w:after="0" w:line="240" w:lineRule="auto"/>
            </w:pPr>
            <w:r/>
            <w:r>
              <w:rPr>
                <w:b w:val="0"/>
                <w:i w:val="0"/>
                <w:sz w:val="16"/>
              </w:rPr>
              <w:t>Averaging – 2023 34 ha (262 NZUs); Averaging – 2023 202 ha (1,504 NZUs)</w:t>
            </w:r>
          </w:p>
        </w:tc>
      </w:tr>
      <w:tr>
        <w:tc>
          <w:tcPr>
            <w:tcW w:type="dxa" w:w="1474"/>
            <w:shd w:val="clear" w:color="auto" w:fill="FAF9F6"/>
          </w:tcPr>
          <w:p>
            <w:pPr>
              <w:spacing w:after="0" w:line="240" w:lineRule="auto"/>
            </w:pPr>
            <w:r/>
            <w:r>
              <w:rPr>
                <w:b w:val="0"/>
                <w:i w:val="0"/>
                <w:sz w:val="16"/>
              </w:rPr>
              <w:t>Eastern Block</w:t>
            </w:r>
          </w:p>
        </w:tc>
        <w:tc>
          <w:tcPr>
            <w:tcW w:type="dxa" w:w="567"/>
            <w:shd w:val="clear" w:color="auto" w:fill="FAF9F6"/>
          </w:tcPr>
          <w:p>
            <w:pPr>
              <w:spacing w:after="0" w:line="240" w:lineRule="auto"/>
              <w:jc w:val="right"/>
            </w:pPr>
            <w:r/>
            <w:r>
              <w:rPr>
                <w:b w:val="0"/>
                <w:i w:val="0"/>
                <w:sz w:val="16"/>
              </w:rPr>
              <w:t>15</w:t>
            </w:r>
          </w:p>
        </w:tc>
        <w:tc>
          <w:tcPr>
            <w:tcW w:type="dxa" w:w="1077"/>
            <w:shd w:val="clear" w:color="auto" w:fill="FAF9F6"/>
          </w:tcPr>
          <w:p>
            <w:pPr>
              <w:spacing w:after="0" w:line="240" w:lineRule="auto"/>
              <w:jc w:val="right"/>
            </w:pPr>
            <w:r/>
            <w:r>
              <w:rPr>
                <w:b w:val="0"/>
                <w:i w:val="0"/>
                <w:sz w:val="16"/>
              </w:rPr>
              <w:t>111.2</w:t>
            </w:r>
          </w:p>
        </w:tc>
        <w:tc>
          <w:tcPr>
            <w:tcW w:type="dxa" w:w="1247"/>
            <w:shd w:val="clear" w:color="auto" w:fill="FAF9F6"/>
          </w:tcPr>
          <w:p>
            <w:pPr>
              <w:spacing w:after="0" w:line="240" w:lineRule="auto"/>
              <w:jc w:val="right"/>
            </w:pPr>
            <w:r/>
            <w:r>
              <w:rPr>
                <w:b w:val="0"/>
                <w:i w:val="0"/>
                <w:sz w:val="16"/>
              </w:rPr>
              <w:t>259</w:t>
            </w:r>
          </w:p>
        </w:tc>
        <w:tc>
          <w:tcPr>
            <w:tcW w:type="dxa" w:w="5272"/>
            <w:shd w:val="clear" w:color="auto" w:fill="FAF9F6"/>
          </w:tcPr>
          <w:p>
            <w:pPr>
              <w:spacing w:after="0" w:line="240" w:lineRule="auto"/>
            </w:pPr>
            <w:r/>
            <w:r>
              <w:rPr>
                <w:b w:val="0"/>
                <w:i w:val="0"/>
                <w:sz w:val="16"/>
              </w:rPr>
              <w:t>Averaging – 2023 25 ha; Averaging – 2024 86 ha (259 NZUs)</w:t>
            </w:r>
          </w:p>
        </w:tc>
      </w:tr>
      <w:tr>
        <w:tc>
          <w:tcPr>
            <w:tcW w:type="dxa" w:w="1474"/>
          </w:tcPr>
          <w:p>
            <w:pPr>
              <w:spacing w:after="0" w:line="240" w:lineRule="auto"/>
            </w:pPr>
            <w:r/>
            <w:r>
              <w:rPr>
                <w:b w:val="0"/>
                <w:i w:val="0"/>
                <w:sz w:val="16"/>
              </w:rPr>
              <w:t>Puau Road</w:t>
            </w:r>
          </w:p>
        </w:tc>
        <w:tc>
          <w:tcPr>
            <w:tcW w:type="dxa" w:w="567"/>
          </w:tcPr>
          <w:p>
            <w:pPr>
              <w:spacing w:after="0" w:line="240" w:lineRule="auto"/>
              <w:jc w:val="right"/>
            </w:pPr>
            <w:r/>
            <w:r>
              <w:rPr>
                <w:b w:val="0"/>
                <w:i w:val="0"/>
                <w:sz w:val="16"/>
              </w:rPr>
              <w:t>5</w:t>
            </w:r>
          </w:p>
        </w:tc>
        <w:tc>
          <w:tcPr>
            <w:tcW w:type="dxa" w:w="1077"/>
          </w:tcPr>
          <w:p>
            <w:pPr>
              <w:spacing w:after="0" w:line="240" w:lineRule="auto"/>
              <w:jc w:val="right"/>
            </w:pPr>
            <w:r/>
            <w:r>
              <w:rPr>
                <w:b w:val="0"/>
                <w:i w:val="0"/>
                <w:sz w:val="16"/>
              </w:rPr>
              <w:t>46.1</w:t>
            </w:r>
          </w:p>
        </w:tc>
        <w:tc>
          <w:tcPr>
            <w:tcW w:type="dxa" w:w="1247"/>
          </w:tcPr>
          <w:p>
            <w:pPr>
              <w:spacing w:after="0" w:line="240" w:lineRule="auto"/>
              <w:jc w:val="right"/>
            </w:pPr>
            <w:r/>
            <w:r>
              <w:rPr>
                <w:b w:val="0"/>
                <w:i w:val="0"/>
                <w:sz w:val="16"/>
              </w:rPr>
              <w:t>139</w:t>
            </w:r>
          </w:p>
        </w:tc>
        <w:tc>
          <w:tcPr>
            <w:tcW w:type="dxa" w:w="5272"/>
          </w:tcPr>
          <w:p>
            <w:pPr>
              <w:spacing w:after="0" w:line="240" w:lineRule="auto"/>
            </w:pPr>
            <w:r/>
            <w:r>
              <w:rPr>
                <w:b w:val="0"/>
                <w:i w:val="0"/>
                <w:sz w:val="16"/>
              </w:rPr>
              <w:t>Averaging – 2024 46 ha (139 NZUs)</w:t>
            </w:r>
          </w:p>
        </w:tc>
      </w:tr>
      <w:tr>
        <w:tc>
          <w:tcPr>
            <w:tcW w:type="dxa" w:w="1474"/>
            <w:shd w:val="clear" w:color="auto" w:fill="FAF9F6"/>
          </w:tcPr>
          <w:p>
            <w:pPr>
              <w:spacing w:after="0" w:line="240" w:lineRule="auto"/>
            </w:pPr>
            <w:r/>
            <w:r>
              <w:rPr>
                <w:b w:val="0"/>
                <w:i w:val="0"/>
                <w:sz w:val="16"/>
              </w:rPr>
              <w:t>Whangamomona</w:t>
            </w:r>
          </w:p>
        </w:tc>
        <w:tc>
          <w:tcPr>
            <w:tcW w:type="dxa" w:w="567"/>
            <w:shd w:val="clear" w:color="auto" w:fill="FAF9F6"/>
          </w:tcPr>
          <w:p>
            <w:pPr>
              <w:spacing w:after="0" w:line="240" w:lineRule="auto"/>
              <w:jc w:val="right"/>
            </w:pPr>
            <w:r/>
            <w:r>
              <w:rPr>
                <w:b w:val="0"/>
                <w:i w:val="0"/>
                <w:sz w:val="16"/>
              </w:rPr>
              <w:t>17</w:t>
            </w:r>
          </w:p>
        </w:tc>
        <w:tc>
          <w:tcPr>
            <w:tcW w:type="dxa" w:w="1077"/>
            <w:shd w:val="clear" w:color="auto" w:fill="FAF9F6"/>
          </w:tcPr>
          <w:p>
            <w:pPr>
              <w:spacing w:after="0" w:line="240" w:lineRule="auto"/>
              <w:jc w:val="right"/>
            </w:pPr>
            <w:r/>
            <w:r>
              <w:rPr>
                <w:b w:val="0"/>
                <w:i w:val="0"/>
                <w:sz w:val="16"/>
              </w:rPr>
              <w:t>308.6</w:t>
            </w:r>
          </w:p>
        </w:tc>
        <w:tc>
          <w:tcPr>
            <w:tcW w:type="dxa" w:w="1247"/>
            <w:shd w:val="clear" w:color="auto" w:fill="FAF9F6"/>
          </w:tcPr>
          <w:p>
            <w:pPr>
              <w:spacing w:after="0" w:line="240" w:lineRule="auto"/>
              <w:jc w:val="right"/>
            </w:pPr>
            <w:r/>
            <w:r>
              <w:rPr>
                <w:b w:val="0"/>
                <w:i w:val="0"/>
                <w:sz w:val="16"/>
              </w:rPr>
              <w:t>928</w:t>
            </w:r>
          </w:p>
        </w:tc>
        <w:tc>
          <w:tcPr>
            <w:tcW w:type="dxa" w:w="5272"/>
            <w:shd w:val="clear" w:color="auto" w:fill="FAF9F6"/>
          </w:tcPr>
          <w:p>
            <w:pPr>
              <w:spacing w:after="0" w:line="240" w:lineRule="auto"/>
            </w:pPr>
            <w:r/>
            <w:r>
              <w:rPr>
                <w:b w:val="0"/>
                <w:i w:val="0"/>
                <w:sz w:val="16"/>
              </w:rPr>
              <w:t>Averaging – 2024 309 ha (928 NZUs)</w:t>
            </w:r>
          </w:p>
        </w:tc>
      </w:tr>
      <w:tr>
        <w:tc>
          <w:tcPr>
            <w:tcW w:type="dxa" w:w="1474"/>
          </w:tcPr>
          <w:p>
            <w:pPr>
              <w:spacing w:after="0" w:line="240" w:lineRule="auto"/>
            </w:pPr>
            <w:r/>
            <w:r>
              <w:rPr>
                <w:b w:val="0"/>
                <w:i w:val="0"/>
                <w:sz w:val="16"/>
              </w:rPr>
              <w:t>Staghaven</w:t>
            </w:r>
          </w:p>
        </w:tc>
        <w:tc>
          <w:tcPr>
            <w:tcW w:type="dxa" w:w="567"/>
          </w:tcPr>
          <w:p>
            <w:pPr>
              <w:spacing w:after="0" w:line="240" w:lineRule="auto"/>
              <w:jc w:val="right"/>
            </w:pPr>
            <w:r/>
            <w:r>
              <w:rPr>
                <w:b w:val="0"/>
                <w:i w:val="0"/>
                <w:sz w:val="16"/>
              </w:rPr>
              <w:t>8</w:t>
            </w:r>
          </w:p>
        </w:tc>
        <w:tc>
          <w:tcPr>
            <w:tcW w:type="dxa" w:w="1077"/>
          </w:tcPr>
          <w:p>
            <w:pPr>
              <w:spacing w:after="0" w:line="240" w:lineRule="auto"/>
              <w:jc w:val="right"/>
            </w:pPr>
            <w:r/>
            <w:r>
              <w:rPr>
                <w:b w:val="0"/>
                <w:i w:val="0"/>
                <w:sz w:val="16"/>
              </w:rPr>
              <w:t>82.5</w:t>
            </w:r>
          </w:p>
        </w:tc>
        <w:tc>
          <w:tcPr>
            <w:tcW w:type="dxa" w:w="1247"/>
          </w:tcPr>
          <w:p>
            <w:pPr>
              <w:spacing w:after="0" w:line="240" w:lineRule="auto"/>
              <w:jc w:val="right"/>
            </w:pPr>
            <w:r/>
            <w:r>
              <w:rPr>
                <w:b w:val="0"/>
                <w:i w:val="0"/>
                <w:sz w:val="16"/>
              </w:rPr>
              <w:t>4,654</w:t>
            </w:r>
          </w:p>
        </w:tc>
        <w:tc>
          <w:tcPr>
            <w:tcW w:type="dxa" w:w="5272"/>
          </w:tcPr>
          <w:p>
            <w:pPr>
              <w:spacing w:after="0" w:line="240" w:lineRule="auto"/>
            </w:pPr>
            <w:r/>
            <w:r>
              <w:rPr>
                <w:b w:val="0"/>
                <w:i w:val="0"/>
                <w:sz w:val="16"/>
              </w:rPr>
              <w:t>Stock change – pine 22 ha (4,472 NZUs); Averaging – 2024 61 ha (182 NZUs)</w:t>
            </w:r>
          </w:p>
        </w:tc>
      </w:tr>
      <w:tr>
        <w:tc>
          <w:tcPr>
            <w:tcW w:type="dxa" w:w="1474"/>
            <w:shd w:val="clear" w:color="auto" w:fill="FAF9F6"/>
          </w:tcPr>
          <w:p>
            <w:pPr>
              <w:spacing w:after="0" w:line="240" w:lineRule="auto"/>
            </w:pPr>
            <w:r/>
            <w:r>
              <w:rPr>
                <w:b w:val="0"/>
                <w:i w:val="0"/>
                <w:sz w:val="16"/>
              </w:rPr>
              <w:t>Ernies</w:t>
            </w:r>
          </w:p>
        </w:tc>
        <w:tc>
          <w:tcPr>
            <w:tcW w:type="dxa" w:w="567"/>
            <w:shd w:val="clear" w:color="auto" w:fill="FAF9F6"/>
          </w:tcPr>
          <w:p>
            <w:pPr>
              <w:spacing w:after="0" w:line="240" w:lineRule="auto"/>
              <w:jc w:val="right"/>
            </w:pPr>
            <w:r/>
            <w:r>
              <w:rPr>
                <w:b w:val="0"/>
                <w:i w:val="0"/>
                <w:sz w:val="16"/>
              </w:rPr>
              <w:t>2</w:t>
            </w:r>
          </w:p>
        </w:tc>
        <w:tc>
          <w:tcPr>
            <w:tcW w:type="dxa" w:w="1077"/>
            <w:shd w:val="clear" w:color="auto" w:fill="FAF9F6"/>
          </w:tcPr>
          <w:p>
            <w:pPr>
              <w:spacing w:after="0" w:line="240" w:lineRule="auto"/>
              <w:jc w:val="right"/>
            </w:pPr>
            <w:r/>
            <w:r>
              <w:rPr>
                <w:b w:val="0"/>
                <w:i w:val="0"/>
                <w:sz w:val="16"/>
              </w:rPr>
              <w:t>120.9</w:t>
            </w:r>
          </w:p>
        </w:tc>
        <w:tc>
          <w:tcPr>
            <w:tcW w:type="dxa" w:w="1247"/>
            <w:shd w:val="clear" w:color="auto" w:fill="FAF9F6"/>
          </w:tcPr>
          <w:p>
            <w:pPr>
              <w:spacing w:after="0" w:line="240" w:lineRule="auto"/>
              <w:jc w:val="right"/>
            </w:pPr>
            <w:r/>
            <w:r>
              <w:rPr>
                <w:b w:val="0"/>
                <w:i w:val="0"/>
                <w:sz w:val="16"/>
              </w:rPr>
              <w:t>13,159</w:t>
            </w:r>
          </w:p>
        </w:tc>
        <w:tc>
          <w:tcPr>
            <w:tcW w:type="dxa" w:w="5272"/>
            <w:shd w:val="clear" w:color="auto" w:fill="FAF9F6"/>
          </w:tcPr>
          <w:p>
            <w:pPr>
              <w:spacing w:after="0" w:line="240" w:lineRule="auto"/>
            </w:pPr>
            <w:r/>
            <w:r>
              <w:rPr>
                <w:b w:val="0"/>
                <w:i w:val="0"/>
                <w:sz w:val="16"/>
              </w:rPr>
              <w:t>Stock change – indigenous 121 ha (13,159 NZUs)</w:t>
            </w:r>
          </w:p>
        </w:tc>
      </w:tr>
      <w:tr>
        <w:tc>
          <w:tcPr>
            <w:tcW w:type="dxa" w:w="1474"/>
          </w:tcPr>
          <w:p>
            <w:pPr>
              <w:spacing w:after="0" w:line="240" w:lineRule="auto"/>
            </w:pPr>
            <w:r/>
            <w:r>
              <w:rPr>
                <w:b w:val="0"/>
                <w:i w:val="0"/>
                <w:sz w:val="16"/>
              </w:rPr>
              <w:t>Soldiers Road (FR)</w:t>
            </w:r>
          </w:p>
        </w:tc>
        <w:tc>
          <w:tcPr>
            <w:tcW w:type="dxa" w:w="567"/>
          </w:tcPr>
          <w:p>
            <w:pPr>
              <w:spacing w:after="0" w:line="240" w:lineRule="auto"/>
              <w:jc w:val="right"/>
            </w:pPr>
            <w:r/>
            <w:r>
              <w:rPr>
                <w:b w:val="0"/>
                <w:i w:val="0"/>
                <w:sz w:val="16"/>
              </w:rPr>
              <w:t>4</w:t>
            </w:r>
          </w:p>
        </w:tc>
        <w:tc>
          <w:tcPr>
            <w:tcW w:type="dxa" w:w="1077"/>
          </w:tcPr>
          <w:p>
            <w:pPr>
              <w:spacing w:after="0" w:line="240" w:lineRule="auto"/>
              <w:jc w:val="right"/>
            </w:pPr>
            <w:r/>
            <w:r>
              <w:rPr>
                <w:b w:val="0"/>
                <w:i w:val="0"/>
                <w:sz w:val="16"/>
              </w:rPr>
              <w:t>9.6</w:t>
            </w:r>
          </w:p>
        </w:tc>
        <w:tc>
          <w:tcPr>
            <w:tcW w:type="dxa" w:w="1247"/>
          </w:tcPr>
          <w:p>
            <w:pPr>
              <w:spacing w:after="0" w:line="240" w:lineRule="auto"/>
              <w:jc w:val="right"/>
            </w:pPr>
            <w:r/>
            <w:r>
              <w:rPr>
                <w:b w:val="0"/>
                <w:i w:val="0"/>
                <w:sz w:val="16"/>
              </w:rPr>
              <w:t>59</w:t>
            </w:r>
          </w:p>
        </w:tc>
        <w:tc>
          <w:tcPr>
            <w:tcW w:type="dxa" w:w="5272"/>
          </w:tcPr>
          <w:p>
            <w:pPr>
              <w:spacing w:after="0" w:line="240" w:lineRule="auto"/>
            </w:pPr>
            <w:r/>
            <w:r>
              <w:rPr>
                <w:b w:val="0"/>
                <w:i w:val="0"/>
                <w:sz w:val="16"/>
              </w:rPr>
              <w:t xml:space="preserve">Averaging – 2023 (forestry right over RT 153235; 160 ha CAA described in the right) </w:t>
            </w:r>
            <w:r>
              <w:rPr>
                <w:b/>
                <w:i w:val="0"/>
                <w:color w:val="B01E1E"/>
                <w:sz w:val="16"/>
              </w:rPr>
              <w:t>[TBC]</w:t>
            </w:r>
          </w:p>
        </w:tc>
      </w:tr>
      <w:tr>
        <w:tc>
          <w:tcPr>
            <w:tcW w:type="dxa" w:w="1474"/>
            <w:shd w:val="clear" w:color="auto" w:fill="EDEBE3"/>
          </w:tcPr>
          <w:p>
            <w:pPr>
              <w:spacing w:after="0" w:line="240" w:lineRule="auto"/>
            </w:pPr>
            <w:r/>
            <w:r>
              <w:rPr>
                <w:b/>
                <w:i w:val="0"/>
                <w:sz w:val="16"/>
              </w:rPr>
              <w:t>Total</w:t>
            </w:r>
          </w:p>
        </w:tc>
        <w:tc>
          <w:tcPr>
            <w:tcW w:type="dxa" w:w="567"/>
            <w:shd w:val="clear" w:color="auto" w:fill="EDEBE3"/>
          </w:tcPr>
          <w:p>
            <w:pPr>
              <w:spacing w:after="0" w:line="240" w:lineRule="auto"/>
              <w:jc w:val="right"/>
            </w:pPr>
            <w:r/>
            <w:r>
              <w:rPr>
                <w:b/>
                <w:i w:val="0"/>
                <w:sz w:val="16"/>
              </w:rPr>
              <w:t>137</w:t>
            </w:r>
          </w:p>
        </w:tc>
        <w:tc>
          <w:tcPr>
            <w:tcW w:type="dxa" w:w="1077"/>
            <w:shd w:val="clear" w:color="auto" w:fill="EDEBE3"/>
          </w:tcPr>
          <w:p>
            <w:pPr>
              <w:spacing w:after="0" w:line="240" w:lineRule="auto"/>
              <w:jc w:val="right"/>
            </w:pPr>
            <w:r/>
            <w:r>
              <w:rPr>
                <w:b/>
                <w:i w:val="0"/>
                <w:sz w:val="16"/>
              </w:rPr>
              <w:t>2,740.2</w:t>
            </w:r>
          </w:p>
        </w:tc>
        <w:tc>
          <w:tcPr>
            <w:tcW w:type="dxa" w:w="1247"/>
            <w:shd w:val="clear" w:color="auto" w:fill="EDEBE3"/>
          </w:tcPr>
          <w:p>
            <w:pPr>
              <w:spacing w:after="0" w:line="240" w:lineRule="auto"/>
              <w:jc w:val="right"/>
            </w:pPr>
            <w:r/>
            <w:r>
              <w:rPr>
                <w:b/>
                <w:i w:val="0"/>
                <w:sz w:val="16"/>
              </w:rPr>
              <w:t>149,552</w:t>
            </w:r>
          </w:p>
        </w:tc>
        <w:tc>
          <w:tcPr>
            <w:tcW w:type="dxa" w:w="5272"/>
            <w:shd w:val="clear" w:color="auto" w:fill="EDEBE3"/>
          </w:tcPr>
          <w:p>
            <w:pPr>
              <w:spacing w:after="0" w:line="240" w:lineRule="auto"/>
            </w:pPr>
            <w:r/>
          </w:p>
        </w:tc>
      </w:tr>
    </w:tbl>
    <w:p>
      <w:pPr>
        <w:spacing w:after="40"/>
      </w:pPr>
    </w:p>
    <w:p>
      <w:r>
        <w:rPr>
          <w:b w:val="0"/>
          <w:i w:val="0"/>
        </w:rPr>
        <w:t>By accounting category across the estate:</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1928"/>
        <w:gridCol w:w="1928"/>
        <w:gridCol w:w="1928"/>
        <w:gridCol w:w="1928"/>
        <w:gridCol w:w="1928"/>
      </w:tblGrid>
      <w:tr>
        <w:tc>
          <w:tcPr>
            <w:tcW w:type="dxa" w:w="1814"/>
            <w:shd w:val="clear" w:color="auto" w:fill="DBD2C3"/>
          </w:tcPr>
          <w:p>
            <w:pPr>
              <w:spacing w:after="0" w:line="240" w:lineRule="auto"/>
            </w:pPr>
            <w:r/>
            <w:r>
              <w:rPr>
                <w:b/>
                <w:i w:val="0"/>
                <w:sz w:val="16"/>
              </w:rPr>
              <w:t>Category</w:t>
            </w:r>
          </w:p>
        </w:tc>
        <w:tc>
          <w:tcPr>
            <w:tcW w:type="dxa" w:w="567"/>
            <w:shd w:val="clear" w:color="auto" w:fill="DBD2C3"/>
          </w:tcPr>
          <w:p>
            <w:pPr>
              <w:spacing w:after="0" w:line="240" w:lineRule="auto"/>
            </w:pPr>
            <w:r/>
            <w:r>
              <w:rPr>
                <w:b/>
                <w:i w:val="0"/>
                <w:sz w:val="16"/>
              </w:rPr>
              <w:t>CAAs</w:t>
            </w:r>
          </w:p>
        </w:tc>
        <w:tc>
          <w:tcPr>
            <w:tcW w:type="dxa" w:w="1077"/>
            <w:shd w:val="clear" w:color="auto" w:fill="DBD2C3"/>
          </w:tcPr>
          <w:p>
            <w:pPr>
              <w:spacing w:after="0" w:line="240" w:lineRule="auto"/>
            </w:pPr>
            <w:r/>
            <w:r>
              <w:rPr>
                <w:b/>
                <w:i w:val="0"/>
                <w:sz w:val="16"/>
              </w:rPr>
              <w:t>Registered ha</w:t>
            </w:r>
          </w:p>
        </w:tc>
        <w:tc>
          <w:tcPr>
            <w:tcW w:type="dxa" w:w="1247"/>
            <w:shd w:val="clear" w:color="auto" w:fill="DBD2C3"/>
          </w:tcPr>
          <w:p>
            <w:pPr>
              <w:spacing w:after="0" w:line="240" w:lineRule="auto"/>
            </w:pPr>
            <w:r/>
            <w:r>
              <w:rPr>
                <w:b/>
                <w:i w:val="0"/>
                <w:sz w:val="16"/>
              </w:rPr>
              <w:t>Unit balance (NZUs)</w:t>
            </w:r>
          </w:p>
        </w:tc>
        <w:tc>
          <w:tcPr>
            <w:tcW w:type="dxa" w:w="4932"/>
            <w:shd w:val="clear" w:color="auto" w:fill="DBD2C3"/>
          </w:tcPr>
          <w:p>
            <w:pPr>
              <w:spacing w:after="0" w:line="240" w:lineRule="auto"/>
            </w:pPr>
            <w:r/>
            <w:r>
              <w:rPr>
                <w:b/>
                <w:i w:val="0"/>
                <w:sz w:val="16"/>
              </w:rPr>
              <w:t>Notes</w:t>
            </w:r>
          </w:p>
        </w:tc>
      </w:tr>
      <w:tr>
        <w:tc>
          <w:tcPr>
            <w:tcW w:type="dxa" w:w="1814"/>
          </w:tcPr>
          <w:p>
            <w:pPr>
              <w:spacing w:after="0" w:line="240" w:lineRule="auto"/>
            </w:pPr>
            <w:r/>
            <w:r>
              <w:rPr>
                <w:b w:val="0"/>
                <w:i w:val="0"/>
                <w:sz w:val="16"/>
              </w:rPr>
              <w:t>Averaging – 2022</w:t>
            </w:r>
          </w:p>
        </w:tc>
        <w:tc>
          <w:tcPr>
            <w:tcW w:type="dxa" w:w="567"/>
          </w:tcPr>
          <w:p>
            <w:pPr>
              <w:spacing w:after="0" w:line="240" w:lineRule="auto"/>
              <w:jc w:val="right"/>
            </w:pPr>
            <w:r/>
            <w:r>
              <w:rPr>
                <w:b w:val="0"/>
                <w:i w:val="0"/>
                <w:sz w:val="16"/>
              </w:rPr>
              <w:t>17</w:t>
            </w:r>
          </w:p>
        </w:tc>
        <w:tc>
          <w:tcPr>
            <w:tcW w:type="dxa" w:w="1077"/>
          </w:tcPr>
          <w:p>
            <w:pPr>
              <w:spacing w:after="0" w:line="240" w:lineRule="auto"/>
              <w:jc w:val="right"/>
            </w:pPr>
            <w:r/>
            <w:r>
              <w:rPr>
                <w:b w:val="0"/>
                <w:i w:val="0"/>
                <w:sz w:val="16"/>
              </w:rPr>
              <w:t>332.4</w:t>
            </w:r>
          </w:p>
        </w:tc>
        <w:tc>
          <w:tcPr>
            <w:tcW w:type="dxa" w:w="1247"/>
          </w:tcPr>
          <w:p>
            <w:pPr>
              <w:spacing w:after="0" w:line="240" w:lineRule="auto"/>
              <w:jc w:val="right"/>
            </w:pPr>
            <w:r/>
            <w:r>
              <w:rPr>
                <w:b w:val="0"/>
                <w:i w:val="0"/>
                <w:sz w:val="16"/>
              </w:rPr>
              <w:t>9,441</w:t>
            </w:r>
          </w:p>
        </w:tc>
        <w:tc>
          <w:tcPr>
            <w:tcW w:type="dxa" w:w="4932"/>
          </w:tcPr>
          <w:p>
            <w:pPr>
              <w:spacing w:after="0" w:line="240" w:lineRule="auto"/>
            </w:pPr>
            <w:r/>
            <w:r>
              <w:rPr>
                <w:b w:val="0"/>
                <w:i w:val="0"/>
                <w:sz w:val="16"/>
              </w:rPr>
              <w:t>Back Farm (NFL forestry right and Makowhai Station) – first averaging allocation to 2026 reported</w:t>
            </w:r>
          </w:p>
        </w:tc>
      </w:tr>
      <w:tr>
        <w:tc>
          <w:tcPr>
            <w:tcW w:type="dxa" w:w="1814"/>
            <w:shd w:val="clear" w:color="auto" w:fill="FAF9F6"/>
          </w:tcPr>
          <w:p>
            <w:pPr>
              <w:spacing w:after="0" w:line="240" w:lineRule="auto"/>
            </w:pPr>
            <w:r/>
            <w:r>
              <w:rPr>
                <w:b w:val="0"/>
                <w:i w:val="0"/>
                <w:sz w:val="16"/>
              </w:rPr>
              <w:t>Averaging – 2023</w:t>
            </w:r>
          </w:p>
        </w:tc>
        <w:tc>
          <w:tcPr>
            <w:tcW w:type="dxa" w:w="567"/>
            <w:shd w:val="clear" w:color="auto" w:fill="FAF9F6"/>
          </w:tcPr>
          <w:p>
            <w:pPr>
              <w:spacing w:after="0" w:line="240" w:lineRule="auto"/>
              <w:jc w:val="right"/>
            </w:pPr>
            <w:r/>
            <w:r>
              <w:rPr>
                <w:b w:val="0"/>
                <w:i w:val="0"/>
                <w:sz w:val="16"/>
              </w:rPr>
              <w:t>34</w:t>
            </w:r>
          </w:p>
        </w:tc>
        <w:tc>
          <w:tcPr>
            <w:tcW w:type="dxa" w:w="1077"/>
            <w:shd w:val="clear" w:color="auto" w:fill="FAF9F6"/>
          </w:tcPr>
          <w:p>
            <w:pPr>
              <w:spacing w:after="0" w:line="240" w:lineRule="auto"/>
              <w:jc w:val="right"/>
            </w:pPr>
            <w:r/>
            <w:r>
              <w:rPr>
                <w:b w:val="0"/>
                <w:i w:val="0"/>
                <w:sz w:val="16"/>
              </w:rPr>
              <w:t>697.8</w:t>
            </w:r>
          </w:p>
        </w:tc>
        <w:tc>
          <w:tcPr>
            <w:tcW w:type="dxa" w:w="1247"/>
            <w:shd w:val="clear" w:color="auto" w:fill="FAF9F6"/>
          </w:tcPr>
          <w:p>
            <w:pPr>
              <w:spacing w:after="0" w:line="240" w:lineRule="auto"/>
              <w:jc w:val="right"/>
            </w:pPr>
            <w:r/>
            <w:r>
              <w:rPr>
                <w:b w:val="0"/>
                <w:i w:val="0"/>
                <w:sz w:val="16"/>
              </w:rPr>
              <w:t>4,628</w:t>
            </w:r>
          </w:p>
        </w:tc>
        <w:tc>
          <w:tcPr>
            <w:tcW w:type="dxa" w:w="4932"/>
            <w:shd w:val="clear" w:color="auto" w:fill="FAF9F6"/>
          </w:tcPr>
          <w:p>
            <w:pPr>
              <w:spacing w:after="0" w:line="240" w:lineRule="auto"/>
            </w:pPr>
            <w:r/>
            <w:r>
              <w:rPr>
                <w:b w:val="0"/>
                <w:i w:val="0"/>
                <w:sz w:val="16"/>
              </w:rPr>
              <w:t>Back Farm, Front Farm, Eastern Block, Soldiers Road</w:t>
            </w:r>
          </w:p>
        </w:tc>
      </w:tr>
      <w:tr>
        <w:tc>
          <w:tcPr>
            <w:tcW w:type="dxa" w:w="1814"/>
          </w:tcPr>
          <w:p>
            <w:pPr>
              <w:spacing w:after="0" w:line="240" w:lineRule="auto"/>
            </w:pPr>
            <w:r/>
            <w:r>
              <w:rPr>
                <w:b w:val="0"/>
                <w:i w:val="0"/>
                <w:sz w:val="16"/>
              </w:rPr>
              <w:t>Averaging – 2024</w:t>
            </w:r>
          </w:p>
        </w:tc>
        <w:tc>
          <w:tcPr>
            <w:tcW w:type="dxa" w:w="567"/>
          </w:tcPr>
          <w:p>
            <w:pPr>
              <w:spacing w:after="0" w:line="240" w:lineRule="auto"/>
              <w:jc w:val="right"/>
            </w:pPr>
            <w:r/>
            <w:r>
              <w:rPr>
                <w:b w:val="0"/>
                <w:i w:val="0"/>
                <w:sz w:val="16"/>
              </w:rPr>
              <w:t>59</w:t>
            </w:r>
          </w:p>
        </w:tc>
        <w:tc>
          <w:tcPr>
            <w:tcW w:type="dxa" w:w="1077"/>
          </w:tcPr>
          <w:p>
            <w:pPr>
              <w:spacing w:after="0" w:line="240" w:lineRule="auto"/>
              <w:jc w:val="right"/>
            </w:pPr>
            <w:r/>
            <w:r>
              <w:rPr>
                <w:b w:val="0"/>
                <w:i w:val="0"/>
                <w:sz w:val="16"/>
              </w:rPr>
              <w:t>1,225.2</w:t>
            </w:r>
          </w:p>
        </w:tc>
        <w:tc>
          <w:tcPr>
            <w:tcW w:type="dxa" w:w="1247"/>
          </w:tcPr>
          <w:p>
            <w:pPr>
              <w:spacing w:after="0" w:line="240" w:lineRule="auto"/>
              <w:jc w:val="right"/>
            </w:pPr>
            <w:r/>
            <w:r>
              <w:rPr>
                <w:b w:val="0"/>
                <w:i w:val="0"/>
                <w:sz w:val="16"/>
              </w:rPr>
              <w:t>3,681</w:t>
            </w:r>
          </w:p>
        </w:tc>
        <w:tc>
          <w:tcPr>
            <w:tcW w:type="dxa" w:w="4932"/>
          </w:tcPr>
          <w:p>
            <w:pPr>
              <w:spacing w:after="0" w:line="240" w:lineRule="auto"/>
            </w:pPr>
            <w:r/>
            <w:r>
              <w:rPr>
                <w:b w:val="0"/>
                <w:i w:val="0"/>
                <w:sz w:val="16"/>
              </w:rPr>
              <w:t>Longreach, Whangamomona, Eastern Block, Staghaven, Puau Road – units accrue from the 2024 planting year</w:t>
            </w:r>
          </w:p>
        </w:tc>
      </w:tr>
      <w:tr>
        <w:tc>
          <w:tcPr>
            <w:tcW w:type="dxa" w:w="1814"/>
            <w:shd w:val="clear" w:color="auto" w:fill="FAF9F6"/>
          </w:tcPr>
          <w:p>
            <w:pPr>
              <w:spacing w:after="0" w:line="240" w:lineRule="auto"/>
            </w:pPr>
            <w:r/>
            <w:r>
              <w:rPr>
                <w:b w:val="0"/>
                <w:i w:val="0"/>
                <w:sz w:val="16"/>
              </w:rPr>
              <w:t>Permanent (PP89)</w:t>
            </w:r>
          </w:p>
        </w:tc>
        <w:tc>
          <w:tcPr>
            <w:tcW w:type="dxa" w:w="567"/>
            <w:shd w:val="clear" w:color="auto" w:fill="FAF9F6"/>
          </w:tcPr>
          <w:p>
            <w:pPr>
              <w:spacing w:after="0" w:line="240" w:lineRule="auto"/>
              <w:jc w:val="right"/>
            </w:pPr>
            <w:r/>
            <w:r>
              <w:rPr>
                <w:b w:val="0"/>
                <w:i w:val="0"/>
                <w:sz w:val="16"/>
              </w:rPr>
              <w:t>2</w:t>
            </w:r>
          </w:p>
        </w:tc>
        <w:tc>
          <w:tcPr>
            <w:tcW w:type="dxa" w:w="1077"/>
            <w:shd w:val="clear" w:color="auto" w:fill="FAF9F6"/>
          </w:tcPr>
          <w:p>
            <w:pPr>
              <w:spacing w:after="0" w:line="240" w:lineRule="auto"/>
              <w:jc w:val="right"/>
            </w:pPr>
            <w:r/>
            <w:r>
              <w:rPr>
                <w:b w:val="0"/>
                <w:i w:val="0"/>
                <w:sz w:val="16"/>
              </w:rPr>
              <w:t>267.4</w:t>
            </w:r>
          </w:p>
        </w:tc>
        <w:tc>
          <w:tcPr>
            <w:tcW w:type="dxa" w:w="1247"/>
            <w:shd w:val="clear" w:color="auto" w:fill="FAF9F6"/>
          </w:tcPr>
          <w:p>
            <w:pPr>
              <w:spacing w:after="0" w:line="240" w:lineRule="auto"/>
              <w:jc w:val="right"/>
            </w:pPr>
            <w:r/>
            <w:r>
              <w:rPr>
                <w:b w:val="0"/>
                <w:i w:val="0"/>
                <w:sz w:val="16"/>
              </w:rPr>
              <w:t>102,040</w:t>
            </w:r>
          </w:p>
        </w:tc>
        <w:tc>
          <w:tcPr>
            <w:tcW w:type="dxa" w:w="4932"/>
            <w:shd w:val="clear" w:color="auto" w:fill="FAF9F6"/>
          </w:tcPr>
          <w:p>
            <w:pPr>
              <w:spacing w:after="0" w:line="240" w:lineRule="auto"/>
            </w:pPr>
            <w:r/>
            <w:r>
              <w:rPr>
                <w:b w:val="0"/>
                <w:i w:val="0"/>
                <w:sz w:val="16"/>
              </w:rPr>
              <w:t>Longreach CAA 24 (84 ha, 1995/97 radiata, 49,574 NZUs) and Back Farm CAA 69 (183 ha, 1994 radiata and indigenous, 52,466 NZUs) – permanent forest to 2060</w:t>
            </w:r>
          </w:p>
        </w:tc>
      </w:tr>
      <w:tr>
        <w:tc>
          <w:tcPr>
            <w:tcW w:type="dxa" w:w="1814"/>
          </w:tcPr>
          <w:p>
            <w:pPr>
              <w:spacing w:after="0" w:line="240" w:lineRule="auto"/>
            </w:pPr>
            <w:r/>
            <w:r>
              <w:rPr>
                <w:b w:val="0"/>
                <w:i w:val="0"/>
                <w:sz w:val="16"/>
              </w:rPr>
              <w:t>Stock change – pine</w:t>
            </w:r>
          </w:p>
        </w:tc>
        <w:tc>
          <w:tcPr>
            <w:tcW w:type="dxa" w:w="567"/>
          </w:tcPr>
          <w:p>
            <w:pPr>
              <w:spacing w:after="0" w:line="240" w:lineRule="auto"/>
              <w:jc w:val="right"/>
            </w:pPr>
            <w:r/>
            <w:r>
              <w:rPr>
                <w:b w:val="0"/>
                <w:i w:val="0"/>
                <w:sz w:val="16"/>
              </w:rPr>
              <w:t>12</w:t>
            </w:r>
          </w:p>
        </w:tc>
        <w:tc>
          <w:tcPr>
            <w:tcW w:type="dxa" w:w="1077"/>
          </w:tcPr>
          <w:p>
            <w:pPr>
              <w:spacing w:after="0" w:line="240" w:lineRule="auto"/>
              <w:jc w:val="right"/>
            </w:pPr>
            <w:r/>
            <w:r>
              <w:rPr>
                <w:b w:val="0"/>
                <w:i w:val="0"/>
                <w:sz w:val="16"/>
              </w:rPr>
              <w:t>44.7</w:t>
            </w:r>
          </w:p>
        </w:tc>
        <w:tc>
          <w:tcPr>
            <w:tcW w:type="dxa" w:w="1247"/>
          </w:tcPr>
          <w:p>
            <w:pPr>
              <w:spacing w:after="0" w:line="240" w:lineRule="auto"/>
              <w:jc w:val="right"/>
            </w:pPr>
            <w:r/>
            <w:r>
              <w:rPr>
                <w:b w:val="0"/>
                <w:i w:val="0"/>
                <w:sz w:val="16"/>
              </w:rPr>
              <w:t>11,272</w:t>
            </w:r>
          </w:p>
        </w:tc>
        <w:tc>
          <w:tcPr>
            <w:tcW w:type="dxa" w:w="4932"/>
          </w:tcPr>
          <w:p>
            <w:pPr>
              <w:spacing w:after="0" w:line="240" w:lineRule="auto"/>
            </w:pPr>
            <w:r/>
            <w:r>
              <w:rPr>
                <w:b w:val="0"/>
                <w:i w:val="0"/>
                <w:sz w:val="16"/>
              </w:rPr>
              <w:t>Longreach 1995–2011 and Staghaven 2011 radiata</w:t>
            </w:r>
          </w:p>
        </w:tc>
      </w:tr>
      <w:tr>
        <w:tc>
          <w:tcPr>
            <w:tcW w:type="dxa" w:w="1814"/>
            <w:shd w:val="clear" w:color="auto" w:fill="FAF9F6"/>
          </w:tcPr>
          <w:p>
            <w:pPr>
              <w:spacing w:after="0" w:line="240" w:lineRule="auto"/>
            </w:pPr>
            <w:r/>
            <w:r>
              <w:rPr>
                <w:b w:val="0"/>
                <w:i w:val="0"/>
                <w:sz w:val="16"/>
              </w:rPr>
              <w:t>Stock change – indigenous</w:t>
            </w:r>
          </w:p>
        </w:tc>
        <w:tc>
          <w:tcPr>
            <w:tcW w:type="dxa" w:w="567"/>
            <w:shd w:val="clear" w:color="auto" w:fill="FAF9F6"/>
          </w:tcPr>
          <w:p>
            <w:pPr>
              <w:spacing w:after="0" w:line="240" w:lineRule="auto"/>
              <w:jc w:val="right"/>
            </w:pPr>
            <w:r/>
            <w:r>
              <w:rPr>
                <w:b w:val="0"/>
                <w:i w:val="0"/>
                <w:sz w:val="16"/>
              </w:rPr>
              <w:t>9</w:t>
            </w:r>
          </w:p>
        </w:tc>
        <w:tc>
          <w:tcPr>
            <w:tcW w:type="dxa" w:w="1077"/>
            <w:shd w:val="clear" w:color="auto" w:fill="FAF9F6"/>
          </w:tcPr>
          <w:p>
            <w:pPr>
              <w:spacing w:after="0" w:line="240" w:lineRule="auto"/>
              <w:jc w:val="right"/>
            </w:pPr>
            <w:r/>
            <w:r>
              <w:rPr>
                <w:b w:val="0"/>
                <w:i w:val="0"/>
                <w:sz w:val="16"/>
              </w:rPr>
              <w:t>163.1</w:t>
            </w:r>
          </w:p>
        </w:tc>
        <w:tc>
          <w:tcPr>
            <w:tcW w:type="dxa" w:w="1247"/>
            <w:shd w:val="clear" w:color="auto" w:fill="FAF9F6"/>
          </w:tcPr>
          <w:p>
            <w:pPr>
              <w:spacing w:after="0" w:line="240" w:lineRule="auto"/>
              <w:jc w:val="right"/>
            </w:pPr>
            <w:r/>
            <w:r>
              <w:rPr>
                <w:b w:val="0"/>
                <w:i w:val="0"/>
                <w:sz w:val="16"/>
              </w:rPr>
              <w:t>18,431</w:t>
            </w:r>
          </w:p>
        </w:tc>
        <w:tc>
          <w:tcPr>
            <w:tcW w:type="dxa" w:w="4932"/>
            <w:shd w:val="clear" w:color="auto" w:fill="FAF9F6"/>
          </w:tcPr>
          <w:p>
            <w:pPr>
              <w:spacing w:after="0" w:line="240" w:lineRule="auto"/>
            </w:pPr>
            <w:r/>
            <w:r>
              <w:rPr>
                <w:b w:val="0"/>
                <w:i w:val="0"/>
                <w:sz w:val="16"/>
              </w:rPr>
              <w:t>Ernies (121 ha, 1991/1998 regenerating indigenous, 13,159 NZUs) and Longreach (42 ha)</w:t>
            </w:r>
          </w:p>
        </w:tc>
      </w:tr>
    </w:tbl>
    <w:p>
      <w:pPr>
        <w:spacing w:after="40"/>
      </w:pPr>
    </w:p>
    <w:p>
      <w:pPr>
        <w:jc w:val="center"/>
      </w:pPr>
      <w:r>
        <w:drawing>
          <wp:inline xmlns:a="http://schemas.openxmlformats.org/drawingml/2006/main" xmlns:pic="http://schemas.openxmlformats.org/drawingml/2006/picture">
            <wp:extent cx="6120000" cy="2658375"/>
            <wp:docPr id="3" name="Picture 3"/>
            <wp:cNvGraphicFramePr>
              <a:graphicFrameLocks noChangeAspect="1"/>
            </wp:cNvGraphicFramePr>
            <a:graphic>
              <a:graphicData uri="http://schemas.openxmlformats.org/drawingml/2006/picture">
                <pic:pic>
                  <pic:nvPicPr>
                    <pic:cNvPr id="0" name="chart4_ets.png"/>
                    <pic:cNvPicPr/>
                  </pic:nvPicPr>
                  <pic:blipFill>
                    <a:blip r:embed="rId11"/>
                    <a:stretch>
                      <a:fillRect/>
                    </a:stretch>
                  </pic:blipFill>
                  <pic:spPr>
                    <a:xfrm>
                      <a:off x="0" y="0"/>
                      <a:ext cx="6120000" cy="2658375"/>
                    </a:xfrm>
                    <a:prstGeom prst="rect"/>
                  </pic:spPr>
                </pic:pic>
              </a:graphicData>
            </a:graphic>
          </wp:inline>
        </w:drawing>
      </w:r>
    </w:p>
    <w:p>
      <w:pPr>
        <w:spacing w:after="200"/>
        <w:jc w:val="center"/>
      </w:pPr>
      <w:r>
        <w:rPr>
          <w:b w:val="0"/>
          <w:i/>
          <w:color w:val="6B6B60"/>
          <w:sz w:val="17"/>
        </w:rPr>
        <w:t>Figure 2 – Registered carbon accounting areas and unit balances by block and accounting category.</w:t>
      </w:r>
    </w:p>
    <w:p>
      <w:pPr>
        <w:pStyle w:val="ListBullet"/>
        <w:spacing w:after="40"/>
      </w:pPr>
      <w:r>
        <w:rPr>
          <w:b w:val="0"/>
          <w:i w:val="0"/>
        </w:rPr>
        <w:t>Averaging accounting applies to the 2022–2024 plantings: units are earned to the average age (about year 16 for radiata) with no surrender on harvest, provided the forest is replanted.</w:t>
      </w:r>
    </w:p>
    <w:p>
      <w:pPr>
        <w:pStyle w:val="ListBullet"/>
        <w:spacing w:after="40"/>
      </w:pPr>
      <w:r>
        <w:rPr>
          <w:b w:val="0"/>
          <w:i w:val="0"/>
        </w:rPr>
        <w:t>The two permanent-forest accounting areas (PP89, stock change to 28 May 2060) carry the bulk of the unit balance – about 102,000 NZUs – and cannot be clear-felled without surrender.</w:t>
      </w:r>
    </w:p>
    <w:p>
      <w:pPr>
        <w:pStyle w:val="ListBullet"/>
        <w:spacing w:after="40"/>
      </w:pPr>
      <w:r>
        <w:rPr>
          <w:b w:val="0"/>
          <w:i w:val="0"/>
        </w:rPr>
        <w:t xml:space="preserve">Nirvana Farm Limited's carbon account is controlled by NZGT as trustee, which will control the transfer of units at settlement; some Makowhai Station units sit in a separate holding account and all NZUs are intended to be transferred ahead of settlement </w:t>
      </w:r>
      <w:r>
        <w:rPr>
          <w:b/>
          <w:i w:val="0"/>
          <w:color w:val="B01E1E"/>
        </w:rPr>
        <w:t>[TBC – holding balances and NZGT documentation]</w:t>
      </w:r>
      <w:r>
        <w:rPr>
          <w:b w:val="0"/>
          <w:i w:val="0"/>
        </w:rPr>
        <w:t>.</w:t>
      </w:r>
    </w:p>
    <w:p>
      <w:pPr>
        <w:pStyle w:val="ListBullet"/>
        <w:spacing w:after="40"/>
      </w:pPr>
      <w:r>
        <w:rPr>
          <w:b w:val="0"/>
          <w:i w:val="0"/>
        </w:rPr>
        <w:t xml:space="preserve">The 2024 CBRE report recorded that carbon units to year 14 (about 1.6 million units at roughly $33) had been pre-sold to the financier; the receivers advise that this contract is to be extinguished </w:t>
      </w:r>
      <w:r>
        <w:rPr>
          <w:b/>
          <w:i w:val="0"/>
          <w:color w:val="B01E1E"/>
        </w:rPr>
        <w:t>[TBC – agreed IM wording]</w:t>
      </w:r>
      <w:r>
        <w:rPr>
          <w:b w:val="0"/>
          <w:i w:val="0"/>
        </w:rPr>
        <w:t>.</w:t>
      </w:r>
    </w:p>
    <w:p>
      <w:pPr>
        <w:pStyle w:val="ListBullet"/>
        <w:spacing w:after="40"/>
      </w:pPr>
      <w:r>
        <w:rPr>
          <w:b w:val="0"/>
          <w:i w:val="0"/>
        </w:rPr>
        <w:t>Indicatively, about 3,190 ha of open grassland and regenerating scrub across the estate is post-1989 land that could be registered in the ETS, subject to MPI determination and the current rules for new exotic registrations.</w:t>
      </w:r>
    </w:p>
    <w:p>
      <w:pPr>
        <w:pStyle w:val="Heading2"/>
      </w:pPr>
      <w:r>
        <w:t>2.3  Forestry rights and third-party interests</w:t>
      </w:r>
    </w:p>
    <w:p>
      <w:pPr>
        <w:pStyle w:val="ListBullet"/>
        <w:spacing w:after="40"/>
      </w:pPr>
      <w:r>
        <w:rPr>
          <w:b w:val="0"/>
          <w:i w:val="0"/>
        </w:rPr>
        <w:t>Forestry Right 12717687.18 (7 June 2023) – granted by the Makowhai Trust to Nirvana Farm Limited over the planted areas of Back Farm, Front Farm and the Eastern Block (titles 451953, TNB4/1080–1082, TNE3/649, TNF3/564, 565, 567, 568 and TNH1/1356). Included in the sale; the mortgage of the right to Vitol will be discharged at settlement.</w:t>
      </w:r>
    </w:p>
    <w:p>
      <w:pPr>
        <w:pStyle w:val="ListBullet"/>
        <w:spacing w:after="40"/>
      </w:pPr>
      <w:r>
        <w:rPr>
          <w:b w:val="0"/>
          <w:i w:val="0"/>
        </w:rPr>
        <w:t xml:space="preserve">Forestry Right 12717687.19 (7 June 2023) – granted by Land &amp; Bee's Limited to Nirvana Farm Limited over RT 153235 (362 ha) at Soldiers Road, Tuwharenikau Road, covering about 176 ha of 2023 radiata. The right is included; the land is not. </w:t>
      </w:r>
      <w:r>
        <w:rPr>
          <w:b/>
          <w:i w:val="0"/>
          <w:color w:val="B01E1E"/>
        </w:rPr>
        <w:t>[TBC – term, rent and carbon provisions from the registered instrument.]</w:t>
      </w:r>
    </w:p>
    <w:p>
      <w:pPr>
        <w:pStyle w:val="ListBullet"/>
        <w:spacing w:after="40"/>
      </w:pPr>
      <w:r>
        <w:rPr>
          <w:b w:val="0"/>
          <w:i w:val="0"/>
        </w:rPr>
        <w:t xml:space="preserve">Earlier forestry rights registered in 2018–2019 in favour of Longreach Carbon No 1–3 Limited (Longreach), Angiwhai Carbon No 1–6 Limited (Ernies), Makowhai Carbon No 1–7 Limited (Back Farm, Home Block and the Eastern Block), Staghaven Carbon Limited (Staghaven) and Whanga Carbon Limited (Whangamomona) remain on the titles </w:t>
      </w:r>
      <w:r>
        <w:rPr>
          <w:b/>
          <w:i w:val="0"/>
          <w:color w:val="B01E1E"/>
        </w:rPr>
        <w:t>[TBC – these are understood to be the former owner's carbon vehicles; confirm status and whether they are to be surrendered before settlement]</w:t>
      </w:r>
      <w:r>
        <w:rPr>
          <w:b w:val="0"/>
          <w:i w:val="0"/>
        </w:rPr>
        <w:t>.</w:t>
      </w:r>
    </w:p>
    <w:p>
      <w:pPr>
        <w:pStyle w:val="ListBullet"/>
        <w:spacing w:after="40"/>
      </w:pPr>
      <w:r>
        <w:rPr>
          <w:b w:val="0"/>
          <w:i w:val="0"/>
        </w:rPr>
        <w:t>Sustainable Forest Management permits under s67M of the Forests Act 1949 (indigenous timber, granted 2000–2002) are noted on several Makowhai Trust and Staghaven titles.</w:t>
      </w:r>
    </w:p>
    <w:p>
      <w:pPr>
        <w:shd w:val="clear" w:color="auto" w:fill="F2F0EA"/>
        <w:spacing w:after="160"/>
        <w:ind w:left="113"/>
      </w:pPr>
      <w:r>
        <w:rPr>
          <w:b/>
          <w:color w:val="6B6B60"/>
          <w:sz w:val="18"/>
        </w:rPr>
        <w:t xml:space="preserve">Internal note – not for the IM: </w:t>
      </w:r>
      <w:r>
        <w:rPr>
          <w:b w:val="0"/>
          <w:i w:val="0"/>
          <w:color w:val="3A3A35"/>
          <w:sz w:val="18"/>
        </w:rPr>
        <w:t>The 2018–19 carbon-company forestry rights and the QEII covenants were picked up from the October 2026 guaranteed title searches; they are listed per property in Section 5 and need the receivers' confirmation before the IM is released.</w:t>
      </w:r>
    </w:p>
    <w:p>
      <w:r>
        <w:br w:type="page"/>
      </w:r>
    </w:p>
    <w:p>
      <w:pPr>
        <w:pStyle w:val="Heading1"/>
      </w:pPr>
      <w:r>
        <w:t>3  Farming summary</w:t>
      </w:r>
    </w:p>
    <w:p>
      <w:r>
        <w:rPr>
          <w:b w:val="0"/>
          <w:i w:val="0"/>
        </w:rPr>
        <w:t>About 2,141 ha of the estate is open grassland, almost all of it hill country. The farming land is concentrated on the Waitōtara Valley blocks – Front Farm, the Eastern Block, Back Farm, Longreach and Ernies – and on the Nukumaru blocks (Puau Road, Moonys and Ridge Road). Front Farm on Taumatatahi Road is the most developed farm, with the highest proportion of easy contour and the main farm buildings. Farming continues under a grazing lease and stock will be present on parts of the estate at settlement.</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1205"/>
        <w:gridCol w:w="1205"/>
        <w:gridCol w:w="1205"/>
        <w:gridCol w:w="1205"/>
        <w:gridCol w:w="1205"/>
        <w:gridCol w:w="1205"/>
        <w:gridCol w:w="1205"/>
        <w:gridCol w:w="1205"/>
      </w:tblGrid>
      <w:tr>
        <w:tc>
          <w:tcPr>
            <w:tcW w:type="dxa" w:w="1474"/>
            <w:shd w:val="clear" w:color="auto" w:fill="DBD2C3"/>
          </w:tcPr>
          <w:p>
            <w:pPr>
              <w:spacing w:after="0" w:line="240" w:lineRule="auto"/>
            </w:pPr>
            <w:r/>
            <w:r>
              <w:rPr>
                <w:b/>
                <w:i w:val="0"/>
                <w:sz w:val="16"/>
              </w:rPr>
              <w:t>Block</w:t>
            </w:r>
          </w:p>
        </w:tc>
        <w:tc>
          <w:tcPr>
            <w:tcW w:type="dxa" w:w="1077"/>
            <w:shd w:val="clear" w:color="auto" w:fill="DBD2C3"/>
          </w:tcPr>
          <w:p>
            <w:pPr>
              <w:spacing w:after="0" w:line="240" w:lineRule="auto"/>
            </w:pPr>
            <w:r/>
            <w:r>
              <w:rPr>
                <w:b/>
                <w:i w:val="0"/>
                <w:sz w:val="16"/>
              </w:rPr>
              <w:t>Open grassland (ha)</w:t>
            </w:r>
          </w:p>
        </w:tc>
        <w:tc>
          <w:tcPr>
            <w:tcW w:type="dxa" w:w="850"/>
            <w:shd w:val="clear" w:color="auto" w:fill="DBD2C3"/>
          </w:tcPr>
          <w:p>
            <w:pPr>
              <w:spacing w:after="0" w:line="240" w:lineRule="auto"/>
            </w:pPr>
            <w:r/>
            <w:r>
              <w:rPr>
                <w:b/>
                <w:i w:val="0"/>
                <w:sz w:val="16"/>
              </w:rPr>
              <w:t>Flat 0–7°</w:t>
            </w:r>
          </w:p>
        </w:tc>
        <w:tc>
          <w:tcPr>
            <w:tcW w:type="dxa" w:w="964"/>
            <w:shd w:val="clear" w:color="auto" w:fill="DBD2C3"/>
          </w:tcPr>
          <w:p>
            <w:pPr>
              <w:spacing w:after="0" w:line="240" w:lineRule="auto"/>
            </w:pPr>
            <w:r/>
            <w:r>
              <w:rPr>
                <w:b/>
                <w:i w:val="0"/>
                <w:sz w:val="16"/>
              </w:rPr>
              <w:t>Rolling 8–20°</w:t>
            </w:r>
          </w:p>
        </w:tc>
        <w:tc>
          <w:tcPr>
            <w:tcW w:type="dxa" w:w="1134"/>
            <w:shd w:val="clear" w:color="auto" w:fill="DBD2C3"/>
          </w:tcPr>
          <w:p>
            <w:pPr>
              <w:spacing w:after="0" w:line="240" w:lineRule="auto"/>
            </w:pPr>
            <w:r/>
            <w:r>
              <w:rPr>
                <w:b/>
                <w:i w:val="0"/>
                <w:sz w:val="16"/>
              </w:rPr>
              <w:t>Medium hill 21–35°</w:t>
            </w:r>
          </w:p>
        </w:tc>
        <w:tc>
          <w:tcPr>
            <w:tcW w:type="dxa" w:w="850"/>
            <w:shd w:val="clear" w:color="auto" w:fill="DBD2C3"/>
          </w:tcPr>
          <w:p>
            <w:pPr>
              <w:spacing w:after="0" w:line="240" w:lineRule="auto"/>
            </w:pPr>
            <w:r/>
            <w:r>
              <w:rPr>
                <w:b/>
                <w:i w:val="0"/>
                <w:sz w:val="16"/>
              </w:rPr>
              <w:t>Steep &gt;35°</w:t>
            </w:r>
          </w:p>
        </w:tc>
        <w:tc>
          <w:tcPr>
            <w:tcW w:type="dxa" w:w="1247"/>
            <w:shd w:val="clear" w:color="auto" w:fill="DBD2C3"/>
          </w:tcPr>
          <w:p>
            <w:pPr>
              <w:spacing w:after="0" w:line="240" w:lineRule="auto"/>
            </w:pPr>
            <w:r/>
            <w:r>
              <w:rPr>
                <w:b/>
                <w:i w:val="0"/>
                <w:sz w:val="16"/>
              </w:rPr>
              <w:t>Leased</w:t>
            </w:r>
          </w:p>
        </w:tc>
        <w:tc>
          <w:tcPr>
            <w:tcW w:type="dxa" w:w="2041"/>
            <w:shd w:val="clear" w:color="auto" w:fill="DBD2C3"/>
          </w:tcPr>
          <w:p>
            <w:pPr>
              <w:spacing w:after="0" w:line="240" w:lineRule="auto"/>
            </w:pPr>
            <w:r/>
            <w:r>
              <w:rPr>
                <w:b/>
                <w:i w:val="0"/>
                <w:sz w:val="16"/>
              </w:rPr>
              <w:t>Improvements (CBRE 2024)</w:t>
            </w:r>
          </w:p>
        </w:tc>
      </w:tr>
      <w:tr>
        <w:tc>
          <w:tcPr>
            <w:tcW w:type="dxa" w:w="1474"/>
          </w:tcPr>
          <w:p>
            <w:pPr>
              <w:spacing w:after="0" w:line="240" w:lineRule="auto"/>
            </w:pPr>
            <w:r/>
            <w:r>
              <w:rPr>
                <w:b w:val="0"/>
                <w:i w:val="0"/>
                <w:sz w:val="16"/>
              </w:rPr>
              <w:t>Longreach</w:t>
            </w:r>
          </w:p>
        </w:tc>
        <w:tc>
          <w:tcPr>
            <w:tcW w:type="dxa" w:w="1077"/>
          </w:tcPr>
          <w:p>
            <w:pPr>
              <w:spacing w:after="0" w:line="240" w:lineRule="auto"/>
              <w:jc w:val="right"/>
            </w:pPr>
            <w:r/>
            <w:r>
              <w:rPr>
                <w:b w:val="0"/>
                <w:i w:val="0"/>
                <w:sz w:val="16"/>
              </w:rPr>
              <w:t>362</w:t>
            </w:r>
          </w:p>
        </w:tc>
        <w:tc>
          <w:tcPr>
            <w:tcW w:type="dxa" w:w="850"/>
          </w:tcPr>
          <w:p>
            <w:pPr>
              <w:spacing w:after="0" w:line="240" w:lineRule="auto"/>
              <w:jc w:val="right"/>
            </w:pPr>
            <w:r/>
            <w:r>
              <w:rPr>
                <w:b w:val="0"/>
                <w:i w:val="0"/>
                <w:sz w:val="16"/>
              </w:rPr>
              <w:t>10</w:t>
            </w:r>
          </w:p>
        </w:tc>
        <w:tc>
          <w:tcPr>
            <w:tcW w:type="dxa" w:w="964"/>
          </w:tcPr>
          <w:p>
            <w:pPr>
              <w:spacing w:after="0" w:line="240" w:lineRule="auto"/>
              <w:jc w:val="right"/>
            </w:pPr>
            <w:r/>
            <w:r>
              <w:rPr>
                <w:b w:val="0"/>
                <w:i w:val="0"/>
                <w:sz w:val="16"/>
              </w:rPr>
              <w:t>53</w:t>
            </w:r>
          </w:p>
        </w:tc>
        <w:tc>
          <w:tcPr>
            <w:tcW w:type="dxa" w:w="1134"/>
          </w:tcPr>
          <w:p>
            <w:pPr>
              <w:spacing w:after="0" w:line="240" w:lineRule="auto"/>
              <w:jc w:val="right"/>
            </w:pPr>
            <w:r/>
            <w:r>
              <w:rPr>
                <w:b w:val="0"/>
                <w:i w:val="0"/>
                <w:sz w:val="16"/>
              </w:rPr>
              <w:t>149</w:t>
            </w:r>
          </w:p>
        </w:tc>
        <w:tc>
          <w:tcPr>
            <w:tcW w:type="dxa" w:w="850"/>
          </w:tcPr>
          <w:p>
            <w:pPr>
              <w:spacing w:after="0" w:line="240" w:lineRule="auto"/>
              <w:jc w:val="right"/>
            </w:pPr>
            <w:r/>
            <w:r>
              <w:rPr>
                <w:b w:val="0"/>
                <w:i w:val="0"/>
                <w:sz w:val="16"/>
              </w:rPr>
              <w:t>151</w:t>
            </w:r>
          </w:p>
        </w:tc>
        <w:tc>
          <w:tcPr>
            <w:tcW w:type="dxa" w:w="1247"/>
          </w:tcPr>
          <w:p>
            <w:pPr>
              <w:spacing w:after="0" w:line="240" w:lineRule="auto"/>
            </w:pPr>
            <w:r/>
            <w:r>
              <w:rPr>
                <w:b w:val="0"/>
                <w:i w:val="0"/>
                <w:sz w:val="16"/>
              </w:rPr>
              <w:t>No</w:t>
            </w:r>
          </w:p>
        </w:tc>
        <w:tc>
          <w:tcPr>
            <w:tcW w:type="dxa" w:w="2041"/>
          </w:tcPr>
          <w:p>
            <w:pPr>
              <w:spacing w:after="0" w:line="240" w:lineRule="auto"/>
            </w:pPr>
            <w:r/>
            <w:r>
              <w:rPr>
                <w:b/>
                <w:i w:val="0"/>
                <w:color w:val="B01E1E"/>
                <w:sz w:val="16"/>
              </w:rPr>
              <w:t>[TBC – schedule]</w:t>
            </w:r>
          </w:p>
        </w:tc>
      </w:tr>
      <w:tr>
        <w:tc>
          <w:tcPr>
            <w:tcW w:type="dxa" w:w="1474"/>
            <w:shd w:val="clear" w:color="auto" w:fill="FAF9F6"/>
          </w:tcPr>
          <w:p>
            <w:pPr>
              <w:spacing w:after="0" w:line="240" w:lineRule="auto"/>
            </w:pPr>
            <w:r/>
            <w:r>
              <w:rPr>
                <w:b w:val="0"/>
                <w:i w:val="0"/>
                <w:sz w:val="16"/>
              </w:rPr>
              <w:t>Puau Road</w:t>
            </w:r>
          </w:p>
        </w:tc>
        <w:tc>
          <w:tcPr>
            <w:tcW w:type="dxa" w:w="1077"/>
            <w:shd w:val="clear" w:color="auto" w:fill="FAF9F6"/>
          </w:tcPr>
          <w:p>
            <w:pPr>
              <w:spacing w:after="0" w:line="240" w:lineRule="auto"/>
              <w:jc w:val="right"/>
            </w:pPr>
            <w:r/>
            <w:r>
              <w:rPr>
                <w:b w:val="0"/>
                <w:i w:val="0"/>
                <w:sz w:val="16"/>
              </w:rPr>
              <w:t>358</w:t>
            </w:r>
          </w:p>
        </w:tc>
        <w:tc>
          <w:tcPr>
            <w:tcW w:type="dxa" w:w="850"/>
            <w:shd w:val="clear" w:color="auto" w:fill="FAF9F6"/>
          </w:tcPr>
          <w:p>
            <w:pPr>
              <w:spacing w:after="0" w:line="240" w:lineRule="auto"/>
              <w:jc w:val="right"/>
            </w:pPr>
            <w:r/>
            <w:r>
              <w:rPr>
                <w:b w:val="0"/>
                <w:i w:val="0"/>
                <w:sz w:val="16"/>
              </w:rPr>
              <w:t>45</w:t>
            </w:r>
          </w:p>
        </w:tc>
        <w:tc>
          <w:tcPr>
            <w:tcW w:type="dxa" w:w="964"/>
            <w:shd w:val="clear" w:color="auto" w:fill="FAF9F6"/>
          </w:tcPr>
          <w:p>
            <w:pPr>
              <w:spacing w:after="0" w:line="240" w:lineRule="auto"/>
              <w:jc w:val="right"/>
            </w:pPr>
            <w:r/>
            <w:r>
              <w:rPr>
                <w:b w:val="0"/>
                <w:i w:val="0"/>
                <w:sz w:val="16"/>
              </w:rPr>
              <w:t>45</w:t>
            </w:r>
          </w:p>
        </w:tc>
        <w:tc>
          <w:tcPr>
            <w:tcW w:type="dxa" w:w="1134"/>
            <w:shd w:val="clear" w:color="auto" w:fill="FAF9F6"/>
          </w:tcPr>
          <w:p>
            <w:pPr>
              <w:spacing w:after="0" w:line="240" w:lineRule="auto"/>
              <w:jc w:val="right"/>
            </w:pPr>
            <w:r/>
            <w:r>
              <w:rPr>
                <w:b w:val="0"/>
                <w:i w:val="0"/>
                <w:sz w:val="16"/>
              </w:rPr>
              <w:t>154</w:t>
            </w:r>
          </w:p>
        </w:tc>
        <w:tc>
          <w:tcPr>
            <w:tcW w:type="dxa" w:w="850"/>
            <w:shd w:val="clear" w:color="auto" w:fill="FAF9F6"/>
          </w:tcPr>
          <w:p>
            <w:pPr>
              <w:spacing w:after="0" w:line="240" w:lineRule="auto"/>
              <w:jc w:val="right"/>
            </w:pPr>
            <w:r/>
            <w:r>
              <w:rPr>
                <w:b w:val="0"/>
                <w:i w:val="0"/>
                <w:sz w:val="16"/>
              </w:rPr>
              <w:t>114</w:t>
            </w:r>
          </w:p>
        </w:tc>
        <w:tc>
          <w:tcPr>
            <w:tcW w:type="dxa" w:w="1247"/>
            <w:shd w:val="clear" w:color="auto" w:fill="FAF9F6"/>
          </w:tcPr>
          <w:p>
            <w:pPr>
              <w:spacing w:after="0" w:line="240" w:lineRule="auto"/>
            </w:pPr>
            <w:r/>
            <w:r>
              <w:rPr>
                <w:b w:val="0"/>
                <w:i w:val="0"/>
                <w:sz w:val="16"/>
              </w:rPr>
              <w:t>Part – 948077</w:t>
            </w:r>
          </w:p>
        </w:tc>
        <w:tc>
          <w:tcPr>
            <w:tcW w:type="dxa" w:w="2041"/>
            <w:shd w:val="clear" w:color="auto" w:fill="FAF9F6"/>
          </w:tcPr>
          <w:p>
            <w:pPr>
              <w:spacing w:after="0" w:line="240" w:lineRule="auto"/>
            </w:pPr>
            <w:r/>
            <w:r>
              <w:rPr>
                <w:b/>
                <w:i w:val="0"/>
                <w:color w:val="B01E1E"/>
                <w:sz w:val="16"/>
              </w:rPr>
              <w:t>[TBC – schedule]</w:t>
            </w:r>
          </w:p>
        </w:tc>
      </w:tr>
      <w:tr>
        <w:tc>
          <w:tcPr>
            <w:tcW w:type="dxa" w:w="1474"/>
          </w:tcPr>
          <w:p>
            <w:pPr>
              <w:spacing w:after="0" w:line="240" w:lineRule="auto"/>
            </w:pPr>
            <w:r/>
            <w:r>
              <w:rPr>
                <w:b w:val="0"/>
                <w:i w:val="0"/>
                <w:sz w:val="16"/>
              </w:rPr>
              <w:t>Eastern Block</w:t>
            </w:r>
          </w:p>
        </w:tc>
        <w:tc>
          <w:tcPr>
            <w:tcW w:type="dxa" w:w="1077"/>
          </w:tcPr>
          <w:p>
            <w:pPr>
              <w:spacing w:after="0" w:line="240" w:lineRule="auto"/>
              <w:jc w:val="right"/>
            </w:pPr>
            <w:r/>
            <w:r>
              <w:rPr>
                <w:b w:val="0"/>
                <w:i w:val="0"/>
                <w:sz w:val="16"/>
              </w:rPr>
              <w:t>302</w:t>
            </w:r>
          </w:p>
        </w:tc>
        <w:tc>
          <w:tcPr>
            <w:tcW w:type="dxa" w:w="850"/>
          </w:tcPr>
          <w:p>
            <w:pPr>
              <w:spacing w:after="0" w:line="240" w:lineRule="auto"/>
              <w:jc w:val="right"/>
            </w:pPr>
            <w:r/>
            <w:r>
              <w:rPr>
                <w:b w:val="0"/>
                <w:i w:val="0"/>
                <w:sz w:val="16"/>
              </w:rPr>
              <w:t>18</w:t>
            </w:r>
          </w:p>
        </w:tc>
        <w:tc>
          <w:tcPr>
            <w:tcW w:type="dxa" w:w="964"/>
          </w:tcPr>
          <w:p>
            <w:pPr>
              <w:spacing w:after="0" w:line="240" w:lineRule="auto"/>
              <w:jc w:val="right"/>
            </w:pPr>
            <w:r/>
            <w:r>
              <w:rPr>
                <w:b w:val="0"/>
                <w:i w:val="0"/>
                <w:sz w:val="16"/>
              </w:rPr>
              <w:t>64</w:t>
            </w:r>
          </w:p>
        </w:tc>
        <w:tc>
          <w:tcPr>
            <w:tcW w:type="dxa" w:w="1134"/>
          </w:tcPr>
          <w:p>
            <w:pPr>
              <w:spacing w:after="0" w:line="240" w:lineRule="auto"/>
              <w:jc w:val="right"/>
            </w:pPr>
            <w:r/>
            <w:r>
              <w:rPr>
                <w:b w:val="0"/>
                <w:i w:val="0"/>
                <w:sz w:val="16"/>
              </w:rPr>
              <w:t>140</w:t>
            </w:r>
          </w:p>
        </w:tc>
        <w:tc>
          <w:tcPr>
            <w:tcW w:type="dxa" w:w="850"/>
          </w:tcPr>
          <w:p>
            <w:pPr>
              <w:spacing w:after="0" w:line="240" w:lineRule="auto"/>
              <w:jc w:val="right"/>
            </w:pPr>
            <w:r/>
            <w:r>
              <w:rPr>
                <w:b w:val="0"/>
                <w:i w:val="0"/>
                <w:sz w:val="16"/>
              </w:rPr>
              <w:t>80</w:t>
            </w:r>
          </w:p>
        </w:tc>
        <w:tc>
          <w:tcPr>
            <w:tcW w:type="dxa" w:w="1247"/>
          </w:tcPr>
          <w:p>
            <w:pPr>
              <w:spacing w:after="0" w:line="240" w:lineRule="auto"/>
            </w:pPr>
            <w:r/>
            <w:r>
              <w:rPr>
                <w:b w:val="0"/>
                <w:i w:val="0"/>
                <w:sz w:val="16"/>
              </w:rPr>
              <w:t>Yes – TNE3/649</w:t>
            </w:r>
          </w:p>
        </w:tc>
        <w:tc>
          <w:tcPr>
            <w:tcW w:type="dxa" w:w="2041"/>
          </w:tcPr>
          <w:p>
            <w:pPr>
              <w:spacing w:after="0" w:line="240" w:lineRule="auto"/>
            </w:pPr>
            <w:r/>
            <w:r>
              <w:rPr>
                <w:b/>
                <w:i w:val="0"/>
                <w:color w:val="B01E1E"/>
                <w:sz w:val="16"/>
              </w:rPr>
              <w:t>[TBC – schedule]</w:t>
            </w:r>
          </w:p>
        </w:tc>
      </w:tr>
      <w:tr>
        <w:tc>
          <w:tcPr>
            <w:tcW w:type="dxa" w:w="1474"/>
            <w:shd w:val="clear" w:color="auto" w:fill="FAF9F6"/>
          </w:tcPr>
          <w:p>
            <w:pPr>
              <w:spacing w:after="0" w:line="240" w:lineRule="auto"/>
            </w:pPr>
            <w:r/>
            <w:r>
              <w:rPr>
                <w:b w:val="0"/>
                <w:i w:val="0"/>
                <w:sz w:val="16"/>
              </w:rPr>
              <w:t>Back Farm</w:t>
            </w:r>
          </w:p>
        </w:tc>
        <w:tc>
          <w:tcPr>
            <w:tcW w:type="dxa" w:w="1077"/>
            <w:shd w:val="clear" w:color="auto" w:fill="FAF9F6"/>
          </w:tcPr>
          <w:p>
            <w:pPr>
              <w:spacing w:after="0" w:line="240" w:lineRule="auto"/>
              <w:jc w:val="right"/>
            </w:pPr>
            <w:r/>
            <w:r>
              <w:rPr>
                <w:b w:val="0"/>
                <w:i w:val="0"/>
                <w:sz w:val="16"/>
              </w:rPr>
              <w:t>264</w:t>
            </w:r>
          </w:p>
        </w:tc>
        <w:tc>
          <w:tcPr>
            <w:tcW w:type="dxa" w:w="850"/>
            <w:shd w:val="clear" w:color="auto" w:fill="FAF9F6"/>
          </w:tcPr>
          <w:p>
            <w:pPr>
              <w:spacing w:after="0" w:line="240" w:lineRule="auto"/>
              <w:jc w:val="right"/>
            </w:pPr>
            <w:r/>
            <w:r>
              <w:rPr>
                <w:b w:val="0"/>
                <w:i w:val="0"/>
                <w:sz w:val="16"/>
              </w:rPr>
              <w:t>19</w:t>
            </w:r>
          </w:p>
        </w:tc>
        <w:tc>
          <w:tcPr>
            <w:tcW w:type="dxa" w:w="964"/>
            <w:shd w:val="clear" w:color="auto" w:fill="FAF9F6"/>
          </w:tcPr>
          <w:p>
            <w:pPr>
              <w:spacing w:after="0" w:line="240" w:lineRule="auto"/>
              <w:jc w:val="right"/>
            </w:pPr>
            <w:r/>
            <w:r>
              <w:rPr>
                <w:b w:val="0"/>
                <w:i w:val="0"/>
                <w:sz w:val="16"/>
              </w:rPr>
              <w:t>40</w:t>
            </w:r>
          </w:p>
        </w:tc>
        <w:tc>
          <w:tcPr>
            <w:tcW w:type="dxa" w:w="1134"/>
            <w:shd w:val="clear" w:color="auto" w:fill="FAF9F6"/>
          </w:tcPr>
          <w:p>
            <w:pPr>
              <w:spacing w:after="0" w:line="240" w:lineRule="auto"/>
              <w:jc w:val="right"/>
            </w:pPr>
            <w:r/>
            <w:r>
              <w:rPr>
                <w:b w:val="0"/>
                <w:i w:val="0"/>
                <w:sz w:val="16"/>
              </w:rPr>
              <w:t>120</w:t>
            </w:r>
          </w:p>
        </w:tc>
        <w:tc>
          <w:tcPr>
            <w:tcW w:type="dxa" w:w="850"/>
            <w:shd w:val="clear" w:color="auto" w:fill="FAF9F6"/>
          </w:tcPr>
          <w:p>
            <w:pPr>
              <w:spacing w:after="0" w:line="240" w:lineRule="auto"/>
              <w:jc w:val="right"/>
            </w:pPr>
            <w:r/>
            <w:r>
              <w:rPr>
                <w:b w:val="0"/>
                <w:i w:val="0"/>
                <w:sz w:val="16"/>
              </w:rPr>
              <w:t>85</w:t>
            </w:r>
          </w:p>
        </w:tc>
        <w:tc>
          <w:tcPr>
            <w:tcW w:type="dxa" w:w="1247"/>
            <w:shd w:val="clear" w:color="auto" w:fill="FAF9F6"/>
          </w:tcPr>
          <w:p>
            <w:pPr>
              <w:spacing w:after="0" w:line="240" w:lineRule="auto"/>
            </w:pPr>
            <w:r/>
            <w:r>
              <w:rPr>
                <w:b w:val="0"/>
                <w:i w:val="0"/>
                <w:sz w:val="16"/>
              </w:rPr>
              <w:t>No</w:t>
            </w:r>
          </w:p>
        </w:tc>
        <w:tc>
          <w:tcPr>
            <w:tcW w:type="dxa" w:w="2041"/>
            <w:shd w:val="clear" w:color="auto" w:fill="FAF9F6"/>
          </w:tcPr>
          <w:p>
            <w:pPr>
              <w:spacing w:after="0" w:line="240" w:lineRule="auto"/>
            </w:pPr>
            <w:r/>
            <w:r>
              <w:rPr>
                <w:b/>
                <w:i w:val="0"/>
                <w:color w:val="B01E1E"/>
                <w:sz w:val="16"/>
              </w:rPr>
              <w:t>[TBC – schedule]</w:t>
            </w:r>
          </w:p>
        </w:tc>
      </w:tr>
      <w:tr>
        <w:tc>
          <w:tcPr>
            <w:tcW w:type="dxa" w:w="1474"/>
          </w:tcPr>
          <w:p>
            <w:pPr>
              <w:spacing w:after="0" w:line="240" w:lineRule="auto"/>
            </w:pPr>
            <w:r/>
            <w:r>
              <w:rPr>
                <w:b w:val="0"/>
                <w:i w:val="0"/>
                <w:sz w:val="16"/>
              </w:rPr>
              <w:t>Front Farm</w:t>
            </w:r>
          </w:p>
        </w:tc>
        <w:tc>
          <w:tcPr>
            <w:tcW w:type="dxa" w:w="1077"/>
          </w:tcPr>
          <w:p>
            <w:pPr>
              <w:spacing w:after="0" w:line="240" w:lineRule="auto"/>
              <w:jc w:val="right"/>
            </w:pPr>
            <w:r/>
            <w:r>
              <w:rPr>
                <w:b w:val="0"/>
                <w:i w:val="0"/>
                <w:sz w:val="16"/>
              </w:rPr>
              <w:t>227</w:t>
            </w:r>
          </w:p>
        </w:tc>
        <w:tc>
          <w:tcPr>
            <w:tcW w:type="dxa" w:w="850"/>
          </w:tcPr>
          <w:p>
            <w:pPr>
              <w:spacing w:after="0" w:line="240" w:lineRule="auto"/>
              <w:jc w:val="right"/>
            </w:pPr>
            <w:r/>
            <w:r>
              <w:rPr>
                <w:b w:val="0"/>
                <w:i w:val="0"/>
                <w:sz w:val="16"/>
              </w:rPr>
              <w:t>46</w:t>
            </w:r>
          </w:p>
        </w:tc>
        <w:tc>
          <w:tcPr>
            <w:tcW w:type="dxa" w:w="964"/>
          </w:tcPr>
          <w:p>
            <w:pPr>
              <w:spacing w:after="0" w:line="240" w:lineRule="auto"/>
              <w:jc w:val="right"/>
            </w:pPr>
            <w:r/>
            <w:r>
              <w:rPr>
                <w:b w:val="0"/>
                <w:i w:val="0"/>
                <w:sz w:val="16"/>
              </w:rPr>
              <w:t>86</w:t>
            </w:r>
          </w:p>
        </w:tc>
        <w:tc>
          <w:tcPr>
            <w:tcW w:type="dxa" w:w="1134"/>
          </w:tcPr>
          <w:p>
            <w:pPr>
              <w:spacing w:after="0" w:line="240" w:lineRule="auto"/>
              <w:jc w:val="right"/>
            </w:pPr>
            <w:r/>
            <w:r>
              <w:rPr>
                <w:b w:val="0"/>
                <w:i w:val="0"/>
                <w:sz w:val="16"/>
              </w:rPr>
              <w:t>72</w:t>
            </w:r>
          </w:p>
        </w:tc>
        <w:tc>
          <w:tcPr>
            <w:tcW w:type="dxa" w:w="850"/>
          </w:tcPr>
          <w:p>
            <w:pPr>
              <w:spacing w:after="0" w:line="240" w:lineRule="auto"/>
              <w:jc w:val="right"/>
            </w:pPr>
            <w:r/>
            <w:r>
              <w:rPr>
                <w:b w:val="0"/>
                <w:i w:val="0"/>
                <w:sz w:val="16"/>
              </w:rPr>
              <w:t>23</w:t>
            </w:r>
          </w:p>
        </w:tc>
        <w:tc>
          <w:tcPr>
            <w:tcW w:type="dxa" w:w="1247"/>
          </w:tcPr>
          <w:p>
            <w:pPr>
              <w:spacing w:after="0" w:line="240" w:lineRule="auto"/>
            </w:pPr>
            <w:r/>
            <w:r>
              <w:rPr>
                <w:b w:val="0"/>
                <w:i w:val="0"/>
                <w:sz w:val="16"/>
              </w:rPr>
              <w:t>Yes – 451953</w:t>
            </w:r>
          </w:p>
        </w:tc>
        <w:tc>
          <w:tcPr>
            <w:tcW w:type="dxa" w:w="2041"/>
          </w:tcPr>
          <w:p>
            <w:pPr>
              <w:spacing w:after="0" w:line="240" w:lineRule="auto"/>
            </w:pPr>
            <w:r/>
            <w:r>
              <w:rPr>
                <w:b/>
                <w:i w:val="0"/>
                <w:color w:val="B01E1E"/>
                <w:sz w:val="16"/>
              </w:rPr>
              <w:t>[TBC – schedule]</w:t>
            </w:r>
          </w:p>
        </w:tc>
      </w:tr>
      <w:tr>
        <w:tc>
          <w:tcPr>
            <w:tcW w:type="dxa" w:w="1474"/>
            <w:shd w:val="clear" w:color="auto" w:fill="FAF9F6"/>
          </w:tcPr>
          <w:p>
            <w:pPr>
              <w:spacing w:after="0" w:line="240" w:lineRule="auto"/>
            </w:pPr>
            <w:r/>
            <w:r>
              <w:rPr>
                <w:b w:val="0"/>
                <w:i w:val="0"/>
                <w:sz w:val="16"/>
              </w:rPr>
              <w:t>Moonys</w:t>
            </w:r>
          </w:p>
        </w:tc>
        <w:tc>
          <w:tcPr>
            <w:tcW w:type="dxa" w:w="1077"/>
            <w:shd w:val="clear" w:color="auto" w:fill="FAF9F6"/>
          </w:tcPr>
          <w:p>
            <w:pPr>
              <w:spacing w:after="0" w:line="240" w:lineRule="auto"/>
              <w:jc w:val="right"/>
            </w:pPr>
            <w:r/>
            <w:r>
              <w:rPr>
                <w:b w:val="0"/>
                <w:i w:val="0"/>
                <w:sz w:val="16"/>
              </w:rPr>
              <w:t>159</w:t>
            </w:r>
          </w:p>
        </w:tc>
        <w:tc>
          <w:tcPr>
            <w:tcW w:type="dxa" w:w="850"/>
            <w:shd w:val="clear" w:color="auto" w:fill="FAF9F6"/>
          </w:tcPr>
          <w:p>
            <w:pPr>
              <w:spacing w:after="0" w:line="240" w:lineRule="auto"/>
              <w:jc w:val="right"/>
            </w:pPr>
            <w:r/>
            <w:r>
              <w:rPr>
                <w:b w:val="0"/>
                <w:i w:val="0"/>
                <w:sz w:val="16"/>
              </w:rPr>
              <w:t>25</w:t>
            </w:r>
          </w:p>
        </w:tc>
        <w:tc>
          <w:tcPr>
            <w:tcW w:type="dxa" w:w="964"/>
            <w:shd w:val="clear" w:color="auto" w:fill="FAF9F6"/>
          </w:tcPr>
          <w:p>
            <w:pPr>
              <w:spacing w:after="0" w:line="240" w:lineRule="auto"/>
              <w:jc w:val="right"/>
            </w:pPr>
            <w:r/>
            <w:r>
              <w:rPr>
                <w:b w:val="0"/>
                <w:i w:val="0"/>
                <w:sz w:val="16"/>
              </w:rPr>
              <w:t>27</w:t>
            </w:r>
          </w:p>
        </w:tc>
        <w:tc>
          <w:tcPr>
            <w:tcW w:type="dxa" w:w="1134"/>
            <w:shd w:val="clear" w:color="auto" w:fill="FAF9F6"/>
          </w:tcPr>
          <w:p>
            <w:pPr>
              <w:spacing w:after="0" w:line="240" w:lineRule="auto"/>
              <w:jc w:val="right"/>
            </w:pPr>
            <w:r/>
            <w:r>
              <w:rPr>
                <w:b w:val="0"/>
                <w:i w:val="0"/>
                <w:sz w:val="16"/>
              </w:rPr>
              <w:t>69</w:t>
            </w:r>
          </w:p>
        </w:tc>
        <w:tc>
          <w:tcPr>
            <w:tcW w:type="dxa" w:w="850"/>
            <w:shd w:val="clear" w:color="auto" w:fill="FAF9F6"/>
          </w:tcPr>
          <w:p>
            <w:pPr>
              <w:spacing w:after="0" w:line="240" w:lineRule="auto"/>
              <w:jc w:val="right"/>
            </w:pPr>
            <w:r/>
            <w:r>
              <w:rPr>
                <w:b w:val="0"/>
                <w:i w:val="0"/>
                <w:sz w:val="16"/>
              </w:rPr>
              <w:t>38</w:t>
            </w:r>
          </w:p>
        </w:tc>
        <w:tc>
          <w:tcPr>
            <w:tcW w:type="dxa" w:w="1247"/>
            <w:shd w:val="clear" w:color="auto" w:fill="FAF9F6"/>
          </w:tcPr>
          <w:p>
            <w:pPr>
              <w:spacing w:after="0" w:line="240" w:lineRule="auto"/>
            </w:pPr>
            <w:r/>
            <w:r>
              <w:rPr>
                <w:b w:val="0"/>
                <w:i w:val="0"/>
                <w:sz w:val="16"/>
              </w:rPr>
              <w:t>No</w:t>
            </w:r>
          </w:p>
        </w:tc>
        <w:tc>
          <w:tcPr>
            <w:tcW w:type="dxa" w:w="2041"/>
            <w:shd w:val="clear" w:color="auto" w:fill="FAF9F6"/>
          </w:tcPr>
          <w:p>
            <w:pPr>
              <w:spacing w:after="0" w:line="240" w:lineRule="auto"/>
            </w:pPr>
            <w:r/>
            <w:r>
              <w:rPr>
                <w:b/>
                <w:i w:val="0"/>
                <w:color w:val="B01E1E"/>
                <w:sz w:val="16"/>
              </w:rPr>
              <w:t>[TBC – schedule]</w:t>
            </w:r>
          </w:p>
        </w:tc>
      </w:tr>
      <w:tr>
        <w:tc>
          <w:tcPr>
            <w:tcW w:type="dxa" w:w="1474"/>
          </w:tcPr>
          <w:p>
            <w:pPr>
              <w:spacing w:after="0" w:line="240" w:lineRule="auto"/>
            </w:pPr>
            <w:r/>
            <w:r>
              <w:rPr>
                <w:b w:val="0"/>
                <w:i w:val="0"/>
                <w:sz w:val="16"/>
              </w:rPr>
              <w:t>Ernies</w:t>
            </w:r>
          </w:p>
        </w:tc>
        <w:tc>
          <w:tcPr>
            <w:tcW w:type="dxa" w:w="1077"/>
          </w:tcPr>
          <w:p>
            <w:pPr>
              <w:spacing w:after="0" w:line="240" w:lineRule="auto"/>
              <w:jc w:val="right"/>
            </w:pPr>
            <w:r/>
            <w:r>
              <w:rPr>
                <w:b w:val="0"/>
                <w:i w:val="0"/>
                <w:sz w:val="16"/>
              </w:rPr>
              <w:t>130</w:t>
            </w:r>
          </w:p>
        </w:tc>
        <w:tc>
          <w:tcPr>
            <w:tcW w:type="dxa" w:w="850"/>
          </w:tcPr>
          <w:p>
            <w:pPr>
              <w:spacing w:after="0" w:line="240" w:lineRule="auto"/>
              <w:jc w:val="right"/>
            </w:pPr>
            <w:r/>
            <w:r>
              <w:rPr>
                <w:b w:val="0"/>
                <w:i w:val="0"/>
                <w:sz w:val="16"/>
              </w:rPr>
              <w:t>20</w:t>
            </w:r>
          </w:p>
        </w:tc>
        <w:tc>
          <w:tcPr>
            <w:tcW w:type="dxa" w:w="964"/>
          </w:tcPr>
          <w:p>
            <w:pPr>
              <w:spacing w:after="0" w:line="240" w:lineRule="auto"/>
              <w:jc w:val="right"/>
            </w:pPr>
            <w:r/>
            <w:r>
              <w:rPr>
                <w:b w:val="0"/>
                <w:i w:val="0"/>
                <w:sz w:val="16"/>
              </w:rPr>
              <w:t>46</w:t>
            </w:r>
          </w:p>
        </w:tc>
        <w:tc>
          <w:tcPr>
            <w:tcW w:type="dxa" w:w="1134"/>
          </w:tcPr>
          <w:p>
            <w:pPr>
              <w:spacing w:after="0" w:line="240" w:lineRule="auto"/>
              <w:jc w:val="right"/>
            </w:pPr>
            <w:r/>
            <w:r>
              <w:rPr>
                <w:b w:val="0"/>
                <w:i w:val="0"/>
                <w:sz w:val="16"/>
              </w:rPr>
              <w:t>48</w:t>
            </w:r>
          </w:p>
        </w:tc>
        <w:tc>
          <w:tcPr>
            <w:tcW w:type="dxa" w:w="850"/>
          </w:tcPr>
          <w:p>
            <w:pPr>
              <w:spacing w:after="0" w:line="240" w:lineRule="auto"/>
              <w:jc w:val="right"/>
            </w:pPr>
            <w:r/>
            <w:r>
              <w:rPr>
                <w:b w:val="0"/>
                <w:i w:val="0"/>
                <w:sz w:val="16"/>
              </w:rPr>
              <w:t>17</w:t>
            </w:r>
          </w:p>
        </w:tc>
        <w:tc>
          <w:tcPr>
            <w:tcW w:type="dxa" w:w="1247"/>
          </w:tcPr>
          <w:p>
            <w:pPr>
              <w:spacing w:after="0" w:line="240" w:lineRule="auto"/>
            </w:pPr>
            <w:r/>
            <w:r>
              <w:rPr>
                <w:b w:val="0"/>
                <w:i w:val="0"/>
                <w:sz w:val="16"/>
              </w:rPr>
              <w:t>No</w:t>
            </w:r>
          </w:p>
        </w:tc>
        <w:tc>
          <w:tcPr>
            <w:tcW w:type="dxa" w:w="2041"/>
          </w:tcPr>
          <w:p>
            <w:pPr>
              <w:spacing w:after="0" w:line="240" w:lineRule="auto"/>
            </w:pPr>
            <w:r/>
            <w:r>
              <w:rPr>
                <w:b/>
                <w:i w:val="0"/>
                <w:color w:val="B01E1E"/>
                <w:sz w:val="16"/>
              </w:rPr>
              <w:t>[TBC – schedule]</w:t>
            </w:r>
          </w:p>
        </w:tc>
      </w:tr>
      <w:tr>
        <w:tc>
          <w:tcPr>
            <w:tcW w:type="dxa" w:w="1474"/>
            <w:shd w:val="clear" w:color="auto" w:fill="FAF9F6"/>
          </w:tcPr>
          <w:p>
            <w:pPr>
              <w:spacing w:after="0" w:line="240" w:lineRule="auto"/>
            </w:pPr>
            <w:r/>
            <w:r>
              <w:rPr>
                <w:b w:val="0"/>
                <w:i w:val="0"/>
                <w:sz w:val="16"/>
              </w:rPr>
              <w:t>Whangamomona</w:t>
            </w:r>
          </w:p>
        </w:tc>
        <w:tc>
          <w:tcPr>
            <w:tcW w:type="dxa" w:w="1077"/>
            <w:shd w:val="clear" w:color="auto" w:fill="FAF9F6"/>
          </w:tcPr>
          <w:p>
            <w:pPr>
              <w:spacing w:after="0" w:line="240" w:lineRule="auto"/>
              <w:jc w:val="right"/>
            </w:pPr>
            <w:r/>
            <w:r>
              <w:rPr>
                <w:b w:val="0"/>
                <w:i w:val="0"/>
                <w:sz w:val="16"/>
              </w:rPr>
              <w:t>84</w:t>
            </w:r>
          </w:p>
        </w:tc>
        <w:tc>
          <w:tcPr>
            <w:tcW w:type="dxa" w:w="850"/>
            <w:shd w:val="clear" w:color="auto" w:fill="FAF9F6"/>
          </w:tcPr>
          <w:p>
            <w:pPr>
              <w:spacing w:after="0" w:line="240" w:lineRule="auto"/>
              <w:jc w:val="right"/>
            </w:pPr>
            <w:r/>
            <w:r>
              <w:rPr>
                <w:b w:val="0"/>
                <w:i w:val="0"/>
                <w:sz w:val="16"/>
              </w:rPr>
              <w:t>4</w:t>
            </w:r>
          </w:p>
        </w:tc>
        <w:tc>
          <w:tcPr>
            <w:tcW w:type="dxa" w:w="964"/>
            <w:shd w:val="clear" w:color="auto" w:fill="FAF9F6"/>
          </w:tcPr>
          <w:p>
            <w:pPr>
              <w:spacing w:after="0" w:line="240" w:lineRule="auto"/>
              <w:jc w:val="right"/>
            </w:pPr>
            <w:r/>
            <w:r>
              <w:rPr>
                <w:b w:val="0"/>
                <w:i w:val="0"/>
                <w:sz w:val="16"/>
              </w:rPr>
              <w:t>15</w:t>
            </w:r>
          </w:p>
        </w:tc>
        <w:tc>
          <w:tcPr>
            <w:tcW w:type="dxa" w:w="1134"/>
            <w:shd w:val="clear" w:color="auto" w:fill="FAF9F6"/>
          </w:tcPr>
          <w:p>
            <w:pPr>
              <w:spacing w:after="0" w:line="240" w:lineRule="auto"/>
              <w:jc w:val="right"/>
            </w:pPr>
            <w:r/>
            <w:r>
              <w:rPr>
                <w:b w:val="0"/>
                <w:i w:val="0"/>
                <w:sz w:val="16"/>
              </w:rPr>
              <w:t>38</w:t>
            </w:r>
          </w:p>
        </w:tc>
        <w:tc>
          <w:tcPr>
            <w:tcW w:type="dxa" w:w="850"/>
            <w:shd w:val="clear" w:color="auto" w:fill="FAF9F6"/>
          </w:tcPr>
          <w:p>
            <w:pPr>
              <w:spacing w:after="0" w:line="240" w:lineRule="auto"/>
              <w:jc w:val="right"/>
            </w:pPr>
            <w:r/>
            <w:r>
              <w:rPr>
                <w:b w:val="0"/>
                <w:i w:val="0"/>
                <w:sz w:val="16"/>
              </w:rPr>
              <w:t>28</w:t>
            </w:r>
          </w:p>
        </w:tc>
        <w:tc>
          <w:tcPr>
            <w:tcW w:type="dxa" w:w="1247"/>
            <w:shd w:val="clear" w:color="auto" w:fill="FAF9F6"/>
          </w:tcPr>
          <w:p>
            <w:pPr>
              <w:spacing w:after="0" w:line="240" w:lineRule="auto"/>
            </w:pPr>
            <w:r/>
            <w:r>
              <w:rPr>
                <w:b w:val="0"/>
                <w:i w:val="0"/>
                <w:sz w:val="16"/>
              </w:rPr>
              <w:t>No</w:t>
            </w:r>
          </w:p>
        </w:tc>
        <w:tc>
          <w:tcPr>
            <w:tcW w:type="dxa" w:w="2041"/>
            <w:shd w:val="clear" w:color="auto" w:fill="FAF9F6"/>
          </w:tcPr>
          <w:p>
            <w:pPr>
              <w:spacing w:after="0" w:line="240" w:lineRule="auto"/>
            </w:pPr>
            <w:r/>
            <w:r>
              <w:rPr>
                <w:b/>
                <w:i w:val="0"/>
                <w:color w:val="B01E1E"/>
                <w:sz w:val="16"/>
              </w:rPr>
              <w:t>[TBC – schedule]</w:t>
            </w:r>
          </w:p>
        </w:tc>
      </w:tr>
      <w:tr>
        <w:tc>
          <w:tcPr>
            <w:tcW w:type="dxa" w:w="1474"/>
          </w:tcPr>
          <w:p>
            <w:pPr>
              <w:spacing w:after="0" w:line="240" w:lineRule="auto"/>
            </w:pPr>
            <w:r/>
            <w:r>
              <w:rPr>
                <w:b w:val="0"/>
                <w:i w:val="0"/>
                <w:sz w:val="16"/>
              </w:rPr>
              <w:t>Home Block</w:t>
            </w:r>
          </w:p>
        </w:tc>
        <w:tc>
          <w:tcPr>
            <w:tcW w:type="dxa" w:w="1077"/>
          </w:tcPr>
          <w:p>
            <w:pPr>
              <w:spacing w:after="0" w:line="240" w:lineRule="auto"/>
              <w:jc w:val="right"/>
            </w:pPr>
            <w:r/>
            <w:r>
              <w:rPr>
                <w:b w:val="0"/>
                <w:i w:val="0"/>
                <w:sz w:val="16"/>
              </w:rPr>
              <w:t>74</w:t>
            </w:r>
          </w:p>
        </w:tc>
        <w:tc>
          <w:tcPr>
            <w:tcW w:type="dxa" w:w="850"/>
          </w:tcPr>
          <w:p>
            <w:pPr>
              <w:spacing w:after="0" w:line="240" w:lineRule="auto"/>
              <w:jc w:val="right"/>
            </w:pPr>
            <w:r/>
            <w:r>
              <w:rPr>
                <w:b w:val="0"/>
                <w:i w:val="0"/>
                <w:sz w:val="16"/>
              </w:rPr>
              <w:t>5</w:t>
            </w:r>
          </w:p>
        </w:tc>
        <w:tc>
          <w:tcPr>
            <w:tcW w:type="dxa" w:w="964"/>
          </w:tcPr>
          <w:p>
            <w:pPr>
              <w:spacing w:after="0" w:line="240" w:lineRule="auto"/>
              <w:jc w:val="right"/>
            </w:pPr>
            <w:r/>
            <w:r>
              <w:rPr>
                <w:b w:val="0"/>
                <w:i w:val="0"/>
                <w:sz w:val="16"/>
              </w:rPr>
              <w:t>16</w:t>
            </w:r>
          </w:p>
        </w:tc>
        <w:tc>
          <w:tcPr>
            <w:tcW w:type="dxa" w:w="1134"/>
          </w:tcPr>
          <w:p>
            <w:pPr>
              <w:spacing w:after="0" w:line="240" w:lineRule="auto"/>
              <w:jc w:val="right"/>
            </w:pPr>
            <w:r/>
            <w:r>
              <w:rPr>
                <w:b w:val="0"/>
                <w:i w:val="0"/>
                <w:sz w:val="16"/>
              </w:rPr>
              <w:t>34</w:t>
            </w:r>
          </w:p>
        </w:tc>
        <w:tc>
          <w:tcPr>
            <w:tcW w:type="dxa" w:w="850"/>
          </w:tcPr>
          <w:p>
            <w:pPr>
              <w:spacing w:after="0" w:line="240" w:lineRule="auto"/>
              <w:jc w:val="right"/>
            </w:pPr>
            <w:r/>
            <w:r>
              <w:rPr>
                <w:b w:val="0"/>
                <w:i w:val="0"/>
                <w:sz w:val="16"/>
              </w:rPr>
              <w:t>19</w:t>
            </w:r>
          </w:p>
        </w:tc>
        <w:tc>
          <w:tcPr>
            <w:tcW w:type="dxa" w:w="1247"/>
          </w:tcPr>
          <w:p>
            <w:pPr>
              <w:spacing w:after="0" w:line="240" w:lineRule="auto"/>
            </w:pPr>
            <w:r/>
            <w:r>
              <w:rPr>
                <w:b w:val="0"/>
                <w:i w:val="0"/>
                <w:sz w:val="16"/>
              </w:rPr>
              <w:t>No</w:t>
            </w:r>
          </w:p>
        </w:tc>
        <w:tc>
          <w:tcPr>
            <w:tcW w:type="dxa" w:w="2041"/>
          </w:tcPr>
          <w:p>
            <w:pPr>
              <w:spacing w:after="0" w:line="240" w:lineRule="auto"/>
            </w:pPr>
            <w:r/>
            <w:r>
              <w:rPr>
                <w:b/>
                <w:i w:val="0"/>
                <w:color w:val="B01E1E"/>
                <w:sz w:val="16"/>
              </w:rPr>
              <w:t>[TBC – schedule]</w:t>
            </w:r>
          </w:p>
        </w:tc>
      </w:tr>
      <w:tr>
        <w:tc>
          <w:tcPr>
            <w:tcW w:type="dxa" w:w="1474"/>
            <w:shd w:val="clear" w:color="auto" w:fill="FAF9F6"/>
          </w:tcPr>
          <w:p>
            <w:pPr>
              <w:spacing w:after="0" w:line="240" w:lineRule="auto"/>
            </w:pPr>
            <w:r/>
            <w:r>
              <w:rPr>
                <w:b w:val="0"/>
                <w:i w:val="0"/>
                <w:sz w:val="16"/>
              </w:rPr>
              <w:t>Ridge Road</w:t>
            </w:r>
          </w:p>
        </w:tc>
        <w:tc>
          <w:tcPr>
            <w:tcW w:type="dxa" w:w="1077"/>
            <w:shd w:val="clear" w:color="auto" w:fill="FAF9F6"/>
          </w:tcPr>
          <w:p>
            <w:pPr>
              <w:spacing w:after="0" w:line="240" w:lineRule="auto"/>
              <w:jc w:val="right"/>
            </w:pPr>
            <w:r/>
            <w:r>
              <w:rPr>
                <w:b w:val="0"/>
                <w:i w:val="0"/>
                <w:sz w:val="16"/>
              </w:rPr>
              <w:t>71</w:t>
            </w:r>
          </w:p>
        </w:tc>
        <w:tc>
          <w:tcPr>
            <w:tcW w:type="dxa" w:w="850"/>
            <w:shd w:val="clear" w:color="auto" w:fill="FAF9F6"/>
          </w:tcPr>
          <w:p>
            <w:pPr>
              <w:spacing w:after="0" w:line="240" w:lineRule="auto"/>
              <w:jc w:val="right"/>
            </w:pPr>
            <w:r/>
            <w:r>
              <w:rPr>
                <w:b w:val="0"/>
                <w:i w:val="0"/>
                <w:sz w:val="16"/>
              </w:rPr>
              <w:t>22</w:t>
            </w:r>
          </w:p>
        </w:tc>
        <w:tc>
          <w:tcPr>
            <w:tcW w:type="dxa" w:w="964"/>
            <w:shd w:val="clear" w:color="auto" w:fill="FAF9F6"/>
          </w:tcPr>
          <w:p>
            <w:pPr>
              <w:spacing w:after="0" w:line="240" w:lineRule="auto"/>
              <w:jc w:val="right"/>
            </w:pPr>
            <w:r/>
            <w:r>
              <w:rPr>
                <w:b w:val="0"/>
                <w:i w:val="0"/>
                <w:sz w:val="16"/>
              </w:rPr>
              <w:t>23</w:t>
            </w:r>
          </w:p>
        </w:tc>
        <w:tc>
          <w:tcPr>
            <w:tcW w:type="dxa" w:w="1134"/>
            <w:shd w:val="clear" w:color="auto" w:fill="FAF9F6"/>
          </w:tcPr>
          <w:p>
            <w:pPr>
              <w:spacing w:after="0" w:line="240" w:lineRule="auto"/>
              <w:jc w:val="right"/>
            </w:pPr>
            <w:r/>
            <w:r>
              <w:rPr>
                <w:b w:val="0"/>
                <w:i w:val="0"/>
                <w:sz w:val="16"/>
              </w:rPr>
              <w:t>20</w:t>
            </w:r>
          </w:p>
        </w:tc>
        <w:tc>
          <w:tcPr>
            <w:tcW w:type="dxa" w:w="850"/>
            <w:shd w:val="clear" w:color="auto" w:fill="FAF9F6"/>
          </w:tcPr>
          <w:p>
            <w:pPr>
              <w:spacing w:after="0" w:line="240" w:lineRule="auto"/>
              <w:jc w:val="right"/>
            </w:pPr>
            <w:r/>
            <w:r>
              <w:rPr>
                <w:b w:val="0"/>
                <w:i w:val="0"/>
                <w:sz w:val="16"/>
              </w:rPr>
              <w:t>6</w:t>
            </w:r>
          </w:p>
        </w:tc>
        <w:tc>
          <w:tcPr>
            <w:tcW w:type="dxa" w:w="1247"/>
            <w:shd w:val="clear" w:color="auto" w:fill="FAF9F6"/>
          </w:tcPr>
          <w:p>
            <w:pPr>
              <w:spacing w:after="0" w:line="240" w:lineRule="auto"/>
            </w:pPr>
            <w:r/>
            <w:r>
              <w:rPr>
                <w:b w:val="0"/>
                <w:i w:val="0"/>
                <w:sz w:val="16"/>
              </w:rPr>
              <w:t>No</w:t>
            </w:r>
          </w:p>
        </w:tc>
        <w:tc>
          <w:tcPr>
            <w:tcW w:type="dxa" w:w="2041"/>
            <w:shd w:val="clear" w:color="auto" w:fill="FAF9F6"/>
          </w:tcPr>
          <w:p>
            <w:pPr>
              <w:spacing w:after="0" w:line="240" w:lineRule="auto"/>
            </w:pPr>
            <w:r/>
            <w:r>
              <w:rPr>
                <w:b/>
                <w:i w:val="0"/>
                <w:color w:val="B01E1E"/>
                <w:sz w:val="16"/>
              </w:rPr>
              <w:t>[TBC – schedule]</w:t>
            </w:r>
          </w:p>
        </w:tc>
      </w:tr>
      <w:tr>
        <w:tc>
          <w:tcPr>
            <w:tcW w:type="dxa" w:w="1474"/>
          </w:tcPr>
          <w:p>
            <w:pPr>
              <w:spacing w:after="0" w:line="240" w:lineRule="auto"/>
            </w:pPr>
            <w:r/>
            <w:r>
              <w:rPr>
                <w:b w:val="0"/>
                <w:i w:val="0"/>
                <w:sz w:val="16"/>
              </w:rPr>
              <w:t>Staghaven</w:t>
            </w:r>
          </w:p>
        </w:tc>
        <w:tc>
          <w:tcPr>
            <w:tcW w:type="dxa" w:w="1077"/>
          </w:tcPr>
          <w:p>
            <w:pPr>
              <w:spacing w:after="0" w:line="240" w:lineRule="auto"/>
              <w:jc w:val="right"/>
            </w:pPr>
            <w:r/>
            <w:r>
              <w:rPr>
                <w:b w:val="0"/>
                <w:i w:val="0"/>
                <w:sz w:val="16"/>
              </w:rPr>
              <w:t>65</w:t>
            </w:r>
          </w:p>
        </w:tc>
        <w:tc>
          <w:tcPr>
            <w:tcW w:type="dxa" w:w="850"/>
          </w:tcPr>
          <w:p>
            <w:pPr>
              <w:spacing w:after="0" w:line="240" w:lineRule="auto"/>
              <w:jc w:val="right"/>
            </w:pPr>
            <w:r/>
            <w:r>
              <w:rPr>
                <w:b w:val="0"/>
                <w:i w:val="0"/>
                <w:sz w:val="16"/>
              </w:rPr>
              <w:t>0</w:t>
            </w:r>
          </w:p>
        </w:tc>
        <w:tc>
          <w:tcPr>
            <w:tcW w:type="dxa" w:w="964"/>
          </w:tcPr>
          <w:p>
            <w:pPr>
              <w:spacing w:after="0" w:line="240" w:lineRule="auto"/>
              <w:jc w:val="right"/>
            </w:pPr>
            <w:r/>
            <w:r>
              <w:rPr>
                <w:b w:val="0"/>
                <w:i w:val="0"/>
                <w:sz w:val="16"/>
              </w:rPr>
              <w:t>20</w:t>
            </w:r>
          </w:p>
        </w:tc>
        <w:tc>
          <w:tcPr>
            <w:tcW w:type="dxa" w:w="1134"/>
          </w:tcPr>
          <w:p>
            <w:pPr>
              <w:spacing w:after="0" w:line="240" w:lineRule="auto"/>
              <w:jc w:val="right"/>
            </w:pPr>
            <w:r/>
            <w:r>
              <w:rPr>
                <w:b w:val="0"/>
                <w:i w:val="0"/>
                <w:sz w:val="16"/>
              </w:rPr>
              <w:t>45</w:t>
            </w:r>
          </w:p>
        </w:tc>
        <w:tc>
          <w:tcPr>
            <w:tcW w:type="dxa" w:w="850"/>
          </w:tcPr>
          <w:p>
            <w:pPr>
              <w:spacing w:after="0" w:line="240" w:lineRule="auto"/>
              <w:jc w:val="right"/>
            </w:pPr>
            <w:r/>
            <w:r>
              <w:rPr>
                <w:b w:val="0"/>
                <w:i w:val="0"/>
                <w:sz w:val="16"/>
              </w:rPr>
              <w:t>0</w:t>
            </w:r>
          </w:p>
        </w:tc>
        <w:tc>
          <w:tcPr>
            <w:tcW w:type="dxa" w:w="1247"/>
          </w:tcPr>
          <w:p>
            <w:pPr>
              <w:spacing w:after="0" w:line="240" w:lineRule="auto"/>
            </w:pPr>
            <w:r/>
            <w:r>
              <w:rPr>
                <w:b w:val="0"/>
                <w:i w:val="0"/>
                <w:sz w:val="16"/>
              </w:rPr>
              <w:t>No</w:t>
            </w:r>
          </w:p>
        </w:tc>
        <w:tc>
          <w:tcPr>
            <w:tcW w:type="dxa" w:w="2041"/>
          </w:tcPr>
          <w:p>
            <w:pPr>
              <w:spacing w:after="0" w:line="240" w:lineRule="auto"/>
            </w:pPr>
            <w:r/>
            <w:r>
              <w:rPr>
                <w:b/>
                <w:i w:val="0"/>
                <w:color w:val="B01E1E"/>
                <w:sz w:val="16"/>
              </w:rPr>
              <w:t>[TBC – schedule]</w:t>
            </w:r>
          </w:p>
        </w:tc>
      </w:tr>
      <w:tr>
        <w:tc>
          <w:tcPr>
            <w:tcW w:type="dxa" w:w="1474"/>
            <w:shd w:val="clear" w:color="auto" w:fill="FAF9F6"/>
          </w:tcPr>
          <w:p>
            <w:pPr>
              <w:spacing w:after="0" w:line="240" w:lineRule="auto"/>
            </w:pPr>
            <w:r/>
            <w:r>
              <w:rPr>
                <w:b w:val="0"/>
                <w:i w:val="0"/>
                <w:sz w:val="16"/>
              </w:rPr>
              <w:t>Karapara</w:t>
            </w:r>
          </w:p>
        </w:tc>
        <w:tc>
          <w:tcPr>
            <w:tcW w:type="dxa" w:w="1077"/>
            <w:shd w:val="clear" w:color="auto" w:fill="FAF9F6"/>
          </w:tcPr>
          <w:p>
            <w:pPr>
              <w:spacing w:after="0" w:line="240" w:lineRule="auto"/>
              <w:jc w:val="right"/>
            </w:pPr>
            <w:r/>
            <w:r>
              <w:rPr>
                <w:b w:val="0"/>
                <w:i w:val="0"/>
                <w:sz w:val="16"/>
              </w:rPr>
              <w:t>29</w:t>
            </w:r>
          </w:p>
        </w:tc>
        <w:tc>
          <w:tcPr>
            <w:tcW w:type="dxa" w:w="850"/>
            <w:shd w:val="clear" w:color="auto" w:fill="FAF9F6"/>
          </w:tcPr>
          <w:p>
            <w:pPr>
              <w:spacing w:after="0" w:line="240" w:lineRule="auto"/>
              <w:jc w:val="right"/>
            </w:pPr>
            <w:r/>
            <w:r>
              <w:rPr>
                <w:b w:val="0"/>
                <w:i w:val="0"/>
                <w:sz w:val="16"/>
              </w:rPr>
              <w:t>2</w:t>
            </w:r>
          </w:p>
        </w:tc>
        <w:tc>
          <w:tcPr>
            <w:tcW w:type="dxa" w:w="964"/>
            <w:shd w:val="clear" w:color="auto" w:fill="FAF9F6"/>
          </w:tcPr>
          <w:p>
            <w:pPr>
              <w:spacing w:after="0" w:line="240" w:lineRule="auto"/>
              <w:jc w:val="right"/>
            </w:pPr>
            <w:r/>
            <w:r>
              <w:rPr>
                <w:b w:val="0"/>
                <w:i w:val="0"/>
                <w:sz w:val="16"/>
              </w:rPr>
              <w:t>6</w:t>
            </w:r>
          </w:p>
        </w:tc>
        <w:tc>
          <w:tcPr>
            <w:tcW w:type="dxa" w:w="1134"/>
            <w:shd w:val="clear" w:color="auto" w:fill="FAF9F6"/>
          </w:tcPr>
          <w:p>
            <w:pPr>
              <w:spacing w:after="0" w:line="240" w:lineRule="auto"/>
              <w:jc w:val="right"/>
            </w:pPr>
            <w:r/>
            <w:r>
              <w:rPr>
                <w:b w:val="0"/>
                <w:i w:val="0"/>
                <w:sz w:val="16"/>
              </w:rPr>
              <w:t>14</w:t>
            </w:r>
          </w:p>
        </w:tc>
        <w:tc>
          <w:tcPr>
            <w:tcW w:type="dxa" w:w="850"/>
            <w:shd w:val="clear" w:color="auto" w:fill="FAF9F6"/>
          </w:tcPr>
          <w:p>
            <w:pPr>
              <w:spacing w:after="0" w:line="240" w:lineRule="auto"/>
              <w:jc w:val="right"/>
            </w:pPr>
            <w:r/>
            <w:r>
              <w:rPr>
                <w:b w:val="0"/>
                <w:i w:val="0"/>
                <w:sz w:val="16"/>
              </w:rPr>
              <w:t>7</w:t>
            </w:r>
          </w:p>
        </w:tc>
        <w:tc>
          <w:tcPr>
            <w:tcW w:type="dxa" w:w="1247"/>
            <w:shd w:val="clear" w:color="auto" w:fill="FAF9F6"/>
          </w:tcPr>
          <w:p>
            <w:pPr>
              <w:spacing w:after="0" w:line="240" w:lineRule="auto"/>
            </w:pPr>
            <w:r/>
            <w:r>
              <w:rPr>
                <w:b w:val="0"/>
                <w:i w:val="0"/>
                <w:sz w:val="16"/>
              </w:rPr>
              <w:t>No</w:t>
            </w:r>
          </w:p>
        </w:tc>
        <w:tc>
          <w:tcPr>
            <w:tcW w:type="dxa" w:w="2041"/>
            <w:shd w:val="clear" w:color="auto" w:fill="FAF9F6"/>
          </w:tcPr>
          <w:p>
            <w:pPr>
              <w:spacing w:after="0" w:line="240" w:lineRule="auto"/>
            </w:pPr>
            <w:r/>
            <w:r>
              <w:rPr>
                <w:b/>
                <w:i w:val="0"/>
                <w:color w:val="B01E1E"/>
                <w:sz w:val="16"/>
              </w:rPr>
              <w:t>[TBC – schedule]</w:t>
            </w:r>
          </w:p>
        </w:tc>
      </w:tr>
      <w:tr>
        <w:tc>
          <w:tcPr>
            <w:tcW w:type="dxa" w:w="1474"/>
          </w:tcPr>
          <w:p>
            <w:pPr>
              <w:spacing w:after="0" w:line="240" w:lineRule="auto"/>
            </w:pPr>
            <w:r/>
            <w:r>
              <w:rPr>
                <w:b w:val="0"/>
                <w:i w:val="0"/>
                <w:sz w:val="16"/>
              </w:rPr>
              <w:t>Patricks House</w:t>
            </w:r>
          </w:p>
        </w:tc>
        <w:tc>
          <w:tcPr>
            <w:tcW w:type="dxa" w:w="1077"/>
          </w:tcPr>
          <w:p>
            <w:pPr>
              <w:spacing w:after="0" w:line="240" w:lineRule="auto"/>
              <w:jc w:val="right"/>
            </w:pPr>
            <w:r/>
            <w:r>
              <w:rPr>
                <w:b w:val="0"/>
                <w:i w:val="0"/>
                <w:sz w:val="16"/>
              </w:rPr>
              <w:t>11</w:t>
            </w:r>
          </w:p>
        </w:tc>
        <w:tc>
          <w:tcPr>
            <w:tcW w:type="dxa" w:w="850"/>
          </w:tcPr>
          <w:p>
            <w:pPr>
              <w:spacing w:after="0" w:line="240" w:lineRule="auto"/>
              <w:jc w:val="right"/>
            </w:pPr>
            <w:r/>
            <w:r>
              <w:rPr>
                <w:b w:val="0"/>
                <w:i w:val="0"/>
                <w:sz w:val="16"/>
              </w:rPr>
              <w:t>7</w:t>
            </w:r>
          </w:p>
        </w:tc>
        <w:tc>
          <w:tcPr>
            <w:tcW w:type="dxa" w:w="964"/>
          </w:tcPr>
          <w:p>
            <w:pPr>
              <w:spacing w:after="0" w:line="240" w:lineRule="auto"/>
              <w:jc w:val="right"/>
            </w:pPr>
            <w:r/>
            <w:r>
              <w:rPr>
                <w:b w:val="0"/>
                <w:i w:val="0"/>
                <w:sz w:val="16"/>
              </w:rPr>
              <w:t>2</w:t>
            </w:r>
          </w:p>
        </w:tc>
        <w:tc>
          <w:tcPr>
            <w:tcW w:type="dxa" w:w="1134"/>
          </w:tcPr>
          <w:p>
            <w:pPr>
              <w:spacing w:after="0" w:line="240" w:lineRule="auto"/>
              <w:jc w:val="right"/>
            </w:pPr>
            <w:r/>
            <w:r>
              <w:rPr>
                <w:b w:val="0"/>
                <w:i w:val="0"/>
                <w:sz w:val="16"/>
              </w:rPr>
              <w:t>2</w:t>
            </w:r>
          </w:p>
        </w:tc>
        <w:tc>
          <w:tcPr>
            <w:tcW w:type="dxa" w:w="850"/>
          </w:tcPr>
          <w:p>
            <w:pPr>
              <w:spacing w:after="0" w:line="240" w:lineRule="auto"/>
              <w:jc w:val="right"/>
            </w:pPr>
            <w:r/>
            <w:r>
              <w:rPr>
                <w:b w:val="0"/>
                <w:i w:val="0"/>
                <w:sz w:val="16"/>
              </w:rPr>
              <w:t>0</w:t>
            </w:r>
          </w:p>
        </w:tc>
        <w:tc>
          <w:tcPr>
            <w:tcW w:type="dxa" w:w="1247"/>
          </w:tcPr>
          <w:p>
            <w:pPr>
              <w:spacing w:after="0" w:line="240" w:lineRule="auto"/>
            </w:pPr>
            <w:r/>
            <w:r>
              <w:rPr>
                <w:b w:val="0"/>
                <w:i w:val="0"/>
                <w:sz w:val="16"/>
              </w:rPr>
              <w:t>No</w:t>
            </w:r>
          </w:p>
        </w:tc>
        <w:tc>
          <w:tcPr>
            <w:tcW w:type="dxa" w:w="2041"/>
          </w:tcPr>
          <w:p>
            <w:pPr>
              <w:spacing w:after="0" w:line="240" w:lineRule="auto"/>
            </w:pPr>
            <w:r/>
            <w:r>
              <w:rPr>
                <w:b/>
                <w:i w:val="0"/>
                <w:color w:val="B01E1E"/>
                <w:sz w:val="16"/>
              </w:rPr>
              <w:t>[TBC – schedule]</w:t>
            </w:r>
          </w:p>
        </w:tc>
      </w:tr>
      <w:tr>
        <w:tc>
          <w:tcPr>
            <w:tcW w:type="dxa" w:w="1474"/>
            <w:shd w:val="clear" w:color="auto" w:fill="FAF9F6"/>
          </w:tcPr>
          <w:p>
            <w:pPr>
              <w:spacing w:after="0" w:line="240" w:lineRule="auto"/>
            </w:pPr>
            <w:r/>
            <w:r>
              <w:rPr>
                <w:b w:val="0"/>
                <w:i w:val="0"/>
                <w:sz w:val="16"/>
              </w:rPr>
              <w:t>Pakihi</w:t>
            </w:r>
          </w:p>
        </w:tc>
        <w:tc>
          <w:tcPr>
            <w:tcW w:type="dxa" w:w="1077"/>
            <w:shd w:val="clear" w:color="auto" w:fill="FAF9F6"/>
          </w:tcPr>
          <w:p>
            <w:pPr>
              <w:spacing w:after="0" w:line="240" w:lineRule="auto"/>
              <w:jc w:val="right"/>
            </w:pPr>
            <w:r/>
            <w:r>
              <w:rPr>
                <w:b w:val="0"/>
                <w:i w:val="0"/>
                <w:sz w:val="16"/>
              </w:rPr>
              <w:t>2</w:t>
            </w:r>
          </w:p>
        </w:tc>
        <w:tc>
          <w:tcPr>
            <w:tcW w:type="dxa" w:w="850"/>
            <w:shd w:val="clear" w:color="auto" w:fill="FAF9F6"/>
          </w:tcPr>
          <w:p>
            <w:pPr>
              <w:spacing w:after="0" w:line="240" w:lineRule="auto"/>
              <w:jc w:val="right"/>
            </w:pPr>
            <w:r/>
            <w:r>
              <w:rPr>
                <w:b w:val="0"/>
                <w:i w:val="0"/>
                <w:sz w:val="16"/>
              </w:rPr>
              <w:t>0</w:t>
            </w:r>
          </w:p>
        </w:tc>
        <w:tc>
          <w:tcPr>
            <w:tcW w:type="dxa" w:w="964"/>
            <w:shd w:val="clear" w:color="auto" w:fill="FAF9F6"/>
          </w:tcPr>
          <w:p>
            <w:pPr>
              <w:spacing w:after="0" w:line="240" w:lineRule="auto"/>
              <w:jc w:val="right"/>
            </w:pPr>
            <w:r/>
            <w:r>
              <w:rPr>
                <w:b w:val="0"/>
                <w:i w:val="0"/>
                <w:sz w:val="16"/>
              </w:rPr>
              <w:t>1</w:t>
            </w:r>
          </w:p>
        </w:tc>
        <w:tc>
          <w:tcPr>
            <w:tcW w:type="dxa" w:w="1134"/>
            <w:shd w:val="clear" w:color="auto" w:fill="FAF9F6"/>
          </w:tcPr>
          <w:p>
            <w:pPr>
              <w:spacing w:after="0" w:line="240" w:lineRule="auto"/>
              <w:jc w:val="right"/>
            </w:pPr>
            <w:r/>
            <w:r>
              <w:rPr>
                <w:b w:val="0"/>
                <w:i w:val="0"/>
                <w:sz w:val="16"/>
              </w:rPr>
              <w:t>1</w:t>
            </w:r>
          </w:p>
        </w:tc>
        <w:tc>
          <w:tcPr>
            <w:tcW w:type="dxa" w:w="850"/>
            <w:shd w:val="clear" w:color="auto" w:fill="FAF9F6"/>
          </w:tcPr>
          <w:p>
            <w:pPr>
              <w:spacing w:after="0" w:line="240" w:lineRule="auto"/>
              <w:jc w:val="right"/>
            </w:pPr>
            <w:r/>
            <w:r>
              <w:rPr>
                <w:b w:val="0"/>
                <w:i w:val="0"/>
                <w:sz w:val="16"/>
              </w:rPr>
              <w:t>0</w:t>
            </w:r>
          </w:p>
        </w:tc>
        <w:tc>
          <w:tcPr>
            <w:tcW w:type="dxa" w:w="1247"/>
            <w:shd w:val="clear" w:color="auto" w:fill="FAF9F6"/>
          </w:tcPr>
          <w:p>
            <w:pPr>
              <w:spacing w:after="0" w:line="240" w:lineRule="auto"/>
            </w:pPr>
            <w:r/>
            <w:r>
              <w:rPr>
                <w:b w:val="0"/>
                <w:i w:val="0"/>
                <w:sz w:val="16"/>
              </w:rPr>
              <w:t>No</w:t>
            </w:r>
          </w:p>
        </w:tc>
        <w:tc>
          <w:tcPr>
            <w:tcW w:type="dxa" w:w="2041"/>
            <w:shd w:val="clear" w:color="auto" w:fill="FAF9F6"/>
          </w:tcPr>
          <w:p>
            <w:pPr>
              <w:spacing w:after="0" w:line="240" w:lineRule="auto"/>
            </w:pPr>
            <w:r/>
            <w:r>
              <w:rPr>
                <w:b/>
                <w:i w:val="0"/>
                <w:color w:val="B01E1E"/>
                <w:sz w:val="16"/>
              </w:rPr>
              <w:t>[TBC – schedule]</w:t>
            </w:r>
          </w:p>
        </w:tc>
      </w:tr>
      <w:tr>
        <w:tc>
          <w:tcPr>
            <w:tcW w:type="dxa" w:w="1474"/>
          </w:tcPr>
          <w:p>
            <w:pPr>
              <w:spacing w:after="0" w:line="240" w:lineRule="auto"/>
            </w:pPr>
            <w:r/>
            <w:r>
              <w:rPr>
                <w:b w:val="0"/>
                <w:i w:val="0"/>
                <w:sz w:val="16"/>
              </w:rPr>
              <w:t>Workers House</w:t>
            </w:r>
          </w:p>
        </w:tc>
        <w:tc>
          <w:tcPr>
            <w:tcW w:type="dxa" w:w="1077"/>
          </w:tcPr>
          <w:p>
            <w:pPr>
              <w:spacing w:after="0" w:line="240" w:lineRule="auto"/>
              <w:jc w:val="right"/>
            </w:pPr>
            <w:r/>
            <w:r>
              <w:rPr>
                <w:b w:val="0"/>
                <w:i w:val="0"/>
                <w:sz w:val="16"/>
              </w:rPr>
              <w:t>2</w:t>
            </w:r>
          </w:p>
        </w:tc>
        <w:tc>
          <w:tcPr>
            <w:tcW w:type="dxa" w:w="850"/>
          </w:tcPr>
          <w:p>
            <w:pPr>
              <w:spacing w:after="0" w:line="240" w:lineRule="auto"/>
              <w:jc w:val="right"/>
            </w:pPr>
            <w:r/>
            <w:r>
              <w:rPr>
                <w:b w:val="0"/>
                <w:i w:val="0"/>
                <w:sz w:val="16"/>
              </w:rPr>
              <w:t>2</w:t>
            </w:r>
          </w:p>
        </w:tc>
        <w:tc>
          <w:tcPr>
            <w:tcW w:type="dxa" w:w="964"/>
          </w:tcPr>
          <w:p>
            <w:pPr>
              <w:spacing w:after="0" w:line="240" w:lineRule="auto"/>
              <w:jc w:val="right"/>
            </w:pPr>
            <w:r/>
            <w:r>
              <w:rPr>
                <w:b w:val="0"/>
                <w:i w:val="0"/>
                <w:sz w:val="16"/>
              </w:rPr>
              <w:t>0</w:t>
            </w:r>
          </w:p>
        </w:tc>
        <w:tc>
          <w:tcPr>
            <w:tcW w:type="dxa" w:w="1134"/>
          </w:tcPr>
          <w:p>
            <w:pPr>
              <w:spacing w:after="0" w:line="240" w:lineRule="auto"/>
              <w:jc w:val="right"/>
            </w:pPr>
            <w:r/>
            <w:r>
              <w:rPr>
                <w:b w:val="0"/>
                <w:i w:val="0"/>
                <w:sz w:val="16"/>
              </w:rPr>
              <w:t>0</w:t>
            </w:r>
          </w:p>
        </w:tc>
        <w:tc>
          <w:tcPr>
            <w:tcW w:type="dxa" w:w="850"/>
          </w:tcPr>
          <w:p>
            <w:pPr>
              <w:spacing w:after="0" w:line="240" w:lineRule="auto"/>
              <w:jc w:val="right"/>
            </w:pPr>
            <w:r/>
            <w:r>
              <w:rPr>
                <w:b w:val="0"/>
                <w:i w:val="0"/>
                <w:sz w:val="16"/>
              </w:rPr>
              <w:t>0</w:t>
            </w:r>
          </w:p>
        </w:tc>
        <w:tc>
          <w:tcPr>
            <w:tcW w:type="dxa" w:w="1247"/>
          </w:tcPr>
          <w:p>
            <w:pPr>
              <w:spacing w:after="0" w:line="240" w:lineRule="auto"/>
            </w:pPr>
            <w:r/>
            <w:r>
              <w:rPr>
                <w:b w:val="0"/>
                <w:i w:val="0"/>
                <w:sz w:val="16"/>
              </w:rPr>
              <w:t>No</w:t>
            </w:r>
          </w:p>
        </w:tc>
        <w:tc>
          <w:tcPr>
            <w:tcW w:type="dxa" w:w="2041"/>
          </w:tcPr>
          <w:p>
            <w:pPr>
              <w:spacing w:after="0" w:line="240" w:lineRule="auto"/>
            </w:pPr>
            <w:r/>
            <w:r>
              <w:rPr>
                <w:b/>
                <w:i w:val="0"/>
                <w:color w:val="B01E1E"/>
                <w:sz w:val="16"/>
              </w:rPr>
              <w:t>[TBC – schedule]</w:t>
            </w:r>
          </w:p>
        </w:tc>
      </w:tr>
      <w:tr>
        <w:tc>
          <w:tcPr>
            <w:tcW w:type="dxa" w:w="1474"/>
            <w:shd w:val="clear" w:color="auto" w:fill="EDEBE3"/>
          </w:tcPr>
          <w:p>
            <w:pPr>
              <w:spacing w:after="0" w:line="240" w:lineRule="auto"/>
            </w:pPr>
            <w:r/>
            <w:r>
              <w:rPr>
                <w:b/>
                <w:i w:val="0"/>
                <w:sz w:val="16"/>
              </w:rPr>
              <w:t>Total</w:t>
            </w:r>
          </w:p>
        </w:tc>
        <w:tc>
          <w:tcPr>
            <w:tcW w:type="dxa" w:w="1077"/>
            <w:shd w:val="clear" w:color="auto" w:fill="EDEBE3"/>
          </w:tcPr>
          <w:p>
            <w:pPr>
              <w:spacing w:after="0" w:line="240" w:lineRule="auto"/>
              <w:jc w:val="right"/>
            </w:pPr>
            <w:r/>
            <w:r>
              <w:rPr>
                <w:b/>
                <w:i w:val="0"/>
                <w:sz w:val="16"/>
              </w:rPr>
              <w:t>2,141</w:t>
            </w:r>
          </w:p>
        </w:tc>
        <w:tc>
          <w:tcPr>
            <w:tcW w:type="dxa" w:w="850"/>
            <w:shd w:val="clear" w:color="auto" w:fill="EDEBE3"/>
          </w:tcPr>
          <w:p>
            <w:pPr>
              <w:spacing w:after="0" w:line="240" w:lineRule="auto"/>
              <w:jc w:val="right"/>
            </w:pPr>
            <w:r/>
            <w:r>
              <w:rPr>
                <w:b/>
                <w:i w:val="0"/>
                <w:sz w:val="16"/>
              </w:rPr>
              <w:t>224</w:t>
            </w:r>
          </w:p>
        </w:tc>
        <w:tc>
          <w:tcPr>
            <w:tcW w:type="dxa" w:w="964"/>
            <w:shd w:val="clear" w:color="auto" w:fill="EDEBE3"/>
          </w:tcPr>
          <w:p>
            <w:pPr>
              <w:spacing w:after="0" w:line="240" w:lineRule="auto"/>
              <w:jc w:val="right"/>
            </w:pPr>
            <w:r/>
            <w:r>
              <w:rPr>
                <w:b/>
                <w:i w:val="0"/>
                <w:sz w:val="16"/>
              </w:rPr>
              <w:t>443</w:t>
            </w:r>
          </w:p>
        </w:tc>
        <w:tc>
          <w:tcPr>
            <w:tcW w:type="dxa" w:w="1134"/>
            <w:shd w:val="clear" w:color="auto" w:fill="EDEBE3"/>
          </w:tcPr>
          <w:p>
            <w:pPr>
              <w:spacing w:after="0" w:line="240" w:lineRule="auto"/>
              <w:jc w:val="right"/>
            </w:pPr>
            <w:r/>
            <w:r>
              <w:rPr>
                <w:b/>
                <w:i w:val="0"/>
                <w:sz w:val="16"/>
              </w:rPr>
              <w:t>905</w:t>
            </w:r>
          </w:p>
        </w:tc>
        <w:tc>
          <w:tcPr>
            <w:tcW w:type="dxa" w:w="850"/>
            <w:shd w:val="clear" w:color="auto" w:fill="EDEBE3"/>
          </w:tcPr>
          <w:p>
            <w:pPr>
              <w:spacing w:after="0" w:line="240" w:lineRule="auto"/>
              <w:jc w:val="right"/>
            </w:pPr>
            <w:r/>
            <w:r>
              <w:rPr>
                <w:b/>
                <w:i w:val="0"/>
                <w:sz w:val="16"/>
              </w:rPr>
              <w:t>569</w:t>
            </w:r>
          </w:p>
        </w:tc>
        <w:tc>
          <w:tcPr>
            <w:tcW w:type="dxa" w:w="1247"/>
            <w:shd w:val="clear" w:color="auto" w:fill="EDEBE3"/>
          </w:tcPr>
          <w:p>
            <w:pPr>
              <w:spacing w:after="0" w:line="240" w:lineRule="auto"/>
            </w:pPr>
            <w:r/>
          </w:p>
        </w:tc>
        <w:tc>
          <w:tcPr>
            <w:tcW w:type="dxa" w:w="2041"/>
            <w:shd w:val="clear" w:color="auto" w:fill="EDEBE3"/>
          </w:tcPr>
          <w:p>
            <w:pPr>
              <w:spacing w:after="0" w:line="240" w:lineRule="auto"/>
            </w:pPr>
            <w:r/>
          </w:p>
        </w:tc>
      </w:tr>
    </w:tbl>
    <w:p>
      <w:pPr>
        <w:spacing w:after="40"/>
      </w:pPr>
    </w:p>
    <w:p>
      <w:pPr>
        <w:jc w:val="center"/>
      </w:pPr>
      <w:r>
        <w:drawing>
          <wp:inline xmlns:a="http://schemas.openxmlformats.org/drawingml/2006/main" xmlns:pic="http://schemas.openxmlformats.org/drawingml/2006/picture">
            <wp:extent cx="6120000" cy="3270375"/>
            <wp:docPr id="4" name="Picture 4"/>
            <wp:cNvGraphicFramePr>
              <a:graphicFrameLocks noChangeAspect="1"/>
            </wp:cNvGraphicFramePr>
            <a:graphic>
              <a:graphicData uri="http://schemas.openxmlformats.org/drawingml/2006/picture">
                <pic:pic>
                  <pic:nvPicPr>
                    <pic:cNvPr id="0" name="chart5_grass_slope.png"/>
                    <pic:cNvPicPr/>
                  </pic:nvPicPr>
                  <pic:blipFill>
                    <a:blip r:embed="rId12"/>
                    <a:stretch>
                      <a:fillRect/>
                    </a:stretch>
                  </pic:blipFill>
                  <pic:spPr>
                    <a:xfrm>
                      <a:off x="0" y="0"/>
                      <a:ext cx="6120000" cy="3270375"/>
                    </a:xfrm>
                    <a:prstGeom prst="rect"/>
                  </pic:spPr>
                </pic:pic>
              </a:graphicData>
            </a:graphic>
          </wp:inline>
        </w:drawing>
      </w:r>
    </w:p>
    <w:p>
      <w:pPr>
        <w:spacing w:after="200"/>
        <w:jc w:val="center"/>
      </w:pPr>
      <w:r>
        <w:rPr>
          <w:b w:val="0"/>
          <w:i/>
          <w:color w:val="6B6B60"/>
          <w:sz w:val="17"/>
        </w:rPr>
        <w:t>Figure 3 – Open grassland by slope class and block (July 2026 mapping, LINZ DEM).</w:t>
      </w:r>
    </w:p>
    <w:p>
      <w:pPr>
        <w:pStyle w:val="Heading2"/>
      </w:pPr>
      <w:r>
        <w:t>3.1  Pukekahu Farms grazing lease</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835"/>
            <w:shd w:val="clear" w:color="auto" w:fill="F2F0EA"/>
          </w:tcPr>
          <w:p>
            <w:pPr>
              <w:spacing w:after="0" w:line="240" w:lineRule="auto"/>
            </w:pPr>
            <w:r/>
            <w:r>
              <w:rPr>
                <w:b/>
                <w:i w:val="0"/>
                <w:sz w:val="19"/>
              </w:rPr>
              <w:t>Tenant</w:t>
            </w:r>
          </w:p>
        </w:tc>
        <w:tc>
          <w:tcPr>
            <w:tcW w:type="dxa" w:w="6803"/>
          </w:tcPr>
          <w:p>
            <w:pPr>
              <w:spacing w:after="0" w:line="240" w:lineRule="auto"/>
            </w:pPr>
            <w:r/>
            <w:r>
              <w:rPr>
                <w:b w:val="0"/>
                <w:i w:val="0"/>
                <w:sz w:val="19"/>
              </w:rPr>
              <w:t>Pukekahu Farms Limited (guarantors Paul William Kinder and Virginia Kinder-Matthews, Whanganui)</w:t>
            </w:r>
          </w:p>
        </w:tc>
      </w:tr>
      <w:tr>
        <w:tc>
          <w:tcPr>
            <w:tcW w:type="dxa" w:w="2835"/>
            <w:shd w:val="clear" w:color="auto" w:fill="F2F0EA"/>
          </w:tcPr>
          <w:p>
            <w:pPr>
              <w:spacing w:after="0" w:line="240" w:lineRule="auto"/>
            </w:pPr>
            <w:r/>
            <w:r>
              <w:rPr>
                <w:b/>
                <w:i w:val="0"/>
                <w:sz w:val="19"/>
              </w:rPr>
              <w:t>Landlord</w:t>
            </w:r>
          </w:p>
        </w:tc>
        <w:tc>
          <w:tcPr>
            <w:tcW w:type="dxa" w:w="6803"/>
          </w:tcPr>
          <w:p>
            <w:pPr>
              <w:spacing w:after="0" w:line="240" w:lineRule="auto"/>
            </w:pPr>
            <w:r/>
            <w:r>
              <w:rPr>
                <w:b w:val="0"/>
                <w:i w:val="0"/>
                <w:sz w:val="19"/>
              </w:rPr>
              <w:t>Nirvana Farm Limited (55% of rent) and the trustees of the Makowhai Trust (45%)</w:t>
            </w:r>
          </w:p>
        </w:tc>
      </w:tr>
      <w:tr>
        <w:tc>
          <w:tcPr>
            <w:tcW w:type="dxa" w:w="2835"/>
            <w:shd w:val="clear" w:color="auto" w:fill="F2F0EA"/>
          </w:tcPr>
          <w:p>
            <w:pPr>
              <w:spacing w:after="0" w:line="240" w:lineRule="auto"/>
            </w:pPr>
            <w:r/>
            <w:r>
              <w:rPr>
                <w:b/>
                <w:i w:val="0"/>
                <w:sz w:val="19"/>
              </w:rPr>
              <w:t>Term</w:t>
            </w:r>
          </w:p>
        </w:tc>
        <w:tc>
          <w:tcPr>
            <w:tcW w:type="dxa" w:w="6803"/>
          </w:tcPr>
          <w:p>
            <w:pPr>
              <w:spacing w:after="0" w:line="240" w:lineRule="auto"/>
            </w:pPr>
            <w:r/>
            <w:r>
              <w:rPr>
                <w:b w:val="0"/>
                <w:i w:val="0"/>
                <w:sz w:val="19"/>
              </w:rPr>
              <w:t>Five years from 1 January 2025, expiring 31 December 2029</w:t>
            </w:r>
          </w:p>
        </w:tc>
      </w:tr>
      <w:tr>
        <w:tc>
          <w:tcPr>
            <w:tcW w:type="dxa" w:w="2835"/>
            <w:shd w:val="clear" w:color="auto" w:fill="F2F0EA"/>
          </w:tcPr>
          <w:p>
            <w:pPr>
              <w:spacing w:after="0" w:line="240" w:lineRule="auto"/>
            </w:pPr>
            <w:r/>
            <w:r>
              <w:rPr>
                <w:b/>
                <w:i w:val="0"/>
                <w:sz w:val="19"/>
              </w:rPr>
              <w:t>Land</w:t>
            </w:r>
          </w:p>
        </w:tc>
        <w:tc>
          <w:tcPr>
            <w:tcW w:type="dxa" w:w="6803"/>
          </w:tcPr>
          <w:p>
            <w:pPr>
              <w:spacing w:after="0" w:line="240" w:lineRule="auto"/>
            </w:pPr>
            <w:r/>
            <w:r>
              <w:rPr>
                <w:b w:val="0"/>
                <w:i w:val="0"/>
                <w:sz w:val="19"/>
              </w:rPr>
              <w:t>Record of Title 948077 (884.24 ha, Puau Road – Crown lease), 451953 (338.57 ha, Front Farm) and TNE3/649 (1,037.11 ha, Eastern Block) – that part shaded on the lease plans, about 2,200 ha</w:t>
            </w:r>
          </w:p>
        </w:tc>
      </w:tr>
      <w:tr>
        <w:tc>
          <w:tcPr>
            <w:tcW w:type="dxa" w:w="2835"/>
            <w:shd w:val="clear" w:color="auto" w:fill="F2F0EA"/>
          </w:tcPr>
          <w:p>
            <w:pPr>
              <w:spacing w:after="0" w:line="240" w:lineRule="auto"/>
            </w:pPr>
            <w:r/>
            <w:r>
              <w:rPr>
                <w:b/>
                <w:i w:val="0"/>
                <w:sz w:val="19"/>
              </w:rPr>
              <w:t>Rent</w:t>
            </w:r>
          </w:p>
        </w:tc>
        <w:tc>
          <w:tcPr>
            <w:tcW w:type="dxa" w:w="6803"/>
          </w:tcPr>
          <w:p>
            <w:pPr>
              <w:spacing w:after="0" w:line="240" w:lineRule="auto"/>
            </w:pPr>
            <w:r/>
            <w:r>
              <w:rPr>
                <w:b w:val="0"/>
                <w:i w:val="0"/>
                <w:sz w:val="19"/>
              </w:rPr>
              <w:t>$105,000 plus GST per annum ($57,750 to NFL, $47,250 to the Makowhai Trust)</w:t>
            </w:r>
          </w:p>
        </w:tc>
      </w:tr>
      <w:tr>
        <w:tc>
          <w:tcPr>
            <w:tcW w:type="dxa" w:w="2835"/>
            <w:shd w:val="clear" w:color="auto" w:fill="F2F0EA"/>
          </w:tcPr>
          <w:p>
            <w:pPr>
              <w:spacing w:after="0" w:line="240" w:lineRule="auto"/>
            </w:pPr>
            <w:r/>
            <w:r>
              <w:rPr>
                <w:b/>
                <w:i w:val="0"/>
                <w:sz w:val="19"/>
              </w:rPr>
              <w:t>Prepayment</w:t>
            </w:r>
          </w:p>
        </w:tc>
        <w:tc>
          <w:tcPr>
            <w:tcW w:type="dxa" w:w="6803"/>
          </w:tcPr>
          <w:p>
            <w:pPr>
              <w:spacing w:after="0" w:line="240" w:lineRule="auto"/>
            </w:pPr>
            <w:r/>
            <w:r>
              <w:rPr>
                <w:b w:val="0"/>
                <w:i w:val="0"/>
                <w:sz w:val="19"/>
              </w:rPr>
              <w:t>Rent for years 1 and 2 was paid in advance; rent for years 3–5 was prepaid at a discounted $250,000 plus GST. No rent is receivable by a purchaser for the balance of the term.</w:t>
            </w:r>
          </w:p>
        </w:tc>
      </w:tr>
      <w:tr>
        <w:tc>
          <w:tcPr>
            <w:tcW w:type="dxa" w:w="2835"/>
            <w:shd w:val="clear" w:color="auto" w:fill="F2F0EA"/>
          </w:tcPr>
          <w:p>
            <w:pPr>
              <w:spacing w:after="0" w:line="240" w:lineRule="auto"/>
            </w:pPr>
            <w:r/>
            <w:r>
              <w:rPr>
                <w:b/>
                <w:i w:val="0"/>
                <w:sz w:val="19"/>
              </w:rPr>
              <w:t>Permitted use</w:t>
            </w:r>
          </w:p>
        </w:tc>
        <w:tc>
          <w:tcPr>
            <w:tcW w:type="dxa" w:w="6803"/>
          </w:tcPr>
          <w:p>
            <w:pPr>
              <w:spacing w:after="0" w:line="240" w:lineRule="auto"/>
            </w:pPr>
            <w:r/>
            <w:r>
              <w:rPr>
                <w:b w:val="0"/>
                <w:i w:val="0"/>
                <w:sz w:val="19"/>
              </w:rPr>
              <w:t>Grazing of sheep and cattle only; no pigs. Tenant may not cut scrub or trees, light fires or apply chemicals near scrub.</w:t>
            </w:r>
          </w:p>
        </w:tc>
      </w:tr>
      <w:tr>
        <w:tc>
          <w:tcPr>
            <w:tcW w:type="dxa" w:w="2835"/>
            <w:shd w:val="clear" w:color="auto" w:fill="F2F0EA"/>
          </w:tcPr>
          <w:p>
            <w:pPr>
              <w:spacing w:after="0" w:line="240" w:lineRule="auto"/>
            </w:pPr>
            <w:r/>
            <w:r>
              <w:rPr>
                <w:b/>
                <w:i w:val="0"/>
                <w:sz w:val="19"/>
              </w:rPr>
              <w:t>Rights reserved</w:t>
            </w:r>
          </w:p>
        </w:tc>
        <w:tc>
          <w:tcPr>
            <w:tcW w:type="dxa" w:w="6803"/>
          </w:tcPr>
          <w:p>
            <w:pPr>
              <w:spacing w:after="0" w:line="240" w:lineRule="auto"/>
            </w:pPr>
            <w:r/>
            <w:r>
              <w:rPr>
                <w:b w:val="0"/>
                <w:i w:val="0"/>
                <w:sz w:val="19"/>
              </w:rPr>
              <w:t>Landlord retains exclusive beekeeping and honey rights, timber, access for forestry and ETS (Climate Change Response Act) purposes; the lease is subject to the registered forestry rights and confers no rights over existing forestry.</w:t>
            </w:r>
          </w:p>
        </w:tc>
      </w:tr>
      <w:tr>
        <w:tc>
          <w:tcPr>
            <w:tcW w:type="dxa" w:w="2835"/>
            <w:shd w:val="clear" w:color="auto" w:fill="F2F0EA"/>
          </w:tcPr>
          <w:p>
            <w:pPr>
              <w:spacing w:after="0" w:line="240" w:lineRule="auto"/>
            </w:pPr>
            <w:r/>
            <w:r>
              <w:rPr>
                <w:b/>
                <w:i w:val="0"/>
                <w:sz w:val="19"/>
              </w:rPr>
              <w:t>Termination</w:t>
            </w:r>
          </w:p>
        </w:tc>
        <w:tc>
          <w:tcPr>
            <w:tcW w:type="dxa" w:w="6803"/>
          </w:tcPr>
          <w:p>
            <w:pPr>
              <w:spacing w:after="0" w:line="240" w:lineRule="auto"/>
            </w:pPr>
            <w:r/>
            <w:r>
              <w:rPr>
                <w:b w:val="0"/>
                <w:i w:val="0"/>
                <w:sz w:val="19"/>
              </w:rPr>
              <w:t>Landlord may terminate on five months' written notice, on refunding prepaid rent at $83,333.33 plus GST per annum pro rata plus $8,333.33 per month to 31 December 2029.</w:t>
            </w:r>
          </w:p>
        </w:tc>
      </w:tr>
      <w:tr>
        <w:tc>
          <w:tcPr>
            <w:tcW w:type="dxa" w:w="2835"/>
            <w:shd w:val="clear" w:color="auto" w:fill="F2F0EA"/>
          </w:tcPr>
          <w:p>
            <w:pPr>
              <w:spacing w:after="0" w:line="240" w:lineRule="auto"/>
            </w:pPr>
            <w:r/>
            <w:r>
              <w:rPr>
                <w:b/>
                <w:i w:val="0"/>
                <w:sz w:val="19"/>
              </w:rPr>
              <w:t>Dwellings</w:t>
            </w:r>
          </w:p>
        </w:tc>
        <w:tc>
          <w:tcPr>
            <w:tcW w:type="dxa" w:w="6803"/>
          </w:tcPr>
          <w:p>
            <w:pPr>
              <w:spacing w:after="0" w:line="240" w:lineRule="auto"/>
            </w:pPr>
            <w:r/>
            <w:r>
              <w:rPr>
                <w:b w:val="0"/>
                <w:i w:val="0"/>
                <w:sz w:val="19"/>
              </w:rPr>
              <w:t>The tenant is to maintain the two dwellings on the leased land.</w:t>
            </w:r>
          </w:p>
        </w:tc>
      </w:tr>
    </w:tbl>
    <w:p>
      <w:pPr>
        <w:spacing w:after="40"/>
      </w:pPr>
    </w:p>
    <w:p>
      <w:r>
        <w:rPr>
          <w:b w:val="0"/>
          <w:i w:val="0"/>
        </w:rPr>
        <w:t xml:space="preserve">Because the rent has been prepaid, a purchaser receives no rental income for the balance of the term but inherits a tenant who maintains the pasture, fences and two dwellings. The landlord's right to terminate on five months' notice (with a pro-rata refund of prepaid rent) gives a purchaser the option of taking the land back for planting or farming. </w:t>
      </w:r>
      <w:r>
        <w:rPr>
          <w:b/>
          <w:i w:val="0"/>
          <w:color w:val="B01E1E"/>
        </w:rPr>
        <w:t>[TBC – the receivers' position on whether the lease is retained or terminated before settlement.]</w:t>
      </w:r>
    </w:p>
    <w:p>
      <w:pPr>
        <w:pStyle w:val="Heading2"/>
      </w:pPr>
      <w:r>
        <w:t>3.2  Crown leases – Puau Road</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835"/>
            <w:shd w:val="clear" w:color="auto" w:fill="F2F0EA"/>
          </w:tcPr>
          <w:p>
            <w:pPr>
              <w:spacing w:after="0" w:line="240" w:lineRule="auto"/>
            </w:pPr>
            <w:r/>
            <w:r>
              <w:rPr>
                <w:b/>
                <w:i w:val="0"/>
                <w:sz w:val="19"/>
              </w:rPr>
              <w:t>Titles</w:t>
            </w:r>
          </w:p>
        </w:tc>
        <w:tc>
          <w:tcPr>
            <w:tcW w:type="dxa" w:w="6803"/>
          </w:tcPr>
          <w:p>
            <w:pPr>
              <w:spacing w:after="0" w:line="240" w:lineRule="auto"/>
            </w:pPr>
            <w:r/>
            <w:r>
              <w:rPr>
                <w:b w:val="0"/>
                <w:i w:val="0"/>
                <w:sz w:val="19"/>
              </w:rPr>
              <w:t>948076 (720.34 ha, Section 1B Block I Nukumaru SD) and 948077 (884.24 ha, Section 1 Block I Nukumaru SD) – Puau Road</w:t>
            </w:r>
          </w:p>
        </w:tc>
      </w:tr>
      <w:tr>
        <w:tc>
          <w:tcPr>
            <w:tcW w:type="dxa" w:w="2835"/>
            <w:shd w:val="clear" w:color="auto" w:fill="F2F0EA"/>
          </w:tcPr>
          <w:p>
            <w:pPr>
              <w:spacing w:after="0" w:line="240" w:lineRule="auto"/>
            </w:pPr>
            <w:r/>
            <w:r>
              <w:rPr>
                <w:b/>
                <w:i w:val="0"/>
                <w:sz w:val="19"/>
              </w:rPr>
              <w:t>Type</w:t>
            </w:r>
          </w:p>
        </w:tc>
        <w:tc>
          <w:tcPr>
            <w:tcW w:type="dxa" w:w="6803"/>
          </w:tcPr>
          <w:p>
            <w:pPr>
              <w:spacing w:after="0" w:line="240" w:lineRule="auto"/>
            </w:pPr>
            <w:r/>
            <w:r>
              <w:rPr>
                <w:b w:val="0"/>
                <w:i w:val="0"/>
                <w:sz w:val="19"/>
              </w:rPr>
              <w:t>Renewable leases under section 82 of the Land Act 1948 (instruments RL 11709159.1 and .2)</w:t>
            </w:r>
          </w:p>
        </w:tc>
      </w:tr>
      <w:tr>
        <w:tc>
          <w:tcPr>
            <w:tcW w:type="dxa" w:w="2835"/>
            <w:shd w:val="clear" w:color="auto" w:fill="F2F0EA"/>
          </w:tcPr>
          <w:p>
            <w:pPr>
              <w:spacing w:after="0" w:line="240" w:lineRule="auto"/>
            </w:pPr>
            <w:r/>
            <w:r>
              <w:rPr>
                <w:b/>
                <w:i w:val="0"/>
                <w:sz w:val="19"/>
              </w:rPr>
              <w:t>Term</w:t>
            </w:r>
          </w:p>
        </w:tc>
        <w:tc>
          <w:tcPr>
            <w:tcW w:type="dxa" w:w="6803"/>
          </w:tcPr>
          <w:p>
            <w:pPr>
              <w:spacing w:after="0" w:line="240" w:lineRule="auto"/>
            </w:pPr>
            <w:r/>
            <w:r>
              <w:rPr>
                <w:b w:val="0"/>
                <w:i w:val="0"/>
                <w:sz w:val="19"/>
              </w:rPr>
              <w:t>33 years commencing 1 July 2020</w:t>
            </w:r>
          </w:p>
        </w:tc>
      </w:tr>
      <w:tr>
        <w:tc>
          <w:tcPr>
            <w:tcW w:type="dxa" w:w="2835"/>
            <w:shd w:val="clear" w:color="auto" w:fill="F2F0EA"/>
          </w:tcPr>
          <w:p>
            <w:pPr>
              <w:spacing w:after="0" w:line="240" w:lineRule="auto"/>
            </w:pPr>
            <w:r/>
            <w:r>
              <w:rPr>
                <w:b/>
                <w:i w:val="0"/>
                <w:sz w:val="19"/>
              </w:rPr>
              <w:t>Rent</w:t>
            </w:r>
          </w:p>
        </w:tc>
        <w:tc>
          <w:tcPr>
            <w:tcW w:type="dxa" w:w="6803"/>
          </w:tcPr>
          <w:p>
            <w:pPr>
              <w:spacing w:after="0" w:line="240" w:lineRule="auto"/>
            </w:pPr>
            <w:r/>
            <w:r>
              <w:rPr>
                <w:b/>
                <w:i w:val="0"/>
                <w:color w:val="B01E1E"/>
                <w:sz w:val="19"/>
              </w:rPr>
              <w:t>[TBC – copy of lease in the data room]</w:t>
            </w:r>
          </w:p>
        </w:tc>
      </w:tr>
      <w:tr>
        <w:tc>
          <w:tcPr>
            <w:tcW w:type="dxa" w:w="2835"/>
            <w:shd w:val="clear" w:color="auto" w:fill="F2F0EA"/>
          </w:tcPr>
          <w:p>
            <w:pPr>
              <w:spacing w:after="0" w:line="240" w:lineRule="auto"/>
            </w:pPr>
            <w:r/>
            <w:r>
              <w:rPr>
                <w:b/>
                <w:i w:val="0"/>
                <w:sz w:val="19"/>
              </w:rPr>
              <w:t>Notes</w:t>
            </w:r>
          </w:p>
        </w:tc>
        <w:tc>
          <w:tcPr>
            <w:tcW w:type="dxa" w:w="6803"/>
          </w:tcPr>
          <w:p>
            <w:pPr>
              <w:spacing w:after="0" w:line="240" w:lineRule="auto"/>
            </w:pPr>
            <w:r/>
            <w:r>
              <w:rPr>
                <w:b w:val="0"/>
                <w:i w:val="0"/>
                <w:sz w:val="19"/>
              </w:rPr>
              <w:t>Reassignment is expected to be straightforward (receivers' advice); 948077 is also within the Pukekahu Farms grazing lease. No pine has been planted on the leased titles.</w:t>
            </w:r>
          </w:p>
        </w:tc>
      </w:tr>
    </w:tbl>
    <w:p>
      <w:pPr>
        <w:spacing w:after="40"/>
      </w:pPr>
    </w:p>
    <w:p>
      <w:pPr>
        <w:pStyle w:val="Heading2"/>
      </w:pPr>
      <w:r>
        <w:t>3.3  Dwellings and farm improvements</w:t>
      </w:r>
    </w:p>
    <w:p>
      <w:r>
        <w:rPr>
          <w:b w:val="0"/>
          <w:i w:val="0"/>
        </w:rPr>
        <w:t xml:space="preserve">The estate carries dwellings and farm buildings on the Waitōtara Valley blocks: the Front Farm complex on Taumatatahi Road (occupied by the lessee), a dwelling on the Eastern Block (leased), the workers' dwelling at 228 Taumatatahi Road, Patricks House at 2606 Waitotara Valley Road, and woolsheds, yards and sheds on Back Farm, Ernies, Karapara, the Home Block and Whangamomona. A schedule of buildings by block, with condition and occupancy, is to be supplied </w:t>
      </w:r>
      <w:r>
        <w:rPr>
          <w:b/>
          <w:i w:val="0"/>
          <w:color w:val="B01E1E"/>
        </w:rPr>
        <w:t>[TBC – Stand / receivers]</w:t>
      </w:r>
      <w:r>
        <w:rPr>
          <w:b w:val="0"/>
          <w:i w:val="0"/>
        </w:rPr>
        <w:t xml:space="preserve">. The former owner's private residence is not on the sale titles </w:t>
      </w:r>
      <w:r>
        <w:rPr>
          <w:b/>
          <w:i w:val="0"/>
          <w:color w:val="B01E1E"/>
        </w:rPr>
        <w:t>[TBC – confirm]</w:t>
      </w:r>
      <w:r>
        <w:rPr>
          <w:b w:val="0"/>
          <w:i w:val="0"/>
        </w:rPr>
        <w:t>.</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2409"/>
        <w:gridCol w:w="2409"/>
        <w:gridCol w:w="2409"/>
        <w:gridCol w:w="2409"/>
      </w:tblGrid>
      <w:tr>
        <w:tc>
          <w:tcPr>
            <w:tcW w:type="dxa" w:w="1474"/>
            <w:shd w:val="clear" w:color="auto" w:fill="DBD2C3"/>
          </w:tcPr>
          <w:p>
            <w:pPr>
              <w:spacing w:after="0" w:line="240" w:lineRule="auto"/>
            </w:pPr>
            <w:r/>
            <w:r>
              <w:rPr>
                <w:b/>
                <w:i w:val="0"/>
                <w:sz w:val="16"/>
              </w:rPr>
              <w:t>Block</w:t>
            </w:r>
          </w:p>
        </w:tc>
        <w:tc>
          <w:tcPr>
            <w:tcW w:type="dxa" w:w="1701"/>
            <w:shd w:val="clear" w:color="auto" w:fill="DBD2C3"/>
          </w:tcPr>
          <w:p>
            <w:pPr>
              <w:spacing w:after="0" w:line="240" w:lineRule="auto"/>
            </w:pPr>
            <w:r/>
            <w:r>
              <w:rPr>
                <w:b/>
                <w:i w:val="0"/>
                <w:sz w:val="16"/>
              </w:rPr>
              <w:t>Building outlines (LINZ aerial 2021–22)</w:t>
            </w:r>
          </w:p>
        </w:tc>
        <w:tc>
          <w:tcPr>
            <w:tcW w:type="dxa" w:w="4762"/>
            <w:shd w:val="clear" w:color="auto" w:fill="DBD2C3"/>
          </w:tcPr>
          <w:p>
            <w:pPr>
              <w:spacing w:after="0" w:line="240" w:lineRule="auto"/>
            </w:pPr>
            <w:r/>
            <w:r>
              <w:rPr>
                <w:b/>
                <w:i w:val="0"/>
                <w:sz w:val="16"/>
              </w:rPr>
              <w:t>Buildings and dwellings</w:t>
            </w:r>
          </w:p>
        </w:tc>
        <w:tc>
          <w:tcPr>
            <w:tcW w:type="dxa" w:w="1701"/>
            <w:shd w:val="clear" w:color="auto" w:fill="DBD2C3"/>
          </w:tcPr>
          <w:p>
            <w:pPr>
              <w:spacing w:after="0" w:line="240" w:lineRule="auto"/>
            </w:pPr>
            <w:r/>
            <w:r>
              <w:rPr>
                <w:b/>
                <w:i w:val="0"/>
                <w:sz w:val="16"/>
              </w:rPr>
              <w:t>Occupancy</w:t>
            </w:r>
          </w:p>
        </w:tc>
      </w:tr>
      <w:tr>
        <w:tc>
          <w:tcPr>
            <w:tcW w:type="dxa" w:w="1474"/>
          </w:tcPr>
          <w:p>
            <w:pPr>
              <w:spacing w:after="0" w:line="240" w:lineRule="auto"/>
            </w:pPr>
            <w:r/>
            <w:r>
              <w:rPr>
                <w:b w:val="0"/>
                <w:i w:val="0"/>
                <w:sz w:val="16"/>
              </w:rPr>
              <w:t>Longreach</w:t>
            </w:r>
          </w:p>
        </w:tc>
        <w:tc>
          <w:tcPr>
            <w:tcW w:type="dxa" w:w="1701"/>
          </w:tcPr>
          <w:p>
            <w:pPr>
              <w:spacing w:after="0" w:line="240" w:lineRule="auto"/>
            </w:pPr>
            <w:r/>
            <w:r>
              <w:rPr>
                <w:b w:val="0"/>
                <w:i w:val="0"/>
                <w:sz w:val="16"/>
              </w:rPr>
              <w:t>6 (1619, 326, 135, 111… m²)</w:t>
            </w:r>
          </w:p>
        </w:tc>
        <w:tc>
          <w:tcPr>
            <w:tcW w:type="dxa" w:w="4762"/>
          </w:tcPr>
          <w:p>
            <w:pPr>
              <w:spacing w:after="0" w:line="240" w:lineRule="auto"/>
            </w:pPr>
            <w:r/>
            <w:r>
              <w:rPr>
                <w:b w:val="0"/>
                <w:i w:val="0"/>
                <w:sz w:val="16"/>
              </w:rPr>
              <w:t xml:space="preserve">Six building outlines on the LINZ aerial layer, the largest about 1,600 m² (woolshed / implement shed) with a second shed of about 330 m² and smaller buildings; CBRE carried farm buildings on the block. </w:t>
            </w:r>
            <w:r>
              <w:rPr>
                <w:b/>
                <w:i w:val="0"/>
                <w:color w:val="B01E1E"/>
                <w:sz w:val="16"/>
              </w:rPr>
              <w:t>[TBC – dwelling, condition and occupancy]</w:t>
            </w:r>
          </w:p>
        </w:tc>
        <w:tc>
          <w:tcPr>
            <w:tcW w:type="dxa" w:w="1701"/>
          </w:tcPr>
          <w:p>
            <w:pPr>
              <w:spacing w:after="0" w:line="240" w:lineRule="auto"/>
            </w:pPr>
            <w:r/>
            <w:r>
              <w:rPr>
                <w:b/>
                <w:i w:val="0"/>
                <w:color w:val="B01E1E"/>
                <w:sz w:val="16"/>
              </w:rPr>
              <w:t>[TBC]</w:t>
            </w:r>
          </w:p>
        </w:tc>
      </w:tr>
      <w:tr>
        <w:tc>
          <w:tcPr>
            <w:tcW w:type="dxa" w:w="1474"/>
            <w:shd w:val="clear" w:color="auto" w:fill="FAF9F6"/>
          </w:tcPr>
          <w:p>
            <w:pPr>
              <w:spacing w:after="0" w:line="240" w:lineRule="auto"/>
            </w:pPr>
            <w:r/>
            <w:r>
              <w:rPr>
                <w:b w:val="0"/>
                <w:i w:val="0"/>
                <w:sz w:val="16"/>
              </w:rPr>
              <w:t>Back Farm</w:t>
            </w:r>
          </w:p>
        </w:tc>
        <w:tc>
          <w:tcPr>
            <w:tcW w:type="dxa" w:w="1701"/>
            <w:shd w:val="clear" w:color="auto" w:fill="FAF9F6"/>
          </w:tcPr>
          <w:p>
            <w:pPr>
              <w:spacing w:after="0" w:line="240" w:lineRule="auto"/>
            </w:pPr>
            <w:r/>
            <w:r>
              <w:rPr>
                <w:b w:val="0"/>
                <w:i w:val="0"/>
                <w:sz w:val="16"/>
              </w:rPr>
              <w:t>5 (1016, 119, 88 m²)</w:t>
            </w:r>
          </w:p>
        </w:tc>
        <w:tc>
          <w:tcPr>
            <w:tcW w:type="dxa" w:w="4762"/>
            <w:shd w:val="clear" w:color="auto" w:fill="FAF9F6"/>
          </w:tcPr>
          <w:p>
            <w:pPr>
              <w:spacing w:after="0" w:line="240" w:lineRule="auto"/>
            </w:pPr>
            <w:r/>
            <w:r>
              <w:rPr>
                <w:b w:val="0"/>
                <w:i w:val="0"/>
                <w:sz w:val="16"/>
              </w:rPr>
              <w:t xml:space="preserve">Woolshed (about 1,000 m²) and yards near the Mataimoana Road entrance with four smaller sheds; Stand note about 3.5 ha of unplanted land around the woolshed. No dwelling recorded. </w:t>
            </w:r>
            <w:r>
              <w:rPr>
                <w:b/>
                <w:i w:val="0"/>
                <w:color w:val="B01E1E"/>
                <w:sz w:val="16"/>
              </w:rPr>
              <w:t>[TBC]</w:t>
            </w:r>
          </w:p>
        </w:tc>
        <w:tc>
          <w:tcPr>
            <w:tcW w:type="dxa" w:w="1701"/>
            <w:shd w:val="clear" w:color="auto" w:fill="FAF9F6"/>
          </w:tcPr>
          <w:p>
            <w:pPr>
              <w:spacing w:after="0" w:line="240" w:lineRule="auto"/>
            </w:pPr>
            <w:r/>
            <w:r>
              <w:rPr>
                <w:b/>
                <w:i w:val="0"/>
                <w:color w:val="B01E1E"/>
                <w:sz w:val="16"/>
              </w:rPr>
              <w:t>[TBC]</w:t>
            </w:r>
          </w:p>
        </w:tc>
      </w:tr>
      <w:tr>
        <w:tc>
          <w:tcPr>
            <w:tcW w:type="dxa" w:w="1474"/>
          </w:tcPr>
          <w:p>
            <w:pPr>
              <w:spacing w:after="0" w:line="240" w:lineRule="auto"/>
            </w:pPr>
            <w:r/>
            <w:r>
              <w:rPr>
                <w:b w:val="0"/>
                <w:i w:val="0"/>
                <w:sz w:val="16"/>
              </w:rPr>
              <w:t>Front Farm</w:t>
            </w:r>
          </w:p>
        </w:tc>
        <w:tc>
          <w:tcPr>
            <w:tcW w:type="dxa" w:w="1701"/>
          </w:tcPr>
          <w:p>
            <w:pPr>
              <w:spacing w:after="0" w:line="240" w:lineRule="auto"/>
            </w:pPr>
            <w:r/>
            <w:r>
              <w:rPr>
                <w:b w:val="0"/>
                <w:i w:val="0"/>
                <w:sz w:val="16"/>
              </w:rPr>
              <w:t>9 (916, 288, 234, 199… m²)</w:t>
            </w:r>
          </w:p>
        </w:tc>
        <w:tc>
          <w:tcPr>
            <w:tcW w:type="dxa" w:w="4762"/>
          </w:tcPr>
          <w:p>
            <w:pPr>
              <w:spacing w:after="0" w:line="240" w:lineRule="auto"/>
            </w:pPr>
            <w:r/>
            <w:r>
              <w:rPr>
                <w:b w:val="0"/>
                <w:i w:val="0"/>
                <w:sz w:val="16"/>
              </w:rPr>
              <w:t xml:space="preserve">The main farm complex – nine building outlines including a woolshed / covered yards of about 900 m², a dwelling (about 230–290 m²) and farm sheds; occupied by the lessee (Pukekahu Farms), who maintains the dwellings under the lease. </w:t>
            </w:r>
            <w:r>
              <w:rPr>
                <w:b/>
                <w:i w:val="0"/>
                <w:color w:val="B01E1E"/>
                <w:sz w:val="16"/>
              </w:rPr>
              <w:t>[TBC – number of dwellings, bedrooms, condition]</w:t>
            </w:r>
          </w:p>
        </w:tc>
        <w:tc>
          <w:tcPr>
            <w:tcW w:type="dxa" w:w="1701"/>
          </w:tcPr>
          <w:p>
            <w:pPr>
              <w:spacing w:after="0" w:line="240" w:lineRule="auto"/>
            </w:pPr>
            <w:r/>
            <w:r>
              <w:rPr>
                <w:b w:val="0"/>
                <w:i w:val="0"/>
                <w:sz w:val="16"/>
              </w:rPr>
              <w:t>Lessee (Pukekahu Farms)</w:t>
            </w:r>
          </w:p>
        </w:tc>
      </w:tr>
      <w:tr>
        <w:tc>
          <w:tcPr>
            <w:tcW w:type="dxa" w:w="1474"/>
            <w:shd w:val="clear" w:color="auto" w:fill="FAF9F6"/>
          </w:tcPr>
          <w:p>
            <w:pPr>
              <w:spacing w:after="0" w:line="240" w:lineRule="auto"/>
            </w:pPr>
            <w:r/>
            <w:r>
              <w:rPr>
                <w:b w:val="0"/>
                <w:i w:val="0"/>
                <w:sz w:val="16"/>
              </w:rPr>
              <w:t>Eastern Block</w:t>
            </w:r>
          </w:p>
        </w:tc>
        <w:tc>
          <w:tcPr>
            <w:tcW w:type="dxa" w:w="1701"/>
            <w:shd w:val="clear" w:color="auto" w:fill="FAF9F6"/>
          </w:tcPr>
          <w:p>
            <w:pPr>
              <w:spacing w:after="0" w:line="240" w:lineRule="auto"/>
            </w:pPr>
            <w:r/>
            <w:r>
              <w:rPr>
                <w:b w:val="0"/>
                <w:i w:val="0"/>
                <w:sz w:val="16"/>
              </w:rPr>
              <w:t>none mapped</w:t>
            </w:r>
          </w:p>
        </w:tc>
        <w:tc>
          <w:tcPr>
            <w:tcW w:type="dxa" w:w="4762"/>
            <w:shd w:val="clear" w:color="auto" w:fill="FAF9F6"/>
          </w:tcPr>
          <w:p>
            <w:pPr>
              <w:spacing w:after="0" w:line="240" w:lineRule="auto"/>
            </w:pPr>
            <w:r/>
            <w:r>
              <w:rPr>
                <w:b w:val="0"/>
                <w:i w:val="0"/>
                <w:sz w:val="16"/>
              </w:rPr>
              <w:t xml:space="preserve">One of the two dwellings maintained by the tenant under the Pukekahu Farms lease is on the leased land here or on Front Farm; no building outlines are mapped on the LINZ aerial layer within the titles. </w:t>
            </w:r>
            <w:r>
              <w:rPr>
                <w:b/>
                <w:i w:val="0"/>
                <w:color w:val="B01E1E"/>
                <w:sz w:val="16"/>
              </w:rPr>
              <w:t>[TBC – location and description of the leased dwelling]</w:t>
            </w:r>
          </w:p>
        </w:tc>
        <w:tc>
          <w:tcPr>
            <w:tcW w:type="dxa" w:w="1701"/>
            <w:shd w:val="clear" w:color="auto" w:fill="FAF9F6"/>
          </w:tcPr>
          <w:p>
            <w:pPr>
              <w:spacing w:after="0" w:line="240" w:lineRule="auto"/>
            </w:pPr>
            <w:r/>
            <w:r>
              <w:rPr>
                <w:b w:val="0"/>
                <w:i w:val="0"/>
                <w:sz w:val="16"/>
              </w:rPr>
              <w:t>Lessee (Pukekahu Farms)</w:t>
            </w:r>
          </w:p>
        </w:tc>
      </w:tr>
      <w:tr>
        <w:tc>
          <w:tcPr>
            <w:tcW w:type="dxa" w:w="1474"/>
          </w:tcPr>
          <w:p>
            <w:pPr>
              <w:spacing w:after="0" w:line="240" w:lineRule="auto"/>
            </w:pPr>
            <w:r/>
            <w:r>
              <w:rPr>
                <w:b w:val="0"/>
                <w:i w:val="0"/>
                <w:sz w:val="16"/>
              </w:rPr>
              <w:t>Home Block</w:t>
            </w:r>
          </w:p>
        </w:tc>
        <w:tc>
          <w:tcPr>
            <w:tcW w:type="dxa" w:w="1701"/>
          </w:tcPr>
          <w:p>
            <w:pPr>
              <w:spacing w:after="0" w:line="240" w:lineRule="auto"/>
            </w:pPr>
            <w:r/>
            <w:r>
              <w:rPr>
                <w:b w:val="0"/>
                <w:i w:val="0"/>
                <w:sz w:val="16"/>
              </w:rPr>
              <w:t>1 (51 m²)</w:t>
            </w:r>
          </w:p>
        </w:tc>
        <w:tc>
          <w:tcPr>
            <w:tcW w:type="dxa" w:w="4762"/>
          </w:tcPr>
          <w:p>
            <w:pPr>
              <w:spacing w:after="0" w:line="240" w:lineRule="auto"/>
            </w:pPr>
            <w:r/>
            <w:r>
              <w:rPr>
                <w:b w:val="0"/>
                <w:i w:val="0"/>
                <w:sz w:val="16"/>
              </w:rPr>
              <w:t xml:space="preserve">One small building outline (about 50 m²); no dwelling recorded. The former owner's residence is understood to be outside the sale titles. </w:t>
            </w:r>
            <w:r>
              <w:rPr>
                <w:b/>
                <w:i w:val="0"/>
                <w:color w:val="B01E1E"/>
                <w:sz w:val="16"/>
              </w:rPr>
              <w:t>[TBC]</w:t>
            </w:r>
          </w:p>
        </w:tc>
        <w:tc>
          <w:tcPr>
            <w:tcW w:type="dxa" w:w="1701"/>
          </w:tcPr>
          <w:p>
            <w:pPr>
              <w:spacing w:after="0" w:line="240" w:lineRule="auto"/>
            </w:pPr>
            <w:r/>
            <w:r>
              <w:rPr>
                <w:b/>
                <w:i w:val="0"/>
                <w:color w:val="B01E1E"/>
                <w:sz w:val="16"/>
              </w:rPr>
              <w:t>[TBC]</w:t>
            </w:r>
          </w:p>
        </w:tc>
      </w:tr>
      <w:tr>
        <w:tc>
          <w:tcPr>
            <w:tcW w:type="dxa" w:w="1474"/>
            <w:shd w:val="clear" w:color="auto" w:fill="FAF9F6"/>
          </w:tcPr>
          <w:p>
            <w:pPr>
              <w:spacing w:after="0" w:line="240" w:lineRule="auto"/>
            </w:pPr>
            <w:r/>
            <w:r>
              <w:rPr>
                <w:b w:val="0"/>
                <w:i w:val="0"/>
                <w:sz w:val="16"/>
              </w:rPr>
              <w:t>Ernies</w:t>
            </w:r>
          </w:p>
        </w:tc>
        <w:tc>
          <w:tcPr>
            <w:tcW w:type="dxa" w:w="1701"/>
            <w:shd w:val="clear" w:color="auto" w:fill="FAF9F6"/>
          </w:tcPr>
          <w:p>
            <w:pPr>
              <w:spacing w:after="0" w:line="240" w:lineRule="auto"/>
            </w:pPr>
            <w:r/>
            <w:r>
              <w:rPr>
                <w:b w:val="0"/>
                <w:i w:val="0"/>
                <w:sz w:val="16"/>
              </w:rPr>
              <w:t>4 (133, 108, 45 m²)</w:t>
            </w:r>
          </w:p>
        </w:tc>
        <w:tc>
          <w:tcPr>
            <w:tcW w:type="dxa" w:w="4762"/>
            <w:shd w:val="clear" w:color="auto" w:fill="FAF9F6"/>
          </w:tcPr>
          <w:p>
            <w:pPr>
              <w:spacing w:after="0" w:line="240" w:lineRule="auto"/>
            </w:pPr>
            <w:r/>
            <w:r>
              <w:rPr>
                <w:b w:val="0"/>
                <w:i w:val="0"/>
                <w:sz w:val="16"/>
              </w:rPr>
              <w:t xml:space="preserve">Four building outlines (about 130, 110, 45 and 17 m²) – sheds and a possible cottage on Moewatea Road; CBRE carried farm improvements on the block. </w:t>
            </w:r>
            <w:r>
              <w:rPr>
                <w:b/>
                <w:i w:val="0"/>
                <w:color w:val="B01E1E"/>
                <w:sz w:val="16"/>
              </w:rPr>
              <w:t>[TBC – description and occupancy]</w:t>
            </w:r>
          </w:p>
        </w:tc>
        <w:tc>
          <w:tcPr>
            <w:tcW w:type="dxa" w:w="1701"/>
            <w:shd w:val="clear" w:color="auto" w:fill="FAF9F6"/>
          </w:tcPr>
          <w:p>
            <w:pPr>
              <w:spacing w:after="0" w:line="240" w:lineRule="auto"/>
            </w:pPr>
            <w:r/>
            <w:r>
              <w:rPr>
                <w:b/>
                <w:i w:val="0"/>
                <w:color w:val="B01E1E"/>
                <w:sz w:val="16"/>
              </w:rPr>
              <w:t>[TBC]</w:t>
            </w:r>
          </w:p>
        </w:tc>
      </w:tr>
      <w:tr>
        <w:tc>
          <w:tcPr>
            <w:tcW w:type="dxa" w:w="1474"/>
          </w:tcPr>
          <w:p>
            <w:pPr>
              <w:spacing w:after="0" w:line="240" w:lineRule="auto"/>
            </w:pPr>
            <w:r/>
            <w:r>
              <w:rPr>
                <w:b w:val="0"/>
                <w:i w:val="0"/>
                <w:sz w:val="16"/>
              </w:rPr>
              <w:t>Karapara</w:t>
            </w:r>
          </w:p>
        </w:tc>
        <w:tc>
          <w:tcPr>
            <w:tcW w:type="dxa" w:w="1701"/>
          </w:tcPr>
          <w:p>
            <w:pPr>
              <w:spacing w:after="0" w:line="240" w:lineRule="auto"/>
            </w:pPr>
            <w:r/>
            <w:r>
              <w:rPr>
                <w:b w:val="0"/>
                <w:i w:val="0"/>
                <w:sz w:val="16"/>
              </w:rPr>
              <w:t>none mapped</w:t>
            </w:r>
          </w:p>
        </w:tc>
        <w:tc>
          <w:tcPr>
            <w:tcW w:type="dxa" w:w="4762"/>
          </w:tcPr>
          <w:p>
            <w:pPr>
              <w:spacing w:after="0" w:line="240" w:lineRule="auto"/>
            </w:pPr>
            <w:r/>
            <w:r>
              <w:rPr>
                <w:b w:val="0"/>
                <w:i w:val="0"/>
                <w:sz w:val="16"/>
              </w:rPr>
              <w:t xml:space="preserve">No building outlines mapped within the titles; CBRE carried improvements (likely yards, fencing and tracks). </w:t>
            </w:r>
            <w:r>
              <w:rPr>
                <w:b/>
                <w:i w:val="0"/>
                <w:color w:val="B01E1E"/>
                <w:sz w:val="16"/>
              </w:rPr>
              <w:t>[TBC]</w:t>
            </w:r>
          </w:p>
        </w:tc>
        <w:tc>
          <w:tcPr>
            <w:tcW w:type="dxa" w:w="1701"/>
          </w:tcPr>
          <w:p>
            <w:pPr>
              <w:spacing w:after="0" w:line="240" w:lineRule="auto"/>
            </w:pPr>
            <w:r/>
            <w:r>
              <w:rPr>
                <w:b w:val="0"/>
                <w:i w:val="0"/>
                <w:sz w:val="16"/>
              </w:rPr>
              <w:t>–</w:t>
            </w:r>
          </w:p>
        </w:tc>
      </w:tr>
      <w:tr>
        <w:tc>
          <w:tcPr>
            <w:tcW w:type="dxa" w:w="1474"/>
            <w:shd w:val="clear" w:color="auto" w:fill="FAF9F6"/>
          </w:tcPr>
          <w:p>
            <w:pPr>
              <w:spacing w:after="0" w:line="240" w:lineRule="auto"/>
            </w:pPr>
            <w:r/>
            <w:r>
              <w:rPr>
                <w:b w:val="0"/>
                <w:i w:val="0"/>
                <w:sz w:val="16"/>
              </w:rPr>
              <w:t>Workers House</w:t>
            </w:r>
          </w:p>
        </w:tc>
        <w:tc>
          <w:tcPr>
            <w:tcW w:type="dxa" w:w="1701"/>
            <w:shd w:val="clear" w:color="auto" w:fill="FAF9F6"/>
          </w:tcPr>
          <w:p>
            <w:pPr>
              <w:spacing w:after="0" w:line="240" w:lineRule="auto"/>
            </w:pPr>
            <w:r/>
            <w:r>
              <w:rPr>
                <w:b w:val="0"/>
                <w:i w:val="0"/>
                <w:sz w:val="16"/>
              </w:rPr>
              <w:t>1 (302 m²)</w:t>
            </w:r>
          </w:p>
        </w:tc>
        <w:tc>
          <w:tcPr>
            <w:tcW w:type="dxa" w:w="4762"/>
            <w:shd w:val="clear" w:color="auto" w:fill="FAF9F6"/>
          </w:tcPr>
          <w:p>
            <w:pPr>
              <w:spacing w:after="0" w:line="240" w:lineRule="auto"/>
            </w:pPr>
            <w:r/>
            <w:r>
              <w:rPr>
                <w:b w:val="0"/>
                <w:i w:val="0"/>
                <w:sz w:val="16"/>
              </w:rPr>
              <w:t xml:space="preserve">Workers' dwelling at 228 Taumatatahi Road – a single building outline of about 300 m² on 1.7 ha with power and a 1966 electricity agreement on the title. </w:t>
            </w:r>
            <w:r>
              <w:rPr>
                <w:b/>
                <w:i w:val="0"/>
                <w:color w:val="B01E1E"/>
                <w:sz w:val="16"/>
              </w:rPr>
              <w:t>[TBC – bedrooms, condition and occupancy]</w:t>
            </w:r>
          </w:p>
        </w:tc>
        <w:tc>
          <w:tcPr>
            <w:tcW w:type="dxa" w:w="1701"/>
            <w:shd w:val="clear" w:color="auto" w:fill="FAF9F6"/>
          </w:tcPr>
          <w:p>
            <w:pPr>
              <w:spacing w:after="0" w:line="240" w:lineRule="auto"/>
            </w:pPr>
            <w:r/>
            <w:r>
              <w:rPr>
                <w:b/>
                <w:i w:val="0"/>
                <w:color w:val="B01E1E"/>
                <w:sz w:val="16"/>
              </w:rPr>
              <w:t>[TBC]</w:t>
            </w:r>
          </w:p>
        </w:tc>
      </w:tr>
      <w:tr>
        <w:tc>
          <w:tcPr>
            <w:tcW w:type="dxa" w:w="1474"/>
          </w:tcPr>
          <w:p>
            <w:pPr>
              <w:spacing w:after="0" w:line="240" w:lineRule="auto"/>
            </w:pPr>
            <w:r/>
            <w:r>
              <w:rPr>
                <w:b w:val="0"/>
                <w:i w:val="0"/>
                <w:sz w:val="16"/>
              </w:rPr>
              <w:t>Patricks House</w:t>
            </w:r>
          </w:p>
        </w:tc>
        <w:tc>
          <w:tcPr>
            <w:tcW w:type="dxa" w:w="1701"/>
          </w:tcPr>
          <w:p>
            <w:pPr>
              <w:spacing w:after="0" w:line="240" w:lineRule="auto"/>
            </w:pPr>
            <w:r/>
            <w:r>
              <w:rPr>
                <w:b w:val="0"/>
                <w:i w:val="0"/>
                <w:sz w:val="16"/>
              </w:rPr>
              <w:t>2 (213, 50 m²)</w:t>
            </w:r>
          </w:p>
        </w:tc>
        <w:tc>
          <w:tcPr>
            <w:tcW w:type="dxa" w:w="4762"/>
          </w:tcPr>
          <w:p>
            <w:pPr>
              <w:spacing w:after="0" w:line="240" w:lineRule="auto"/>
            </w:pPr>
            <w:r/>
            <w:r>
              <w:rPr>
                <w:b w:val="0"/>
                <w:i w:val="0"/>
                <w:sz w:val="16"/>
              </w:rPr>
              <w:t xml:space="preserve">House at 2606 Waitotara Valley Road (about 210 m²) with an outbuilding (about 50 m²); water-supply and power easements registered. A tenant is believed to occupy one of the estate dwellings. </w:t>
            </w:r>
            <w:r>
              <w:rPr>
                <w:b/>
                <w:i w:val="0"/>
                <w:color w:val="B01E1E"/>
                <w:sz w:val="16"/>
              </w:rPr>
              <w:t>[TBC – description, condition and tenancy]</w:t>
            </w:r>
          </w:p>
        </w:tc>
        <w:tc>
          <w:tcPr>
            <w:tcW w:type="dxa" w:w="1701"/>
          </w:tcPr>
          <w:p>
            <w:pPr>
              <w:spacing w:after="0" w:line="240" w:lineRule="auto"/>
            </w:pPr>
            <w:r/>
            <w:r>
              <w:rPr>
                <w:b/>
                <w:i w:val="0"/>
                <w:color w:val="B01E1E"/>
                <w:sz w:val="16"/>
              </w:rPr>
              <w:t>[TBC – tenant]</w:t>
            </w:r>
          </w:p>
        </w:tc>
      </w:tr>
      <w:tr>
        <w:tc>
          <w:tcPr>
            <w:tcW w:type="dxa" w:w="1474"/>
            <w:shd w:val="clear" w:color="auto" w:fill="FAF9F6"/>
          </w:tcPr>
          <w:p>
            <w:pPr>
              <w:spacing w:after="0" w:line="240" w:lineRule="auto"/>
            </w:pPr>
            <w:r/>
            <w:r>
              <w:rPr>
                <w:b w:val="0"/>
                <w:i w:val="0"/>
                <w:sz w:val="16"/>
              </w:rPr>
              <w:t>Puau Road</w:t>
            </w:r>
          </w:p>
        </w:tc>
        <w:tc>
          <w:tcPr>
            <w:tcW w:type="dxa" w:w="1701"/>
            <w:shd w:val="clear" w:color="auto" w:fill="FAF9F6"/>
          </w:tcPr>
          <w:p>
            <w:pPr>
              <w:spacing w:after="0" w:line="240" w:lineRule="auto"/>
            </w:pPr>
            <w:r/>
            <w:r>
              <w:rPr>
                <w:b w:val="0"/>
                <w:i w:val="0"/>
                <w:sz w:val="16"/>
              </w:rPr>
              <w:t>1 ( m²)</w:t>
            </w:r>
          </w:p>
        </w:tc>
        <w:tc>
          <w:tcPr>
            <w:tcW w:type="dxa" w:w="4762"/>
            <w:shd w:val="clear" w:color="auto" w:fill="FAF9F6"/>
          </w:tcPr>
          <w:p>
            <w:pPr>
              <w:spacing w:after="0" w:line="240" w:lineRule="auto"/>
            </w:pPr>
            <w:r/>
            <w:r>
              <w:rPr>
                <w:b w:val="0"/>
                <w:i w:val="0"/>
                <w:sz w:val="16"/>
              </w:rPr>
              <w:t xml:space="preserve">One small shed (about 25 m²); no dwelling. </w:t>
            </w:r>
            <w:r>
              <w:rPr>
                <w:b/>
                <w:i w:val="0"/>
                <w:color w:val="B01E1E"/>
                <w:sz w:val="16"/>
              </w:rPr>
              <w:t>[TBC]</w:t>
            </w:r>
          </w:p>
        </w:tc>
        <w:tc>
          <w:tcPr>
            <w:tcW w:type="dxa" w:w="1701"/>
            <w:shd w:val="clear" w:color="auto" w:fill="FAF9F6"/>
          </w:tcPr>
          <w:p>
            <w:pPr>
              <w:spacing w:after="0" w:line="240" w:lineRule="auto"/>
            </w:pPr>
            <w:r/>
            <w:r>
              <w:rPr>
                <w:b/>
                <w:i w:val="0"/>
                <w:color w:val="B01E1E"/>
                <w:sz w:val="16"/>
              </w:rPr>
              <w:t>[TBC]</w:t>
            </w:r>
          </w:p>
        </w:tc>
      </w:tr>
      <w:tr>
        <w:tc>
          <w:tcPr>
            <w:tcW w:type="dxa" w:w="1474"/>
          </w:tcPr>
          <w:p>
            <w:pPr>
              <w:spacing w:after="0" w:line="240" w:lineRule="auto"/>
            </w:pPr>
            <w:r/>
            <w:r>
              <w:rPr>
                <w:b w:val="0"/>
                <w:i w:val="0"/>
                <w:sz w:val="16"/>
              </w:rPr>
              <w:t>Moonys</w:t>
            </w:r>
          </w:p>
        </w:tc>
        <w:tc>
          <w:tcPr>
            <w:tcW w:type="dxa" w:w="1701"/>
          </w:tcPr>
          <w:p>
            <w:pPr>
              <w:spacing w:after="0" w:line="240" w:lineRule="auto"/>
            </w:pPr>
            <w:r/>
            <w:r>
              <w:rPr>
                <w:b w:val="0"/>
                <w:i w:val="0"/>
                <w:sz w:val="16"/>
              </w:rPr>
              <w:t>3 (124, 72 m²)</w:t>
            </w:r>
          </w:p>
        </w:tc>
        <w:tc>
          <w:tcPr>
            <w:tcW w:type="dxa" w:w="4762"/>
          </w:tcPr>
          <w:p>
            <w:pPr>
              <w:spacing w:after="0" w:line="240" w:lineRule="auto"/>
            </w:pPr>
            <w:r/>
            <w:r>
              <w:rPr>
                <w:b w:val="0"/>
                <w:i w:val="0"/>
                <w:sz w:val="16"/>
              </w:rPr>
              <w:t xml:space="preserve">Three small buildings (about 125, 70 and 20 m²) – sheds / hut; no dwelling recorded. </w:t>
            </w:r>
            <w:r>
              <w:rPr>
                <w:b/>
                <w:i w:val="0"/>
                <w:color w:val="B01E1E"/>
                <w:sz w:val="16"/>
              </w:rPr>
              <w:t>[TBC]</w:t>
            </w:r>
          </w:p>
        </w:tc>
        <w:tc>
          <w:tcPr>
            <w:tcW w:type="dxa" w:w="1701"/>
          </w:tcPr>
          <w:p>
            <w:pPr>
              <w:spacing w:after="0" w:line="240" w:lineRule="auto"/>
            </w:pPr>
            <w:r/>
            <w:r>
              <w:rPr>
                <w:b/>
                <w:i w:val="0"/>
                <w:color w:val="B01E1E"/>
                <w:sz w:val="16"/>
              </w:rPr>
              <w:t>[TBC]</w:t>
            </w:r>
          </w:p>
        </w:tc>
      </w:tr>
      <w:tr>
        <w:tc>
          <w:tcPr>
            <w:tcW w:type="dxa" w:w="1474"/>
            <w:shd w:val="clear" w:color="auto" w:fill="FAF9F6"/>
          </w:tcPr>
          <w:p>
            <w:pPr>
              <w:spacing w:after="0" w:line="240" w:lineRule="auto"/>
            </w:pPr>
            <w:r/>
            <w:r>
              <w:rPr>
                <w:b w:val="0"/>
                <w:i w:val="0"/>
                <w:sz w:val="16"/>
              </w:rPr>
              <w:t>Ridge Road</w:t>
            </w:r>
          </w:p>
        </w:tc>
        <w:tc>
          <w:tcPr>
            <w:tcW w:type="dxa" w:w="1701"/>
            <w:shd w:val="clear" w:color="auto" w:fill="FAF9F6"/>
          </w:tcPr>
          <w:p>
            <w:pPr>
              <w:spacing w:after="0" w:line="240" w:lineRule="auto"/>
            </w:pPr>
            <w:r/>
            <w:r>
              <w:rPr>
                <w:b w:val="0"/>
                <w:i w:val="0"/>
                <w:sz w:val="16"/>
              </w:rPr>
              <w:t>5 (182, 54, 48 m²)</w:t>
            </w:r>
          </w:p>
        </w:tc>
        <w:tc>
          <w:tcPr>
            <w:tcW w:type="dxa" w:w="4762"/>
            <w:shd w:val="clear" w:color="auto" w:fill="FAF9F6"/>
          </w:tcPr>
          <w:p>
            <w:pPr>
              <w:spacing w:after="0" w:line="240" w:lineRule="auto"/>
            </w:pPr>
            <w:r/>
            <w:r>
              <w:rPr>
                <w:b w:val="0"/>
                <w:i w:val="0"/>
                <w:sz w:val="16"/>
              </w:rPr>
              <w:t xml:space="preserve">Five small buildings off Ridge Road, the largest about 180 m² – sheds; no dwelling recorded. </w:t>
            </w:r>
            <w:r>
              <w:rPr>
                <w:b/>
                <w:i w:val="0"/>
                <w:color w:val="B01E1E"/>
                <w:sz w:val="16"/>
              </w:rPr>
              <w:t>[TBC]</w:t>
            </w:r>
          </w:p>
        </w:tc>
        <w:tc>
          <w:tcPr>
            <w:tcW w:type="dxa" w:w="1701"/>
            <w:shd w:val="clear" w:color="auto" w:fill="FAF9F6"/>
          </w:tcPr>
          <w:p>
            <w:pPr>
              <w:spacing w:after="0" w:line="240" w:lineRule="auto"/>
            </w:pPr>
            <w:r/>
            <w:r>
              <w:rPr>
                <w:b/>
                <w:i w:val="0"/>
                <w:color w:val="B01E1E"/>
                <w:sz w:val="16"/>
              </w:rPr>
              <w:t>[TBC]</w:t>
            </w:r>
          </w:p>
        </w:tc>
      </w:tr>
      <w:tr>
        <w:tc>
          <w:tcPr>
            <w:tcW w:type="dxa" w:w="1474"/>
          </w:tcPr>
          <w:p>
            <w:pPr>
              <w:spacing w:after="0" w:line="240" w:lineRule="auto"/>
            </w:pPr>
            <w:r/>
            <w:r>
              <w:rPr>
                <w:b w:val="0"/>
                <w:i w:val="0"/>
                <w:sz w:val="16"/>
              </w:rPr>
              <w:t>Whangamomona</w:t>
            </w:r>
          </w:p>
        </w:tc>
        <w:tc>
          <w:tcPr>
            <w:tcW w:type="dxa" w:w="1701"/>
          </w:tcPr>
          <w:p>
            <w:pPr>
              <w:spacing w:after="0" w:line="240" w:lineRule="auto"/>
            </w:pPr>
            <w:r/>
            <w:r>
              <w:rPr>
                <w:b w:val="0"/>
                <w:i w:val="0"/>
                <w:sz w:val="16"/>
              </w:rPr>
              <w:t>7 (625, 163, 162, 79… m²)</w:t>
            </w:r>
          </w:p>
        </w:tc>
        <w:tc>
          <w:tcPr>
            <w:tcW w:type="dxa" w:w="4762"/>
          </w:tcPr>
          <w:p>
            <w:pPr>
              <w:spacing w:after="0" w:line="240" w:lineRule="auto"/>
            </w:pPr>
            <w:r/>
            <w:r>
              <w:rPr>
                <w:b w:val="0"/>
                <w:i w:val="0"/>
                <w:sz w:val="16"/>
              </w:rPr>
              <w:t xml:space="preserve">Seven building outlines around the Whangamomona Road frontage, the largest about 625 m² (the old woolshed noted by Stand) with two buildings of about 160 m² that may be dwellings or cottages. </w:t>
            </w:r>
            <w:r>
              <w:rPr>
                <w:b/>
                <w:i w:val="0"/>
                <w:color w:val="B01E1E"/>
                <w:sz w:val="16"/>
              </w:rPr>
              <w:t>[TBC – description, condition and occupancy; the block includes the 46 and 105 Whangamomona Road addresses]</w:t>
            </w:r>
          </w:p>
        </w:tc>
        <w:tc>
          <w:tcPr>
            <w:tcW w:type="dxa" w:w="1701"/>
          </w:tcPr>
          <w:p>
            <w:pPr>
              <w:spacing w:after="0" w:line="240" w:lineRule="auto"/>
            </w:pPr>
            <w:r/>
            <w:r>
              <w:rPr>
                <w:b/>
                <w:i w:val="0"/>
                <w:color w:val="B01E1E"/>
                <w:sz w:val="16"/>
              </w:rPr>
              <w:t>[TBC]</w:t>
            </w:r>
          </w:p>
        </w:tc>
      </w:tr>
      <w:tr>
        <w:tc>
          <w:tcPr>
            <w:tcW w:type="dxa" w:w="1474"/>
            <w:shd w:val="clear" w:color="auto" w:fill="FAF9F6"/>
          </w:tcPr>
          <w:p>
            <w:pPr>
              <w:spacing w:after="0" w:line="240" w:lineRule="auto"/>
            </w:pPr>
            <w:r/>
            <w:r>
              <w:rPr>
                <w:b w:val="0"/>
                <w:i w:val="0"/>
                <w:sz w:val="16"/>
              </w:rPr>
              <w:t>Staghaven</w:t>
            </w:r>
          </w:p>
        </w:tc>
        <w:tc>
          <w:tcPr>
            <w:tcW w:type="dxa" w:w="1701"/>
            <w:shd w:val="clear" w:color="auto" w:fill="FAF9F6"/>
          </w:tcPr>
          <w:p>
            <w:pPr>
              <w:spacing w:after="0" w:line="240" w:lineRule="auto"/>
            </w:pPr>
            <w:r/>
            <w:r>
              <w:rPr>
                <w:b w:val="0"/>
                <w:i w:val="0"/>
                <w:sz w:val="16"/>
              </w:rPr>
              <w:t>1 ( m²)</w:t>
            </w:r>
          </w:p>
        </w:tc>
        <w:tc>
          <w:tcPr>
            <w:tcW w:type="dxa" w:w="4762"/>
            <w:shd w:val="clear" w:color="auto" w:fill="FAF9F6"/>
          </w:tcPr>
          <w:p>
            <w:pPr>
              <w:spacing w:after="0" w:line="240" w:lineRule="auto"/>
            </w:pPr>
            <w:r/>
            <w:r>
              <w:rPr>
                <w:b w:val="0"/>
                <w:i w:val="0"/>
                <w:sz w:val="16"/>
              </w:rPr>
              <w:t xml:space="preserve">One small building (about 20 m²); the Staghaven homestead sits on TNH4/170, which has been sold separately and is not included. </w:t>
            </w:r>
            <w:r>
              <w:rPr>
                <w:b/>
                <w:i w:val="0"/>
                <w:color w:val="B01E1E"/>
                <w:sz w:val="16"/>
              </w:rPr>
              <w:t>[TBC]</w:t>
            </w:r>
          </w:p>
        </w:tc>
        <w:tc>
          <w:tcPr>
            <w:tcW w:type="dxa" w:w="1701"/>
            <w:shd w:val="clear" w:color="auto" w:fill="FAF9F6"/>
          </w:tcPr>
          <w:p>
            <w:pPr>
              <w:spacing w:after="0" w:line="240" w:lineRule="auto"/>
            </w:pPr>
            <w:r/>
            <w:r>
              <w:rPr>
                <w:b/>
                <w:i w:val="0"/>
                <w:color w:val="B01E1E"/>
                <w:sz w:val="16"/>
              </w:rPr>
              <w:t>[TBC]</w:t>
            </w:r>
          </w:p>
        </w:tc>
      </w:tr>
      <w:tr>
        <w:tc>
          <w:tcPr>
            <w:tcW w:type="dxa" w:w="1474"/>
          </w:tcPr>
          <w:p>
            <w:pPr>
              <w:spacing w:after="0" w:line="240" w:lineRule="auto"/>
            </w:pPr>
            <w:r/>
            <w:r>
              <w:rPr>
                <w:b w:val="0"/>
                <w:i w:val="0"/>
                <w:sz w:val="16"/>
              </w:rPr>
              <w:t>Pakihi</w:t>
            </w:r>
          </w:p>
        </w:tc>
        <w:tc>
          <w:tcPr>
            <w:tcW w:type="dxa" w:w="1701"/>
          </w:tcPr>
          <w:p>
            <w:pPr>
              <w:spacing w:after="0" w:line="240" w:lineRule="auto"/>
            </w:pPr>
            <w:r/>
            <w:r>
              <w:rPr>
                <w:b w:val="0"/>
                <w:i w:val="0"/>
                <w:sz w:val="16"/>
              </w:rPr>
              <w:t>4 (114, 54 m²)</w:t>
            </w:r>
          </w:p>
        </w:tc>
        <w:tc>
          <w:tcPr>
            <w:tcW w:type="dxa" w:w="4762"/>
          </w:tcPr>
          <w:p>
            <w:pPr>
              <w:spacing w:after="0" w:line="240" w:lineRule="auto"/>
            </w:pPr>
            <w:r/>
            <w:r>
              <w:rPr>
                <w:b w:val="0"/>
                <w:i w:val="0"/>
                <w:sz w:val="16"/>
              </w:rPr>
              <w:t xml:space="preserve">Four small buildings (about 115, 55, 18 and 17 m²) – hut / sheds; no dwelling recorded. </w:t>
            </w:r>
            <w:r>
              <w:rPr>
                <w:b/>
                <w:i w:val="0"/>
                <w:color w:val="B01E1E"/>
                <w:sz w:val="16"/>
              </w:rPr>
              <w:t>[TBC]</w:t>
            </w:r>
          </w:p>
        </w:tc>
        <w:tc>
          <w:tcPr>
            <w:tcW w:type="dxa" w:w="1701"/>
          </w:tcPr>
          <w:p>
            <w:pPr>
              <w:spacing w:after="0" w:line="240" w:lineRule="auto"/>
            </w:pPr>
            <w:r/>
            <w:r>
              <w:rPr>
                <w:b/>
                <w:i w:val="0"/>
                <w:color w:val="B01E1E"/>
                <w:sz w:val="16"/>
              </w:rPr>
              <w:t>[TBC]</w:t>
            </w:r>
          </w:p>
        </w:tc>
      </w:tr>
    </w:tbl>
    <w:p>
      <w:pPr>
        <w:spacing w:after="40"/>
      </w:pPr>
    </w:p>
    <w:p>
      <w:pPr>
        <w:shd w:val="clear" w:color="auto" w:fill="F2F0EA"/>
        <w:spacing w:after="160"/>
        <w:ind w:left="113"/>
      </w:pPr>
      <w:r>
        <w:rPr>
          <w:b/>
          <w:color w:val="6B6B60"/>
          <w:sz w:val="18"/>
        </w:rPr>
        <w:t xml:space="preserve">Internal note – not for the IM: </w:t>
      </w:r>
      <w:r>
        <w:rPr>
          <w:b w:val="0"/>
          <w:i w:val="0"/>
          <w:color w:val="3A3A35"/>
          <w:sz w:val="18"/>
        </w:rPr>
        <w:t>Building footprints are from the LINZ NZ Building Outlines layer (Taranaki 0.25 m rural aerial photography 2021–22) clipped to the titles; they show what is on the ground but not its use or condition. The council rating records carry improvements value on the combined Waitōtara Valley unit, Longreach, Workers House, Patricks House, Ernies, Karapara, Ridge Road, Whangamomona and Staghaven (Appendix C).</w:t>
      </w:r>
    </w:p>
    <w:p>
      <w:pPr>
        <w:pStyle w:val="Heading2"/>
      </w:pPr>
      <w:r>
        <w:t>3.4  Access, tracks and fencing</w:t>
      </w:r>
    </w:p>
    <w:p>
      <w:pPr>
        <w:pStyle w:val="ListBullet"/>
        <w:spacing w:after="40"/>
      </w:pPr>
      <w:r>
        <w:rPr>
          <w:b w:val="0"/>
          <w:i w:val="0"/>
        </w:rPr>
        <w:t xml:space="preserve">Road frontage to every block except where noted; Front Farm's stands 1.01 and 5.01, the Eastern Block and Puau Road are worked through the neighbouring Dobson, Larson and Wood Country properties and those permissions need to be re-secured </w:t>
      </w:r>
      <w:r>
        <w:rPr>
          <w:b/>
          <w:i w:val="0"/>
          <w:color w:val="B01E1E"/>
        </w:rPr>
        <w:t>[TBC]</w:t>
      </w:r>
      <w:r>
        <w:rPr>
          <w:b w:val="0"/>
          <w:i w:val="0"/>
        </w:rPr>
        <w:t>.</w:t>
      </w:r>
    </w:p>
    <w:p>
      <w:pPr>
        <w:pStyle w:val="ListBullet"/>
        <w:spacing w:after="40"/>
      </w:pPr>
      <w:r>
        <w:rPr>
          <w:b w:val="0"/>
          <w:i w:val="0"/>
        </w:rPr>
        <w:t>About 80 km of internal track across the estate (Topo50), with the longest networks on Longreach (17 km), the Home Block (12 km), Karapara (11 km) and Back Farm (10 km); Stand budgeted minor track maintenance on Back Farm, Whangamomona and Puau Road.</w:t>
      </w:r>
    </w:p>
    <w:p>
      <w:pPr>
        <w:pStyle w:val="ListBullet"/>
        <w:spacing w:after="40"/>
      </w:pPr>
      <w:r>
        <w:rPr>
          <w:b w:val="0"/>
          <w:i w:val="0"/>
        </w:rPr>
        <w:t xml:space="preserve">Boundary and internal fencing is variable; stock exclusion from the planted stands is required on Longreach, Front Farm and Whangamomona </w:t>
      </w:r>
      <w:r>
        <w:rPr>
          <w:b/>
          <w:i w:val="0"/>
          <w:color w:val="B01E1E"/>
        </w:rPr>
        <w:t>[TBC – fencing condition from Stand]</w:t>
      </w:r>
      <w:r>
        <w:rPr>
          <w:b w:val="0"/>
          <w:i w:val="0"/>
        </w:rPr>
        <w:t>.</w:t>
      </w:r>
    </w:p>
    <w:p>
      <w:r>
        <w:br w:type="page"/>
      </w:r>
    </w:p>
    <w:p>
      <w:pPr>
        <w:pStyle w:val="Heading1"/>
      </w:pPr>
      <w:r>
        <w:t>4  Honey and mānuka summary</w:t>
      </w:r>
    </w:p>
    <w:p>
      <w:r>
        <w:rPr>
          <w:b w:val="0"/>
          <w:i w:val="0"/>
        </w:rPr>
        <w:t xml:space="preserve">The estate was assembled by Settlers Honey, one of the larger mānuka honey producers in Taranaki, and its native bush and regenerating mānuka/kānuka are its largest land cover: 4,673 ha of native forest and 4,518 ha of mānuka/kānuka and scrub, about two-thirds of the land area. The honey business – hives, plant and brand – is not part of the sale, but the mānuka resource, the exclusive beekeeping rights reserved to the landowner under the Pukekahu Farms lease, and the registered indigenous carbon pass with the land. A purchaser may run its own hives, license apiary sites to a honey operator, or manage the regenerating areas for carbon. </w:t>
      </w:r>
      <w:r>
        <w:rPr>
          <w:b/>
          <w:i w:val="0"/>
          <w:color w:val="B01E1E"/>
        </w:rPr>
        <w:t>[TBC – historical hive numbers, apiary sites and honey production by block from the receivers.]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1377"/>
        <w:gridCol w:w="1377"/>
        <w:gridCol w:w="1377"/>
        <w:gridCol w:w="1377"/>
        <w:gridCol w:w="1377"/>
        <w:gridCol w:w="1377"/>
        <w:gridCol w:w="1377"/>
      </w:tblGrid>
      <w:tr>
        <w:tc>
          <w:tcPr>
            <w:tcW w:type="dxa" w:w="1474"/>
            <w:shd w:val="clear" w:color="auto" w:fill="DBD2C3"/>
          </w:tcPr>
          <w:p>
            <w:pPr>
              <w:spacing w:after="0" w:line="240" w:lineRule="auto"/>
            </w:pPr>
            <w:r/>
            <w:r>
              <w:rPr>
                <w:b/>
                <w:i w:val="0"/>
                <w:sz w:val="16"/>
              </w:rPr>
              <w:t>Block</w:t>
            </w:r>
          </w:p>
        </w:tc>
        <w:tc>
          <w:tcPr>
            <w:tcW w:type="dxa" w:w="1020"/>
            <w:shd w:val="clear" w:color="auto" w:fill="DBD2C3"/>
          </w:tcPr>
          <w:p>
            <w:pPr>
              <w:spacing w:after="0" w:line="240" w:lineRule="auto"/>
            </w:pPr>
            <w:r/>
            <w:r>
              <w:rPr>
                <w:b/>
                <w:i w:val="0"/>
                <w:sz w:val="16"/>
              </w:rPr>
              <w:t>Native bush (ha)</w:t>
            </w:r>
          </w:p>
        </w:tc>
        <w:tc>
          <w:tcPr>
            <w:tcW w:type="dxa" w:w="1191"/>
            <w:shd w:val="clear" w:color="auto" w:fill="DBD2C3"/>
          </w:tcPr>
          <w:p>
            <w:pPr>
              <w:spacing w:after="0" w:line="240" w:lineRule="auto"/>
            </w:pPr>
            <w:r/>
            <w:r>
              <w:rPr>
                <w:b/>
                <w:i w:val="0"/>
                <w:sz w:val="16"/>
              </w:rPr>
              <w:t>Mānuka / kānuka (ha)</w:t>
            </w:r>
          </w:p>
        </w:tc>
        <w:tc>
          <w:tcPr>
            <w:tcW w:type="dxa" w:w="964"/>
            <w:shd w:val="clear" w:color="auto" w:fill="DBD2C3"/>
          </w:tcPr>
          <w:p>
            <w:pPr>
              <w:spacing w:after="0" w:line="240" w:lineRule="auto"/>
            </w:pPr>
            <w:r/>
            <w:r>
              <w:rPr>
                <w:b/>
                <w:i w:val="0"/>
                <w:sz w:val="16"/>
              </w:rPr>
              <w:t>Combined (ha)</w:t>
            </w:r>
          </w:p>
        </w:tc>
        <w:tc>
          <w:tcPr>
            <w:tcW w:type="dxa" w:w="907"/>
            <w:shd w:val="clear" w:color="auto" w:fill="DBD2C3"/>
          </w:tcPr>
          <w:p>
            <w:pPr>
              <w:spacing w:after="0" w:line="240" w:lineRule="auto"/>
            </w:pPr>
            <w:r/>
            <w:r>
              <w:rPr>
                <w:b/>
                <w:i w:val="0"/>
                <w:sz w:val="16"/>
              </w:rPr>
              <w:t>Share of block</w:t>
            </w:r>
          </w:p>
        </w:tc>
        <w:tc>
          <w:tcPr>
            <w:tcW w:type="dxa" w:w="2268"/>
            <w:shd w:val="clear" w:color="auto" w:fill="DBD2C3"/>
          </w:tcPr>
          <w:p>
            <w:pPr>
              <w:spacing w:after="0" w:line="240" w:lineRule="auto"/>
            </w:pPr>
            <w:r/>
            <w:r>
              <w:rPr>
                <w:b/>
                <w:i w:val="0"/>
                <w:sz w:val="16"/>
              </w:rPr>
              <w:t>Registered indigenous carbon</w:t>
            </w:r>
          </w:p>
        </w:tc>
        <w:tc>
          <w:tcPr>
            <w:tcW w:type="dxa" w:w="1247"/>
            <w:shd w:val="clear" w:color="auto" w:fill="DBD2C3"/>
          </w:tcPr>
          <w:p>
            <w:pPr>
              <w:spacing w:after="0" w:line="240" w:lineRule="auto"/>
            </w:pPr>
            <w:r/>
            <w:r>
              <w:rPr>
                <w:b/>
                <w:i w:val="0"/>
                <w:sz w:val="16"/>
              </w:rPr>
              <w:t>Indicatively ETS-eligible (ha)</w:t>
            </w:r>
          </w:p>
        </w:tc>
      </w:tr>
      <w:tr>
        <w:tc>
          <w:tcPr>
            <w:tcW w:type="dxa" w:w="1474"/>
          </w:tcPr>
          <w:p>
            <w:pPr>
              <w:spacing w:after="0" w:line="240" w:lineRule="auto"/>
            </w:pPr>
            <w:r/>
            <w:r>
              <w:rPr>
                <w:b w:val="0"/>
                <w:i w:val="0"/>
                <w:sz w:val="16"/>
              </w:rPr>
              <w:t>Ernies</w:t>
            </w:r>
          </w:p>
        </w:tc>
        <w:tc>
          <w:tcPr>
            <w:tcW w:type="dxa" w:w="1020"/>
          </w:tcPr>
          <w:p>
            <w:pPr>
              <w:spacing w:after="0" w:line="240" w:lineRule="auto"/>
              <w:jc w:val="right"/>
            </w:pPr>
            <w:r/>
            <w:r>
              <w:rPr>
                <w:b w:val="0"/>
                <w:i w:val="0"/>
                <w:sz w:val="16"/>
              </w:rPr>
              <w:t>546</w:t>
            </w:r>
          </w:p>
        </w:tc>
        <w:tc>
          <w:tcPr>
            <w:tcW w:type="dxa" w:w="1191"/>
          </w:tcPr>
          <w:p>
            <w:pPr>
              <w:spacing w:after="0" w:line="240" w:lineRule="auto"/>
              <w:jc w:val="right"/>
            </w:pPr>
            <w:r/>
            <w:r>
              <w:rPr>
                <w:b w:val="0"/>
                <w:i w:val="0"/>
                <w:sz w:val="16"/>
              </w:rPr>
              <w:t>950</w:t>
            </w:r>
          </w:p>
        </w:tc>
        <w:tc>
          <w:tcPr>
            <w:tcW w:type="dxa" w:w="964"/>
          </w:tcPr>
          <w:p>
            <w:pPr>
              <w:spacing w:after="0" w:line="240" w:lineRule="auto"/>
              <w:jc w:val="right"/>
            </w:pPr>
            <w:r/>
            <w:r>
              <w:rPr>
                <w:b w:val="0"/>
                <w:i w:val="0"/>
                <w:sz w:val="16"/>
              </w:rPr>
              <w:t>1,496</w:t>
            </w:r>
          </w:p>
        </w:tc>
        <w:tc>
          <w:tcPr>
            <w:tcW w:type="dxa" w:w="907"/>
          </w:tcPr>
          <w:p>
            <w:pPr>
              <w:spacing w:after="0" w:line="240" w:lineRule="auto"/>
              <w:jc w:val="right"/>
            </w:pPr>
            <w:r/>
            <w:r>
              <w:rPr>
                <w:b w:val="0"/>
                <w:i w:val="0"/>
                <w:sz w:val="16"/>
              </w:rPr>
              <w:t>92%</w:t>
            </w:r>
          </w:p>
        </w:tc>
        <w:tc>
          <w:tcPr>
            <w:tcW w:type="dxa" w:w="2268"/>
          </w:tcPr>
          <w:p>
            <w:pPr>
              <w:spacing w:after="0" w:line="240" w:lineRule="auto"/>
            </w:pPr>
            <w:r/>
            <w:r>
              <w:rPr>
                <w:b w:val="0"/>
                <w:i w:val="0"/>
                <w:sz w:val="16"/>
              </w:rPr>
              <w:t>121 ha, 13,159 NZUs (CAAs 56 and 66)</w:t>
            </w:r>
          </w:p>
        </w:tc>
        <w:tc>
          <w:tcPr>
            <w:tcW w:type="dxa" w:w="1247"/>
          </w:tcPr>
          <w:p>
            <w:pPr>
              <w:spacing w:after="0" w:line="240" w:lineRule="auto"/>
              <w:jc w:val="right"/>
            </w:pPr>
            <w:r/>
            <w:r>
              <w:rPr>
                <w:b w:val="0"/>
                <w:i w:val="0"/>
                <w:sz w:val="16"/>
              </w:rPr>
              <w:t>688</w:t>
            </w:r>
          </w:p>
        </w:tc>
      </w:tr>
      <w:tr>
        <w:tc>
          <w:tcPr>
            <w:tcW w:type="dxa" w:w="1474"/>
            <w:shd w:val="clear" w:color="auto" w:fill="FAF9F6"/>
          </w:tcPr>
          <w:p>
            <w:pPr>
              <w:spacing w:after="0" w:line="240" w:lineRule="auto"/>
            </w:pPr>
            <w:r/>
            <w:r>
              <w:rPr>
                <w:b w:val="0"/>
                <w:i w:val="0"/>
                <w:sz w:val="16"/>
              </w:rPr>
              <w:t>Puau Road</w:t>
            </w:r>
          </w:p>
        </w:tc>
        <w:tc>
          <w:tcPr>
            <w:tcW w:type="dxa" w:w="1020"/>
            <w:shd w:val="clear" w:color="auto" w:fill="FAF9F6"/>
          </w:tcPr>
          <w:p>
            <w:pPr>
              <w:spacing w:after="0" w:line="240" w:lineRule="auto"/>
              <w:jc w:val="right"/>
            </w:pPr>
            <w:r/>
            <w:r>
              <w:rPr>
                <w:b w:val="0"/>
                <w:i w:val="0"/>
                <w:sz w:val="16"/>
              </w:rPr>
              <w:t>889</w:t>
            </w:r>
          </w:p>
        </w:tc>
        <w:tc>
          <w:tcPr>
            <w:tcW w:type="dxa" w:w="1191"/>
            <w:shd w:val="clear" w:color="auto" w:fill="FAF9F6"/>
          </w:tcPr>
          <w:p>
            <w:pPr>
              <w:spacing w:after="0" w:line="240" w:lineRule="auto"/>
              <w:jc w:val="right"/>
            </w:pPr>
            <w:r/>
            <w:r>
              <w:rPr>
                <w:b w:val="0"/>
                <w:i w:val="0"/>
                <w:sz w:val="16"/>
              </w:rPr>
              <w:t>568</w:t>
            </w:r>
          </w:p>
        </w:tc>
        <w:tc>
          <w:tcPr>
            <w:tcW w:type="dxa" w:w="964"/>
            <w:shd w:val="clear" w:color="auto" w:fill="FAF9F6"/>
          </w:tcPr>
          <w:p>
            <w:pPr>
              <w:spacing w:after="0" w:line="240" w:lineRule="auto"/>
              <w:jc w:val="right"/>
            </w:pPr>
            <w:r/>
            <w:r>
              <w:rPr>
                <w:b w:val="0"/>
                <w:i w:val="0"/>
                <w:sz w:val="16"/>
              </w:rPr>
              <w:t>1,457</w:t>
            </w:r>
          </w:p>
        </w:tc>
        <w:tc>
          <w:tcPr>
            <w:tcW w:type="dxa" w:w="907"/>
            <w:shd w:val="clear" w:color="auto" w:fill="FAF9F6"/>
          </w:tcPr>
          <w:p>
            <w:pPr>
              <w:spacing w:after="0" w:line="240" w:lineRule="auto"/>
              <w:jc w:val="right"/>
            </w:pPr>
            <w:r/>
            <w:r>
              <w:rPr>
                <w:b w:val="0"/>
                <w:i w:val="0"/>
                <w:sz w:val="16"/>
              </w:rPr>
              <w:t>78%</w:t>
            </w:r>
          </w:p>
        </w:tc>
        <w:tc>
          <w:tcPr>
            <w:tcW w:type="dxa" w:w="2268"/>
            <w:shd w:val="clear" w:color="auto" w:fill="FAF9F6"/>
          </w:tcPr>
          <w:p>
            <w:pPr>
              <w:spacing w:after="0" w:line="240" w:lineRule="auto"/>
            </w:pPr>
            <w:r/>
            <w:r>
              <w:rPr>
                <w:b w:val="0"/>
                <w:i w:val="0"/>
                <w:sz w:val="16"/>
              </w:rPr>
              <w:t>–</w:t>
            </w:r>
          </w:p>
        </w:tc>
        <w:tc>
          <w:tcPr>
            <w:tcW w:type="dxa" w:w="1247"/>
            <w:shd w:val="clear" w:color="auto" w:fill="FAF9F6"/>
          </w:tcPr>
          <w:p>
            <w:pPr>
              <w:spacing w:after="0" w:line="240" w:lineRule="auto"/>
              <w:jc w:val="right"/>
            </w:pPr>
            <w:r/>
            <w:r>
              <w:rPr>
                <w:b w:val="0"/>
                <w:i w:val="0"/>
                <w:sz w:val="16"/>
              </w:rPr>
              <w:t>445</w:t>
            </w:r>
          </w:p>
        </w:tc>
      </w:tr>
      <w:tr>
        <w:tc>
          <w:tcPr>
            <w:tcW w:type="dxa" w:w="1474"/>
          </w:tcPr>
          <w:p>
            <w:pPr>
              <w:spacing w:after="0" w:line="240" w:lineRule="auto"/>
            </w:pPr>
            <w:r/>
            <w:r>
              <w:rPr>
                <w:b w:val="0"/>
                <w:i w:val="0"/>
                <w:sz w:val="16"/>
              </w:rPr>
              <w:t>Karapara</w:t>
            </w:r>
          </w:p>
        </w:tc>
        <w:tc>
          <w:tcPr>
            <w:tcW w:type="dxa" w:w="1020"/>
          </w:tcPr>
          <w:p>
            <w:pPr>
              <w:spacing w:after="0" w:line="240" w:lineRule="auto"/>
              <w:jc w:val="right"/>
            </w:pPr>
            <w:r/>
            <w:r>
              <w:rPr>
                <w:b w:val="0"/>
                <w:i w:val="0"/>
                <w:sz w:val="16"/>
              </w:rPr>
              <w:t>677</w:t>
            </w:r>
          </w:p>
        </w:tc>
        <w:tc>
          <w:tcPr>
            <w:tcW w:type="dxa" w:w="1191"/>
          </w:tcPr>
          <w:p>
            <w:pPr>
              <w:spacing w:after="0" w:line="240" w:lineRule="auto"/>
              <w:jc w:val="right"/>
            </w:pPr>
            <w:r/>
            <w:r>
              <w:rPr>
                <w:b w:val="0"/>
                <w:i w:val="0"/>
                <w:sz w:val="16"/>
              </w:rPr>
              <w:t>612</w:t>
            </w:r>
          </w:p>
        </w:tc>
        <w:tc>
          <w:tcPr>
            <w:tcW w:type="dxa" w:w="964"/>
          </w:tcPr>
          <w:p>
            <w:pPr>
              <w:spacing w:after="0" w:line="240" w:lineRule="auto"/>
              <w:jc w:val="right"/>
            </w:pPr>
            <w:r/>
            <w:r>
              <w:rPr>
                <w:b w:val="0"/>
                <w:i w:val="0"/>
                <w:sz w:val="16"/>
              </w:rPr>
              <w:t>1,288</w:t>
            </w:r>
          </w:p>
        </w:tc>
        <w:tc>
          <w:tcPr>
            <w:tcW w:type="dxa" w:w="907"/>
          </w:tcPr>
          <w:p>
            <w:pPr>
              <w:spacing w:after="0" w:line="240" w:lineRule="auto"/>
              <w:jc w:val="right"/>
            </w:pPr>
            <w:r/>
            <w:r>
              <w:rPr>
                <w:b w:val="0"/>
                <w:i w:val="0"/>
                <w:sz w:val="16"/>
              </w:rPr>
              <w:t>98%</w:t>
            </w:r>
          </w:p>
        </w:tc>
        <w:tc>
          <w:tcPr>
            <w:tcW w:type="dxa" w:w="2268"/>
          </w:tcPr>
          <w:p>
            <w:pPr>
              <w:spacing w:after="0" w:line="240" w:lineRule="auto"/>
            </w:pPr>
            <w:r/>
            <w:r>
              <w:rPr>
                <w:b w:val="0"/>
                <w:i w:val="0"/>
                <w:sz w:val="16"/>
              </w:rPr>
              <w:t>–</w:t>
            </w:r>
          </w:p>
        </w:tc>
        <w:tc>
          <w:tcPr>
            <w:tcW w:type="dxa" w:w="1247"/>
          </w:tcPr>
          <w:p>
            <w:pPr>
              <w:spacing w:after="0" w:line="240" w:lineRule="auto"/>
              <w:jc w:val="right"/>
            </w:pPr>
            <w:r/>
            <w:r>
              <w:rPr>
                <w:b w:val="0"/>
                <w:i w:val="0"/>
                <w:sz w:val="16"/>
              </w:rPr>
              <w:t>3</w:t>
            </w:r>
          </w:p>
        </w:tc>
      </w:tr>
      <w:tr>
        <w:tc>
          <w:tcPr>
            <w:tcW w:type="dxa" w:w="1474"/>
            <w:shd w:val="clear" w:color="auto" w:fill="FAF9F6"/>
          </w:tcPr>
          <w:p>
            <w:pPr>
              <w:spacing w:after="0" w:line="240" w:lineRule="auto"/>
            </w:pPr>
            <w:r/>
            <w:r>
              <w:rPr>
                <w:b w:val="0"/>
                <w:i w:val="0"/>
                <w:sz w:val="16"/>
              </w:rPr>
              <w:t>Home Block</w:t>
            </w:r>
          </w:p>
        </w:tc>
        <w:tc>
          <w:tcPr>
            <w:tcW w:type="dxa" w:w="1020"/>
            <w:shd w:val="clear" w:color="auto" w:fill="FAF9F6"/>
          </w:tcPr>
          <w:p>
            <w:pPr>
              <w:spacing w:after="0" w:line="240" w:lineRule="auto"/>
              <w:jc w:val="right"/>
            </w:pPr>
            <w:r/>
            <w:r>
              <w:rPr>
                <w:b w:val="0"/>
                <w:i w:val="0"/>
                <w:sz w:val="16"/>
              </w:rPr>
              <w:t>673</w:t>
            </w:r>
          </w:p>
        </w:tc>
        <w:tc>
          <w:tcPr>
            <w:tcW w:type="dxa" w:w="1191"/>
            <w:shd w:val="clear" w:color="auto" w:fill="FAF9F6"/>
          </w:tcPr>
          <w:p>
            <w:pPr>
              <w:spacing w:after="0" w:line="240" w:lineRule="auto"/>
              <w:jc w:val="right"/>
            </w:pPr>
            <w:r/>
            <w:r>
              <w:rPr>
                <w:b w:val="0"/>
                <w:i w:val="0"/>
                <w:sz w:val="16"/>
              </w:rPr>
              <w:t>418</w:t>
            </w:r>
          </w:p>
        </w:tc>
        <w:tc>
          <w:tcPr>
            <w:tcW w:type="dxa" w:w="964"/>
            <w:shd w:val="clear" w:color="auto" w:fill="FAF9F6"/>
          </w:tcPr>
          <w:p>
            <w:pPr>
              <w:spacing w:after="0" w:line="240" w:lineRule="auto"/>
              <w:jc w:val="right"/>
            </w:pPr>
            <w:r/>
            <w:r>
              <w:rPr>
                <w:b w:val="0"/>
                <w:i w:val="0"/>
                <w:sz w:val="16"/>
              </w:rPr>
              <w:t>1,091</w:t>
            </w:r>
          </w:p>
        </w:tc>
        <w:tc>
          <w:tcPr>
            <w:tcW w:type="dxa" w:w="907"/>
            <w:shd w:val="clear" w:color="auto" w:fill="FAF9F6"/>
          </w:tcPr>
          <w:p>
            <w:pPr>
              <w:spacing w:after="0" w:line="240" w:lineRule="auto"/>
              <w:jc w:val="right"/>
            </w:pPr>
            <w:r/>
            <w:r>
              <w:rPr>
                <w:b w:val="0"/>
                <w:i w:val="0"/>
                <w:sz w:val="16"/>
              </w:rPr>
              <w:t>94%</w:t>
            </w:r>
          </w:p>
        </w:tc>
        <w:tc>
          <w:tcPr>
            <w:tcW w:type="dxa" w:w="2268"/>
            <w:shd w:val="clear" w:color="auto" w:fill="FAF9F6"/>
          </w:tcPr>
          <w:p>
            <w:pPr>
              <w:spacing w:after="0" w:line="240" w:lineRule="auto"/>
            </w:pPr>
            <w:r/>
            <w:r>
              <w:rPr>
                <w:b w:val="0"/>
                <w:i w:val="0"/>
                <w:sz w:val="16"/>
              </w:rPr>
              <w:t>19 ha within CAA 69</w:t>
            </w:r>
          </w:p>
        </w:tc>
        <w:tc>
          <w:tcPr>
            <w:tcW w:type="dxa" w:w="1247"/>
            <w:shd w:val="clear" w:color="auto" w:fill="FAF9F6"/>
          </w:tcPr>
          <w:p>
            <w:pPr>
              <w:spacing w:after="0" w:line="240" w:lineRule="auto"/>
              <w:jc w:val="right"/>
            </w:pPr>
            <w:r/>
            <w:r>
              <w:rPr>
                <w:b w:val="0"/>
                <w:i w:val="0"/>
                <w:sz w:val="16"/>
              </w:rPr>
              <w:t>260</w:t>
            </w:r>
          </w:p>
        </w:tc>
      </w:tr>
      <w:tr>
        <w:tc>
          <w:tcPr>
            <w:tcW w:type="dxa" w:w="1474"/>
          </w:tcPr>
          <w:p>
            <w:pPr>
              <w:spacing w:after="0" w:line="240" w:lineRule="auto"/>
            </w:pPr>
            <w:r/>
            <w:r>
              <w:rPr>
                <w:b w:val="0"/>
                <w:i w:val="0"/>
                <w:sz w:val="16"/>
              </w:rPr>
              <w:t>Back Farm</w:t>
            </w:r>
          </w:p>
        </w:tc>
        <w:tc>
          <w:tcPr>
            <w:tcW w:type="dxa" w:w="1020"/>
          </w:tcPr>
          <w:p>
            <w:pPr>
              <w:spacing w:after="0" w:line="240" w:lineRule="auto"/>
              <w:jc w:val="right"/>
            </w:pPr>
            <w:r/>
            <w:r>
              <w:rPr>
                <w:b w:val="0"/>
                <w:i w:val="0"/>
                <w:sz w:val="16"/>
              </w:rPr>
              <w:t>565</w:t>
            </w:r>
          </w:p>
        </w:tc>
        <w:tc>
          <w:tcPr>
            <w:tcW w:type="dxa" w:w="1191"/>
          </w:tcPr>
          <w:p>
            <w:pPr>
              <w:spacing w:after="0" w:line="240" w:lineRule="auto"/>
              <w:jc w:val="right"/>
            </w:pPr>
            <w:r/>
            <w:r>
              <w:rPr>
                <w:b w:val="0"/>
                <w:i w:val="0"/>
                <w:sz w:val="16"/>
              </w:rPr>
              <w:t>487</w:t>
            </w:r>
          </w:p>
        </w:tc>
        <w:tc>
          <w:tcPr>
            <w:tcW w:type="dxa" w:w="964"/>
          </w:tcPr>
          <w:p>
            <w:pPr>
              <w:spacing w:after="0" w:line="240" w:lineRule="auto"/>
              <w:jc w:val="right"/>
            </w:pPr>
            <w:r/>
            <w:r>
              <w:rPr>
                <w:b w:val="0"/>
                <w:i w:val="0"/>
                <w:sz w:val="16"/>
              </w:rPr>
              <w:t>1,052</w:t>
            </w:r>
          </w:p>
        </w:tc>
        <w:tc>
          <w:tcPr>
            <w:tcW w:type="dxa" w:w="907"/>
          </w:tcPr>
          <w:p>
            <w:pPr>
              <w:spacing w:after="0" w:line="240" w:lineRule="auto"/>
              <w:jc w:val="right"/>
            </w:pPr>
            <w:r/>
            <w:r>
              <w:rPr>
                <w:b w:val="0"/>
                <w:i w:val="0"/>
                <w:sz w:val="16"/>
              </w:rPr>
              <w:t>50%</w:t>
            </w:r>
          </w:p>
        </w:tc>
        <w:tc>
          <w:tcPr>
            <w:tcW w:type="dxa" w:w="2268"/>
          </w:tcPr>
          <w:p>
            <w:pPr>
              <w:spacing w:after="0" w:line="240" w:lineRule="auto"/>
            </w:pPr>
            <w:r/>
            <w:r>
              <w:rPr>
                <w:b w:val="0"/>
                <w:i w:val="0"/>
                <w:sz w:val="16"/>
              </w:rPr>
              <w:t>46 ha within CAA 69</w:t>
            </w:r>
          </w:p>
        </w:tc>
        <w:tc>
          <w:tcPr>
            <w:tcW w:type="dxa" w:w="1247"/>
          </w:tcPr>
          <w:p>
            <w:pPr>
              <w:spacing w:after="0" w:line="240" w:lineRule="auto"/>
              <w:jc w:val="right"/>
            </w:pPr>
            <w:r/>
            <w:r>
              <w:rPr>
                <w:b w:val="0"/>
                <w:i w:val="0"/>
                <w:sz w:val="16"/>
              </w:rPr>
              <w:t>281</w:t>
            </w:r>
          </w:p>
        </w:tc>
      </w:tr>
      <w:tr>
        <w:tc>
          <w:tcPr>
            <w:tcW w:type="dxa" w:w="1474"/>
            <w:shd w:val="clear" w:color="auto" w:fill="FAF9F6"/>
          </w:tcPr>
          <w:p>
            <w:pPr>
              <w:spacing w:after="0" w:line="240" w:lineRule="auto"/>
            </w:pPr>
            <w:r/>
            <w:r>
              <w:rPr>
                <w:b w:val="0"/>
                <w:i w:val="0"/>
                <w:sz w:val="16"/>
              </w:rPr>
              <w:t>Eastern Block</w:t>
            </w:r>
          </w:p>
        </w:tc>
        <w:tc>
          <w:tcPr>
            <w:tcW w:type="dxa" w:w="1020"/>
            <w:shd w:val="clear" w:color="auto" w:fill="FAF9F6"/>
          </w:tcPr>
          <w:p>
            <w:pPr>
              <w:spacing w:after="0" w:line="240" w:lineRule="auto"/>
              <w:jc w:val="right"/>
            </w:pPr>
            <w:r/>
            <w:r>
              <w:rPr>
                <w:b w:val="0"/>
                <w:i w:val="0"/>
                <w:sz w:val="16"/>
              </w:rPr>
              <w:t>399</w:t>
            </w:r>
          </w:p>
        </w:tc>
        <w:tc>
          <w:tcPr>
            <w:tcW w:type="dxa" w:w="1191"/>
            <w:shd w:val="clear" w:color="auto" w:fill="FAF9F6"/>
          </w:tcPr>
          <w:p>
            <w:pPr>
              <w:spacing w:after="0" w:line="240" w:lineRule="auto"/>
              <w:jc w:val="right"/>
            </w:pPr>
            <w:r/>
            <w:r>
              <w:rPr>
                <w:b w:val="0"/>
                <w:i w:val="0"/>
                <w:sz w:val="16"/>
              </w:rPr>
              <w:t>325</w:t>
            </w:r>
          </w:p>
        </w:tc>
        <w:tc>
          <w:tcPr>
            <w:tcW w:type="dxa" w:w="964"/>
            <w:shd w:val="clear" w:color="auto" w:fill="FAF9F6"/>
          </w:tcPr>
          <w:p>
            <w:pPr>
              <w:spacing w:after="0" w:line="240" w:lineRule="auto"/>
              <w:jc w:val="right"/>
            </w:pPr>
            <w:r/>
            <w:r>
              <w:rPr>
                <w:b w:val="0"/>
                <w:i w:val="0"/>
                <w:sz w:val="16"/>
              </w:rPr>
              <w:t>724</w:t>
            </w:r>
          </w:p>
        </w:tc>
        <w:tc>
          <w:tcPr>
            <w:tcW w:type="dxa" w:w="907"/>
            <w:shd w:val="clear" w:color="auto" w:fill="FAF9F6"/>
          </w:tcPr>
          <w:p>
            <w:pPr>
              <w:spacing w:after="0" w:line="240" w:lineRule="auto"/>
              <w:jc w:val="right"/>
            </w:pPr>
            <w:r/>
            <w:r>
              <w:rPr>
                <w:b w:val="0"/>
                <w:i w:val="0"/>
                <w:sz w:val="16"/>
              </w:rPr>
              <w:t>68%</w:t>
            </w:r>
          </w:p>
        </w:tc>
        <w:tc>
          <w:tcPr>
            <w:tcW w:type="dxa" w:w="2268"/>
            <w:shd w:val="clear" w:color="auto" w:fill="FAF9F6"/>
          </w:tcPr>
          <w:p>
            <w:pPr>
              <w:spacing w:after="0" w:line="240" w:lineRule="auto"/>
            </w:pPr>
            <w:r/>
            <w:r>
              <w:rPr>
                <w:b w:val="0"/>
                <w:i w:val="0"/>
                <w:sz w:val="16"/>
              </w:rPr>
              <w:t>24 ha within CAA 69</w:t>
            </w:r>
          </w:p>
        </w:tc>
        <w:tc>
          <w:tcPr>
            <w:tcW w:type="dxa" w:w="1247"/>
            <w:shd w:val="clear" w:color="auto" w:fill="FAF9F6"/>
          </w:tcPr>
          <w:p>
            <w:pPr>
              <w:spacing w:after="0" w:line="240" w:lineRule="auto"/>
              <w:jc w:val="right"/>
            </w:pPr>
            <w:r/>
            <w:r>
              <w:rPr>
                <w:b w:val="0"/>
                <w:i w:val="0"/>
                <w:sz w:val="16"/>
              </w:rPr>
              <w:t>537</w:t>
            </w:r>
          </w:p>
        </w:tc>
      </w:tr>
      <w:tr>
        <w:tc>
          <w:tcPr>
            <w:tcW w:type="dxa" w:w="1474"/>
          </w:tcPr>
          <w:p>
            <w:pPr>
              <w:spacing w:after="0" w:line="240" w:lineRule="auto"/>
            </w:pPr>
            <w:r/>
            <w:r>
              <w:rPr>
                <w:b w:val="0"/>
                <w:i w:val="0"/>
                <w:sz w:val="16"/>
              </w:rPr>
              <w:t>Longreach</w:t>
            </w:r>
          </w:p>
        </w:tc>
        <w:tc>
          <w:tcPr>
            <w:tcW w:type="dxa" w:w="1020"/>
          </w:tcPr>
          <w:p>
            <w:pPr>
              <w:spacing w:after="0" w:line="240" w:lineRule="auto"/>
              <w:jc w:val="right"/>
            </w:pPr>
            <w:r/>
            <w:r>
              <w:rPr>
                <w:b w:val="0"/>
                <w:i w:val="0"/>
                <w:sz w:val="16"/>
              </w:rPr>
              <w:t>295</w:t>
            </w:r>
          </w:p>
        </w:tc>
        <w:tc>
          <w:tcPr>
            <w:tcW w:type="dxa" w:w="1191"/>
          </w:tcPr>
          <w:p>
            <w:pPr>
              <w:spacing w:after="0" w:line="240" w:lineRule="auto"/>
              <w:jc w:val="right"/>
            </w:pPr>
            <w:r/>
            <w:r>
              <w:rPr>
                <w:b w:val="0"/>
                <w:i w:val="0"/>
                <w:sz w:val="16"/>
              </w:rPr>
              <w:t>288</w:t>
            </w:r>
          </w:p>
        </w:tc>
        <w:tc>
          <w:tcPr>
            <w:tcW w:type="dxa" w:w="964"/>
          </w:tcPr>
          <w:p>
            <w:pPr>
              <w:spacing w:after="0" w:line="240" w:lineRule="auto"/>
              <w:jc w:val="right"/>
            </w:pPr>
            <w:r/>
            <w:r>
              <w:rPr>
                <w:b w:val="0"/>
                <w:i w:val="0"/>
                <w:sz w:val="16"/>
              </w:rPr>
              <w:t>583</w:t>
            </w:r>
          </w:p>
        </w:tc>
        <w:tc>
          <w:tcPr>
            <w:tcW w:type="dxa" w:w="907"/>
          </w:tcPr>
          <w:p>
            <w:pPr>
              <w:spacing w:after="0" w:line="240" w:lineRule="auto"/>
              <w:jc w:val="right"/>
            </w:pPr>
            <w:r/>
            <w:r>
              <w:rPr>
                <w:b w:val="0"/>
                <w:i w:val="0"/>
                <w:sz w:val="16"/>
              </w:rPr>
              <w:t>34%</w:t>
            </w:r>
          </w:p>
        </w:tc>
        <w:tc>
          <w:tcPr>
            <w:tcW w:type="dxa" w:w="2268"/>
          </w:tcPr>
          <w:p>
            <w:pPr>
              <w:spacing w:after="0" w:line="240" w:lineRule="auto"/>
            </w:pPr>
            <w:r/>
            <w:r>
              <w:rPr>
                <w:b w:val="0"/>
                <w:i w:val="0"/>
                <w:sz w:val="16"/>
              </w:rPr>
              <w:t>42 ha (stock change)</w:t>
            </w:r>
          </w:p>
        </w:tc>
        <w:tc>
          <w:tcPr>
            <w:tcW w:type="dxa" w:w="1247"/>
          </w:tcPr>
          <w:p>
            <w:pPr>
              <w:spacing w:after="0" w:line="240" w:lineRule="auto"/>
              <w:jc w:val="right"/>
            </w:pPr>
            <w:r/>
            <w:r>
              <w:rPr>
                <w:b w:val="0"/>
                <w:i w:val="0"/>
                <w:sz w:val="16"/>
              </w:rPr>
              <w:t>506</w:t>
            </w:r>
          </w:p>
        </w:tc>
      </w:tr>
      <w:tr>
        <w:tc>
          <w:tcPr>
            <w:tcW w:type="dxa" w:w="1474"/>
            <w:shd w:val="clear" w:color="auto" w:fill="FAF9F6"/>
          </w:tcPr>
          <w:p>
            <w:pPr>
              <w:spacing w:after="0" w:line="240" w:lineRule="auto"/>
            </w:pPr>
            <w:r/>
            <w:r>
              <w:rPr>
                <w:b w:val="0"/>
                <w:i w:val="0"/>
                <w:sz w:val="16"/>
              </w:rPr>
              <w:t>Pakihi</w:t>
            </w:r>
          </w:p>
        </w:tc>
        <w:tc>
          <w:tcPr>
            <w:tcW w:type="dxa" w:w="1020"/>
            <w:shd w:val="clear" w:color="auto" w:fill="FAF9F6"/>
          </w:tcPr>
          <w:p>
            <w:pPr>
              <w:spacing w:after="0" w:line="240" w:lineRule="auto"/>
              <w:jc w:val="right"/>
            </w:pPr>
            <w:r/>
            <w:r>
              <w:rPr>
                <w:b w:val="0"/>
                <w:i w:val="0"/>
                <w:sz w:val="16"/>
              </w:rPr>
              <w:t>244</w:t>
            </w:r>
          </w:p>
        </w:tc>
        <w:tc>
          <w:tcPr>
            <w:tcW w:type="dxa" w:w="1191"/>
            <w:shd w:val="clear" w:color="auto" w:fill="FAF9F6"/>
          </w:tcPr>
          <w:p>
            <w:pPr>
              <w:spacing w:after="0" w:line="240" w:lineRule="auto"/>
              <w:jc w:val="right"/>
            </w:pPr>
            <w:r/>
            <w:r>
              <w:rPr>
                <w:b w:val="0"/>
                <w:i w:val="0"/>
                <w:sz w:val="16"/>
              </w:rPr>
              <w:t>199</w:t>
            </w:r>
          </w:p>
        </w:tc>
        <w:tc>
          <w:tcPr>
            <w:tcW w:type="dxa" w:w="964"/>
            <w:shd w:val="clear" w:color="auto" w:fill="FAF9F6"/>
          </w:tcPr>
          <w:p>
            <w:pPr>
              <w:spacing w:after="0" w:line="240" w:lineRule="auto"/>
              <w:jc w:val="right"/>
            </w:pPr>
            <w:r/>
            <w:r>
              <w:rPr>
                <w:b w:val="0"/>
                <w:i w:val="0"/>
                <w:sz w:val="16"/>
              </w:rPr>
              <w:t>443</w:t>
            </w:r>
          </w:p>
        </w:tc>
        <w:tc>
          <w:tcPr>
            <w:tcW w:type="dxa" w:w="907"/>
            <w:shd w:val="clear" w:color="auto" w:fill="FAF9F6"/>
          </w:tcPr>
          <w:p>
            <w:pPr>
              <w:spacing w:after="0" w:line="240" w:lineRule="auto"/>
              <w:jc w:val="right"/>
            </w:pPr>
            <w:r/>
            <w:r>
              <w:rPr>
                <w:b w:val="0"/>
                <w:i w:val="0"/>
                <w:sz w:val="16"/>
              </w:rPr>
              <w:t>99%</w:t>
            </w:r>
          </w:p>
        </w:tc>
        <w:tc>
          <w:tcPr>
            <w:tcW w:type="dxa" w:w="2268"/>
            <w:shd w:val="clear" w:color="auto" w:fill="FAF9F6"/>
          </w:tcPr>
          <w:p>
            <w:pPr>
              <w:spacing w:after="0" w:line="240" w:lineRule="auto"/>
            </w:pPr>
            <w:r/>
            <w:r>
              <w:rPr>
                <w:b w:val="0"/>
                <w:i w:val="0"/>
                <w:sz w:val="16"/>
              </w:rPr>
              <w:t>–</w:t>
            </w:r>
          </w:p>
        </w:tc>
        <w:tc>
          <w:tcPr>
            <w:tcW w:type="dxa" w:w="1247"/>
            <w:shd w:val="clear" w:color="auto" w:fill="FAF9F6"/>
          </w:tcPr>
          <w:p>
            <w:pPr>
              <w:spacing w:after="0" w:line="240" w:lineRule="auto"/>
              <w:jc w:val="right"/>
            </w:pPr>
            <w:r/>
            <w:r>
              <w:rPr>
                <w:b w:val="0"/>
                <w:i w:val="0"/>
                <w:sz w:val="16"/>
              </w:rPr>
              <w:t>1</w:t>
            </w:r>
          </w:p>
        </w:tc>
      </w:tr>
      <w:tr>
        <w:tc>
          <w:tcPr>
            <w:tcW w:type="dxa" w:w="1474"/>
          </w:tcPr>
          <w:p>
            <w:pPr>
              <w:spacing w:after="0" w:line="240" w:lineRule="auto"/>
            </w:pPr>
            <w:r/>
            <w:r>
              <w:rPr>
                <w:b w:val="0"/>
                <w:i w:val="0"/>
                <w:sz w:val="16"/>
              </w:rPr>
              <w:t>Moonys</w:t>
            </w:r>
          </w:p>
        </w:tc>
        <w:tc>
          <w:tcPr>
            <w:tcW w:type="dxa" w:w="1020"/>
          </w:tcPr>
          <w:p>
            <w:pPr>
              <w:spacing w:after="0" w:line="240" w:lineRule="auto"/>
              <w:jc w:val="right"/>
            </w:pPr>
            <w:r/>
            <w:r>
              <w:rPr>
                <w:b w:val="0"/>
                <w:i w:val="0"/>
                <w:sz w:val="16"/>
              </w:rPr>
              <w:t>94</w:t>
            </w:r>
          </w:p>
        </w:tc>
        <w:tc>
          <w:tcPr>
            <w:tcW w:type="dxa" w:w="1191"/>
          </w:tcPr>
          <w:p>
            <w:pPr>
              <w:spacing w:after="0" w:line="240" w:lineRule="auto"/>
              <w:jc w:val="right"/>
            </w:pPr>
            <w:r/>
            <w:r>
              <w:rPr>
                <w:b w:val="0"/>
                <w:i w:val="0"/>
                <w:sz w:val="16"/>
              </w:rPr>
              <w:t>277</w:t>
            </w:r>
          </w:p>
        </w:tc>
        <w:tc>
          <w:tcPr>
            <w:tcW w:type="dxa" w:w="964"/>
          </w:tcPr>
          <w:p>
            <w:pPr>
              <w:spacing w:after="0" w:line="240" w:lineRule="auto"/>
              <w:jc w:val="right"/>
            </w:pPr>
            <w:r/>
            <w:r>
              <w:rPr>
                <w:b w:val="0"/>
                <w:i w:val="0"/>
                <w:sz w:val="16"/>
              </w:rPr>
              <w:t>371</w:t>
            </w:r>
          </w:p>
        </w:tc>
        <w:tc>
          <w:tcPr>
            <w:tcW w:type="dxa" w:w="907"/>
          </w:tcPr>
          <w:p>
            <w:pPr>
              <w:spacing w:after="0" w:line="240" w:lineRule="auto"/>
              <w:jc w:val="right"/>
            </w:pPr>
            <w:r/>
            <w:r>
              <w:rPr>
                <w:b w:val="0"/>
                <w:i w:val="0"/>
                <w:sz w:val="16"/>
              </w:rPr>
              <w:t>58%</w:t>
            </w:r>
          </w:p>
        </w:tc>
        <w:tc>
          <w:tcPr>
            <w:tcW w:type="dxa" w:w="2268"/>
          </w:tcPr>
          <w:p>
            <w:pPr>
              <w:spacing w:after="0" w:line="240" w:lineRule="auto"/>
            </w:pPr>
            <w:r/>
            <w:r>
              <w:rPr>
                <w:b w:val="0"/>
                <w:i w:val="0"/>
                <w:sz w:val="16"/>
              </w:rPr>
              <w:t>–</w:t>
            </w:r>
          </w:p>
        </w:tc>
        <w:tc>
          <w:tcPr>
            <w:tcW w:type="dxa" w:w="1247"/>
          </w:tcPr>
          <w:p>
            <w:pPr>
              <w:spacing w:after="0" w:line="240" w:lineRule="auto"/>
              <w:jc w:val="right"/>
            </w:pPr>
            <w:r/>
            <w:r>
              <w:rPr>
                <w:b w:val="0"/>
                <w:i w:val="0"/>
                <w:sz w:val="16"/>
              </w:rPr>
              <w:t>36</w:t>
            </w:r>
          </w:p>
        </w:tc>
      </w:tr>
      <w:tr>
        <w:tc>
          <w:tcPr>
            <w:tcW w:type="dxa" w:w="1474"/>
            <w:shd w:val="clear" w:color="auto" w:fill="FAF9F6"/>
          </w:tcPr>
          <w:p>
            <w:pPr>
              <w:spacing w:after="0" w:line="240" w:lineRule="auto"/>
            </w:pPr>
            <w:r/>
            <w:r>
              <w:rPr>
                <w:b w:val="0"/>
                <w:i w:val="0"/>
                <w:sz w:val="16"/>
              </w:rPr>
              <w:t>Whangamomona</w:t>
            </w:r>
          </w:p>
        </w:tc>
        <w:tc>
          <w:tcPr>
            <w:tcW w:type="dxa" w:w="1020"/>
            <w:shd w:val="clear" w:color="auto" w:fill="FAF9F6"/>
          </w:tcPr>
          <w:p>
            <w:pPr>
              <w:spacing w:after="0" w:line="240" w:lineRule="auto"/>
              <w:jc w:val="right"/>
            </w:pPr>
            <w:r/>
            <w:r>
              <w:rPr>
                <w:b w:val="0"/>
                <w:i w:val="0"/>
                <w:sz w:val="16"/>
              </w:rPr>
              <w:t>123</w:t>
            </w:r>
          </w:p>
        </w:tc>
        <w:tc>
          <w:tcPr>
            <w:tcW w:type="dxa" w:w="1191"/>
            <w:shd w:val="clear" w:color="auto" w:fill="FAF9F6"/>
          </w:tcPr>
          <w:p>
            <w:pPr>
              <w:spacing w:after="0" w:line="240" w:lineRule="auto"/>
              <w:jc w:val="right"/>
            </w:pPr>
            <w:r/>
            <w:r>
              <w:rPr>
                <w:b w:val="0"/>
                <w:i w:val="0"/>
                <w:sz w:val="16"/>
              </w:rPr>
              <w:t>177</w:t>
            </w:r>
          </w:p>
        </w:tc>
        <w:tc>
          <w:tcPr>
            <w:tcW w:type="dxa" w:w="964"/>
            <w:shd w:val="clear" w:color="auto" w:fill="FAF9F6"/>
          </w:tcPr>
          <w:p>
            <w:pPr>
              <w:spacing w:after="0" w:line="240" w:lineRule="auto"/>
              <w:jc w:val="right"/>
            </w:pPr>
            <w:r/>
            <w:r>
              <w:rPr>
                <w:b w:val="0"/>
                <w:i w:val="0"/>
                <w:sz w:val="16"/>
              </w:rPr>
              <w:t>300</w:t>
            </w:r>
          </w:p>
        </w:tc>
        <w:tc>
          <w:tcPr>
            <w:tcW w:type="dxa" w:w="907"/>
            <w:shd w:val="clear" w:color="auto" w:fill="FAF9F6"/>
          </w:tcPr>
          <w:p>
            <w:pPr>
              <w:spacing w:after="0" w:line="240" w:lineRule="auto"/>
              <w:jc w:val="right"/>
            </w:pPr>
            <w:r/>
            <w:r>
              <w:rPr>
                <w:b w:val="0"/>
                <w:i w:val="0"/>
                <w:sz w:val="16"/>
              </w:rPr>
              <w:t>41%</w:t>
            </w:r>
          </w:p>
        </w:tc>
        <w:tc>
          <w:tcPr>
            <w:tcW w:type="dxa" w:w="2268"/>
            <w:shd w:val="clear" w:color="auto" w:fill="FAF9F6"/>
          </w:tcPr>
          <w:p>
            <w:pPr>
              <w:spacing w:after="0" w:line="240" w:lineRule="auto"/>
            </w:pPr>
            <w:r/>
            <w:r>
              <w:rPr>
                <w:b w:val="0"/>
                <w:i w:val="0"/>
                <w:sz w:val="16"/>
              </w:rPr>
              <w:t>–</w:t>
            </w:r>
          </w:p>
        </w:tc>
        <w:tc>
          <w:tcPr>
            <w:tcW w:type="dxa" w:w="1247"/>
            <w:shd w:val="clear" w:color="auto" w:fill="FAF9F6"/>
          </w:tcPr>
          <w:p>
            <w:pPr>
              <w:spacing w:after="0" w:line="240" w:lineRule="auto"/>
              <w:jc w:val="right"/>
            </w:pPr>
            <w:r/>
            <w:r>
              <w:rPr>
                <w:b w:val="0"/>
                <w:i w:val="0"/>
                <w:sz w:val="16"/>
              </w:rPr>
              <w:t>78</w:t>
            </w:r>
          </w:p>
        </w:tc>
      </w:tr>
      <w:tr>
        <w:tc>
          <w:tcPr>
            <w:tcW w:type="dxa" w:w="1474"/>
          </w:tcPr>
          <w:p>
            <w:pPr>
              <w:spacing w:after="0" w:line="240" w:lineRule="auto"/>
            </w:pPr>
            <w:r/>
            <w:r>
              <w:rPr>
                <w:b w:val="0"/>
                <w:i w:val="0"/>
                <w:sz w:val="16"/>
              </w:rPr>
              <w:t>Ridge Road</w:t>
            </w:r>
          </w:p>
        </w:tc>
        <w:tc>
          <w:tcPr>
            <w:tcW w:type="dxa" w:w="1020"/>
          </w:tcPr>
          <w:p>
            <w:pPr>
              <w:spacing w:after="0" w:line="240" w:lineRule="auto"/>
              <w:jc w:val="right"/>
            </w:pPr>
            <w:r/>
            <w:r>
              <w:rPr>
                <w:b w:val="0"/>
                <w:i w:val="0"/>
                <w:sz w:val="16"/>
              </w:rPr>
              <w:t>58</w:t>
            </w:r>
          </w:p>
        </w:tc>
        <w:tc>
          <w:tcPr>
            <w:tcW w:type="dxa" w:w="1191"/>
          </w:tcPr>
          <w:p>
            <w:pPr>
              <w:spacing w:after="0" w:line="240" w:lineRule="auto"/>
              <w:jc w:val="right"/>
            </w:pPr>
            <w:r/>
            <w:r>
              <w:rPr>
                <w:b w:val="0"/>
                <w:i w:val="0"/>
                <w:sz w:val="16"/>
              </w:rPr>
              <w:t>153</w:t>
            </w:r>
          </w:p>
        </w:tc>
        <w:tc>
          <w:tcPr>
            <w:tcW w:type="dxa" w:w="964"/>
          </w:tcPr>
          <w:p>
            <w:pPr>
              <w:spacing w:after="0" w:line="240" w:lineRule="auto"/>
              <w:jc w:val="right"/>
            </w:pPr>
            <w:r/>
            <w:r>
              <w:rPr>
                <w:b w:val="0"/>
                <w:i w:val="0"/>
                <w:sz w:val="16"/>
              </w:rPr>
              <w:t>211</w:t>
            </w:r>
          </w:p>
        </w:tc>
        <w:tc>
          <w:tcPr>
            <w:tcW w:type="dxa" w:w="907"/>
          </w:tcPr>
          <w:p>
            <w:pPr>
              <w:spacing w:after="0" w:line="240" w:lineRule="auto"/>
              <w:jc w:val="right"/>
            </w:pPr>
            <w:r/>
            <w:r>
              <w:rPr>
                <w:b w:val="0"/>
                <w:i w:val="0"/>
                <w:sz w:val="16"/>
              </w:rPr>
              <w:t>75%</w:t>
            </w:r>
          </w:p>
        </w:tc>
        <w:tc>
          <w:tcPr>
            <w:tcW w:type="dxa" w:w="2268"/>
          </w:tcPr>
          <w:p>
            <w:pPr>
              <w:spacing w:after="0" w:line="240" w:lineRule="auto"/>
            </w:pPr>
            <w:r/>
            <w:r>
              <w:rPr>
                <w:b w:val="0"/>
                <w:i w:val="0"/>
                <w:sz w:val="16"/>
              </w:rPr>
              <w:t>–</w:t>
            </w:r>
          </w:p>
        </w:tc>
        <w:tc>
          <w:tcPr>
            <w:tcW w:type="dxa" w:w="1247"/>
          </w:tcPr>
          <w:p>
            <w:pPr>
              <w:spacing w:after="0" w:line="240" w:lineRule="auto"/>
              <w:jc w:val="right"/>
            </w:pPr>
            <w:r/>
            <w:r>
              <w:rPr>
                <w:b w:val="0"/>
                <w:i w:val="0"/>
                <w:sz w:val="16"/>
              </w:rPr>
              <w:t>66</w:t>
            </w:r>
          </w:p>
        </w:tc>
      </w:tr>
      <w:tr>
        <w:tc>
          <w:tcPr>
            <w:tcW w:type="dxa" w:w="1474"/>
            <w:shd w:val="clear" w:color="auto" w:fill="FAF9F6"/>
          </w:tcPr>
          <w:p>
            <w:pPr>
              <w:spacing w:after="0" w:line="240" w:lineRule="auto"/>
            </w:pPr>
            <w:r/>
            <w:r>
              <w:rPr>
                <w:b w:val="0"/>
                <w:i w:val="0"/>
                <w:sz w:val="16"/>
              </w:rPr>
              <w:t>Staghaven</w:t>
            </w:r>
          </w:p>
        </w:tc>
        <w:tc>
          <w:tcPr>
            <w:tcW w:type="dxa" w:w="1020"/>
            <w:shd w:val="clear" w:color="auto" w:fill="FAF9F6"/>
          </w:tcPr>
          <w:p>
            <w:pPr>
              <w:spacing w:after="0" w:line="240" w:lineRule="auto"/>
              <w:jc w:val="right"/>
            </w:pPr>
            <w:r/>
            <w:r>
              <w:rPr>
                <w:b w:val="0"/>
                <w:i w:val="0"/>
                <w:sz w:val="16"/>
              </w:rPr>
              <w:t>88</w:t>
            </w:r>
          </w:p>
        </w:tc>
        <w:tc>
          <w:tcPr>
            <w:tcW w:type="dxa" w:w="1191"/>
            <w:shd w:val="clear" w:color="auto" w:fill="FAF9F6"/>
          </w:tcPr>
          <w:p>
            <w:pPr>
              <w:spacing w:after="0" w:line="240" w:lineRule="auto"/>
              <w:jc w:val="right"/>
            </w:pPr>
            <w:r/>
            <w:r>
              <w:rPr>
                <w:b w:val="0"/>
                <w:i w:val="0"/>
                <w:sz w:val="16"/>
              </w:rPr>
              <w:t>12</w:t>
            </w:r>
          </w:p>
        </w:tc>
        <w:tc>
          <w:tcPr>
            <w:tcW w:type="dxa" w:w="964"/>
            <w:shd w:val="clear" w:color="auto" w:fill="FAF9F6"/>
          </w:tcPr>
          <w:p>
            <w:pPr>
              <w:spacing w:after="0" w:line="240" w:lineRule="auto"/>
              <w:jc w:val="right"/>
            </w:pPr>
            <w:r/>
            <w:r>
              <w:rPr>
                <w:b w:val="0"/>
                <w:i w:val="0"/>
                <w:sz w:val="16"/>
              </w:rPr>
              <w:t>100</w:t>
            </w:r>
          </w:p>
        </w:tc>
        <w:tc>
          <w:tcPr>
            <w:tcW w:type="dxa" w:w="907"/>
            <w:shd w:val="clear" w:color="auto" w:fill="FAF9F6"/>
          </w:tcPr>
          <w:p>
            <w:pPr>
              <w:spacing w:after="0" w:line="240" w:lineRule="auto"/>
              <w:jc w:val="right"/>
            </w:pPr>
            <w:r/>
            <w:r>
              <w:rPr>
                <w:b w:val="0"/>
                <w:i w:val="0"/>
                <w:sz w:val="16"/>
              </w:rPr>
              <w:t>34%</w:t>
            </w:r>
          </w:p>
        </w:tc>
        <w:tc>
          <w:tcPr>
            <w:tcW w:type="dxa" w:w="2268"/>
            <w:shd w:val="clear" w:color="auto" w:fill="FAF9F6"/>
          </w:tcPr>
          <w:p>
            <w:pPr>
              <w:spacing w:after="0" w:line="240" w:lineRule="auto"/>
            </w:pPr>
            <w:r/>
            <w:r>
              <w:rPr>
                <w:b w:val="0"/>
                <w:i w:val="0"/>
                <w:sz w:val="16"/>
              </w:rPr>
              <w:t>–</w:t>
            </w:r>
          </w:p>
        </w:tc>
        <w:tc>
          <w:tcPr>
            <w:tcW w:type="dxa" w:w="1247"/>
            <w:shd w:val="clear" w:color="auto" w:fill="FAF9F6"/>
          </w:tcPr>
          <w:p>
            <w:pPr>
              <w:spacing w:after="0" w:line="240" w:lineRule="auto"/>
              <w:jc w:val="right"/>
            </w:pPr>
            <w:r/>
            <w:r>
              <w:rPr>
                <w:b w:val="0"/>
                <w:i w:val="0"/>
                <w:sz w:val="16"/>
              </w:rPr>
              <w:t>26</w:t>
            </w:r>
          </w:p>
        </w:tc>
      </w:tr>
      <w:tr>
        <w:tc>
          <w:tcPr>
            <w:tcW w:type="dxa" w:w="1474"/>
          </w:tcPr>
          <w:p>
            <w:pPr>
              <w:spacing w:after="0" w:line="240" w:lineRule="auto"/>
            </w:pPr>
            <w:r/>
            <w:r>
              <w:rPr>
                <w:b w:val="0"/>
                <w:i w:val="0"/>
                <w:sz w:val="16"/>
              </w:rPr>
              <w:t>Front Farm</w:t>
            </w:r>
          </w:p>
        </w:tc>
        <w:tc>
          <w:tcPr>
            <w:tcW w:type="dxa" w:w="1020"/>
          </w:tcPr>
          <w:p>
            <w:pPr>
              <w:spacing w:after="0" w:line="240" w:lineRule="auto"/>
              <w:jc w:val="right"/>
            </w:pPr>
            <w:r/>
            <w:r>
              <w:rPr>
                <w:b w:val="0"/>
                <w:i w:val="0"/>
                <w:sz w:val="16"/>
              </w:rPr>
              <w:t>16</w:t>
            </w:r>
          </w:p>
        </w:tc>
        <w:tc>
          <w:tcPr>
            <w:tcW w:type="dxa" w:w="1191"/>
          </w:tcPr>
          <w:p>
            <w:pPr>
              <w:spacing w:after="0" w:line="240" w:lineRule="auto"/>
              <w:jc w:val="right"/>
            </w:pPr>
            <w:r/>
            <w:r>
              <w:rPr>
                <w:b w:val="0"/>
                <w:i w:val="0"/>
                <w:sz w:val="16"/>
              </w:rPr>
              <w:t>27</w:t>
            </w:r>
          </w:p>
        </w:tc>
        <w:tc>
          <w:tcPr>
            <w:tcW w:type="dxa" w:w="964"/>
          </w:tcPr>
          <w:p>
            <w:pPr>
              <w:spacing w:after="0" w:line="240" w:lineRule="auto"/>
              <w:jc w:val="right"/>
            </w:pPr>
            <w:r/>
            <w:r>
              <w:rPr>
                <w:b w:val="0"/>
                <w:i w:val="0"/>
                <w:sz w:val="16"/>
              </w:rPr>
              <w:t>43</w:t>
            </w:r>
          </w:p>
        </w:tc>
        <w:tc>
          <w:tcPr>
            <w:tcW w:type="dxa" w:w="907"/>
          </w:tcPr>
          <w:p>
            <w:pPr>
              <w:spacing w:after="0" w:line="240" w:lineRule="auto"/>
              <w:jc w:val="right"/>
            </w:pPr>
            <w:r/>
            <w:r>
              <w:rPr>
                <w:b w:val="0"/>
                <w:i w:val="0"/>
                <w:sz w:val="16"/>
              </w:rPr>
              <w:t>9%</w:t>
            </w:r>
          </w:p>
        </w:tc>
        <w:tc>
          <w:tcPr>
            <w:tcW w:type="dxa" w:w="2268"/>
          </w:tcPr>
          <w:p>
            <w:pPr>
              <w:spacing w:after="0" w:line="240" w:lineRule="auto"/>
            </w:pPr>
            <w:r/>
            <w:r>
              <w:rPr>
                <w:b w:val="0"/>
                <w:i w:val="0"/>
                <w:sz w:val="16"/>
              </w:rPr>
              <w:t>–</w:t>
            </w:r>
          </w:p>
        </w:tc>
        <w:tc>
          <w:tcPr>
            <w:tcW w:type="dxa" w:w="1247"/>
          </w:tcPr>
          <w:p>
            <w:pPr>
              <w:spacing w:after="0" w:line="240" w:lineRule="auto"/>
              <w:jc w:val="right"/>
            </w:pPr>
            <w:r/>
            <w:r>
              <w:rPr>
                <w:b w:val="0"/>
                <w:i w:val="0"/>
                <w:sz w:val="16"/>
              </w:rPr>
              <w:t>234</w:t>
            </w:r>
          </w:p>
        </w:tc>
      </w:tr>
      <w:tr>
        <w:tc>
          <w:tcPr>
            <w:tcW w:type="dxa" w:w="1474"/>
            <w:shd w:val="clear" w:color="auto" w:fill="FAF9F6"/>
          </w:tcPr>
          <w:p>
            <w:pPr>
              <w:spacing w:after="0" w:line="240" w:lineRule="auto"/>
            </w:pPr>
            <w:r/>
            <w:r>
              <w:rPr>
                <w:b w:val="0"/>
                <w:i w:val="0"/>
                <w:sz w:val="16"/>
              </w:rPr>
              <w:t>Patricks House</w:t>
            </w:r>
          </w:p>
        </w:tc>
        <w:tc>
          <w:tcPr>
            <w:tcW w:type="dxa" w:w="1020"/>
            <w:shd w:val="clear" w:color="auto" w:fill="FAF9F6"/>
          </w:tcPr>
          <w:p>
            <w:pPr>
              <w:spacing w:after="0" w:line="240" w:lineRule="auto"/>
              <w:jc w:val="right"/>
            </w:pPr>
            <w:r/>
            <w:r>
              <w:rPr>
                <w:b w:val="0"/>
                <w:i w:val="0"/>
                <w:sz w:val="16"/>
              </w:rPr>
              <w:t>0</w:t>
            </w:r>
          </w:p>
        </w:tc>
        <w:tc>
          <w:tcPr>
            <w:tcW w:type="dxa" w:w="1191"/>
            <w:shd w:val="clear" w:color="auto" w:fill="FAF9F6"/>
          </w:tcPr>
          <w:p>
            <w:pPr>
              <w:spacing w:after="0" w:line="240" w:lineRule="auto"/>
              <w:jc w:val="right"/>
            </w:pPr>
            <w:r/>
            <w:r>
              <w:rPr>
                <w:b w:val="0"/>
                <w:i w:val="0"/>
                <w:sz w:val="16"/>
              </w:rPr>
              <w:t>17</w:t>
            </w:r>
          </w:p>
        </w:tc>
        <w:tc>
          <w:tcPr>
            <w:tcW w:type="dxa" w:w="964"/>
            <w:shd w:val="clear" w:color="auto" w:fill="FAF9F6"/>
          </w:tcPr>
          <w:p>
            <w:pPr>
              <w:spacing w:after="0" w:line="240" w:lineRule="auto"/>
              <w:jc w:val="right"/>
            </w:pPr>
            <w:r/>
            <w:r>
              <w:rPr>
                <w:b w:val="0"/>
                <w:i w:val="0"/>
                <w:sz w:val="16"/>
              </w:rPr>
              <w:t>17</w:t>
            </w:r>
          </w:p>
        </w:tc>
        <w:tc>
          <w:tcPr>
            <w:tcW w:type="dxa" w:w="907"/>
            <w:shd w:val="clear" w:color="auto" w:fill="FAF9F6"/>
          </w:tcPr>
          <w:p>
            <w:pPr>
              <w:spacing w:after="0" w:line="240" w:lineRule="auto"/>
              <w:jc w:val="right"/>
            </w:pPr>
            <w:r/>
            <w:r>
              <w:rPr>
                <w:b w:val="0"/>
                <w:i w:val="0"/>
                <w:sz w:val="16"/>
              </w:rPr>
              <w:t>60%</w:t>
            </w:r>
          </w:p>
        </w:tc>
        <w:tc>
          <w:tcPr>
            <w:tcW w:type="dxa" w:w="2268"/>
            <w:shd w:val="clear" w:color="auto" w:fill="FAF9F6"/>
          </w:tcPr>
          <w:p>
            <w:pPr>
              <w:spacing w:after="0" w:line="240" w:lineRule="auto"/>
            </w:pPr>
            <w:r/>
            <w:r>
              <w:rPr>
                <w:b w:val="0"/>
                <w:i w:val="0"/>
                <w:sz w:val="16"/>
              </w:rPr>
              <w:t>–</w:t>
            </w:r>
          </w:p>
        </w:tc>
        <w:tc>
          <w:tcPr>
            <w:tcW w:type="dxa" w:w="1247"/>
            <w:shd w:val="clear" w:color="auto" w:fill="FAF9F6"/>
          </w:tcPr>
          <w:p>
            <w:pPr>
              <w:spacing w:after="0" w:line="240" w:lineRule="auto"/>
              <w:jc w:val="right"/>
            </w:pPr>
            <w:r/>
            <w:r>
              <w:rPr>
                <w:b w:val="0"/>
                <w:i w:val="0"/>
                <w:sz w:val="16"/>
              </w:rPr>
              <w:t>28</w:t>
            </w:r>
          </w:p>
        </w:tc>
      </w:tr>
      <w:tr>
        <w:tc>
          <w:tcPr>
            <w:tcW w:type="dxa" w:w="1474"/>
          </w:tcPr>
          <w:p>
            <w:pPr>
              <w:spacing w:after="0" w:line="240" w:lineRule="auto"/>
            </w:pPr>
            <w:r/>
            <w:r>
              <w:rPr>
                <w:b w:val="0"/>
                <w:i w:val="0"/>
                <w:sz w:val="16"/>
              </w:rPr>
              <w:t>Tims</w:t>
            </w:r>
          </w:p>
        </w:tc>
        <w:tc>
          <w:tcPr>
            <w:tcW w:type="dxa" w:w="1020"/>
          </w:tcPr>
          <w:p>
            <w:pPr>
              <w:spacing w:after="0" w:line="240" w:lineRule="auto"/>
              <w:jc w:val="right"/>
            </w:pPr>
            <w:r/>
            <w:r>
              <w:rPr>
                <w:b w:val="0"/>
                <w:i w:val="0"/>
                <w:sz w:val="16"/>
              </w:rPr>
              <w:t>5</w:t>
            </w:r>
          </w:p>
        </w:tc>
        <w:tc>
          <w:tcPr>
            <w:tcW w:type="dxa" w:w="1191"/>
          </w:tcPr>
          <w:p>
            <w:pPr>
              <w:spacing w:after="0" w:line="240" w:lineRule="auto"/>
              <w:jc w:val="right"/>
            </w:pPr>
            <w:r/>
            <w:r>
              <w:rPr>
                <w:b w:val="0"/>
                <w:i w:val="0"/>
                <w:sz w:val="16"/>
              </w:rPr>
              <w:t>9</w:t>
            </w:r>
          </w:p>
        </w:tc>
        <w:tc>
          <w:tcPr>
            <w:tcW w:type="dxa" w:w="964"/>
          </w:tcPr>
          <w:p>
            <w:pPr>
              <w:spacing w:after="0" w:line="240" w:lineRule="auto"/>
              <w:jc w:val="right"/>
            </w:pPr>
            <w:r/>
            <w:r>
              <w:rPr>
                <w:b w:val="0"/>
                <w:i w:val="0"/>
                <w:sz w:val="16"/>
              </w:rPr>
              <w:t>14</w:t>
            </w:r>
          </w:p>
        </w:tc>
        <w:tc>
          <w:tcPr>
            <w:tcW w:type="dxa" w:w="907"/>
          </w:tcPr>
          <w:p>
            <w:pPr>
              <w:spacing w:after="0" w:line="240" w:lineRule="auto"/>
              <w:jc w:val="right"/>
            </w:pPr>
            <w:r/>
            <w:r>
              <w:rPr>
                <w:b w:val="0"/>
                <w:i w:val="0"/>
                <w:sz w:val="16"/>
              </w:rPr>
              <w:t>100%</w:t>
            </w:r>
          </w:p>
        </w:tc>
        <w:tc>
          <w:tcPr>
            <w:tcW w:type="dxa" w:w="2268"/>
          </w:tcPr>
          <w:p>
            <w:pPr>
              <w:spacing w:after="0" w:line="240" w:lineRule="auto"/>
            </w:pPr>
            <w:r/>
            <w:r>
              <w:rPr>
                <w:b w:val="0"/>
                <w:i w:val="0"/>
                <w:sz w:val="16"/>
              </w:rPr>
              <w:t>–</w:t>
            </w:r>
          </w:p>
        </w:tc>
        <w:tc>
          <w:tcPr>
            <w:tcW w:type="dxa" w:w="1247"/>
          </w:tcPr>
          <w:p>
            <w:pPr>
              <w:spacing w:after="0" w:line="240" w:lineRule="auto"/>
              <w:jc w:val="right"/>
            </w:pPr>
            <w:r/>
            <w:r>
              <w:rPr>
                <w:b w:val="0"/>
                <w:i w:val="0"/>
                <w:sz w:val="16"/>
              </w:rPr>
              <w:t>–</w:t>
            </w:r>
          </w:p>
        </w:tc>
      </w:tr>
      <w:tr>
        <w:tc>
          <w:tcPr>
            <w:tcW w:type="dxa" w:w="1474"/>
            <w:shd w:val="clear" w:color="auto" w:fill="EDEBE3"/>
          </w:tcPr>
          <w:p>
            <w:pPr>
              <w:spacing w:after="0" w:line="240" w:lineRule="auto"/>
            </w:pPr>
            <w:r/>
            <w:r>
              <w:rPr>
                <w:b/>
                <w:i w:val="0"/>
                <w:sz w:val="16"/>
              </w:rPr>
              <w:t>Total</w:t>
            </w:r>
          </w:p>
        </w:tc>
        <w:tc>
          <w:tcPr>
            <w:tcW w:type="dxa" w:w="1020"/>
            <w:shd w:val="clear" w:color="auto" w:fill="EDEBE3"/>
          </w:tcPr>
          <w:p>
            <w:pPr>
              <w:spacing w:after="0" w:line="240" w:lineRule="auto"/>
              <w:jc w:val="right"/>
            </w:pPr>
            <w:r/>
            <w:r>
              <w:rPr>
                <w:b/>
                <w:i w:val="0"/>
                <w:sz w:val="16"/>
              </w:rPr>
              <w:t>4,673</w:t>
            </w:r>
          </w:p>
        </w:tc>
        <w:tc>
          <w:tcPr>
            <w:tcW w:type="dxa" w:w="1191"/>
            <w:shd w:val="clear" w:color="auto" w:fill="EDEBE3"/>
          </w:tcPr>
          <w:p>
            <w:pPr>
              <w:spacing w:after="0" w:line="240" w:lineRule="auto"/>
              <w:jc w:val="right"/>
            </w:pPr>
            <w:r/>
            <w:r>
              <w:rPr>
                <w:b/>
                <w:i w:val="0"/>
                <w:sz w:val="16"/>
              </w:rPr>
              <w:t>4,518</w:t>
            </w:r>
          </w:p>
        </w:tc>
        <w:tc>
          <w:tcPr>
            <w:tcW w:type="dxa" w:w="964"/>
            <w:shd w:val="clear" w:color="auto" w:fill="EDEBE3"/>
          </w:tcPr>
          <w:p>
            <w:pPr>
              <w:spacing w:after="0" w:line="240" w:lineRule="auto"/>
              <w:jc w:val="right"/>
            </w:pPr>
            <w:r/>
            <w:r>
              <w:rPr>
                <w:b/>
                <w:i w:val="0"/>
                <w:sz w:val="16"/>
              </w:rPr>
              <w:t>9,190</w:t>
            </w:r>
          </w:p>
        </w:tc>
        <w:tc>
          <w:tcPr>
            <w:tcW w:type="dxa" w:w="907"/>
            <w:shd w:val="clear" w:color="auto" w:fill="EDEBE3"/>
          </w:tcPr>
          <w:p>
            <w:pPr>
              <w:spacing w:after="0" w:line="240" w:lineRule="auto"/>
              <w:jc w:val="right"/>
            </w:pPr>
            <w:r/>
            <w:r>
              <w:rPr>
                <w:b/>
                <w:i w:val="0"/>
                <w:sz w:val="16"/>
              </w:rPr>
              <w:t>66%</w:t>
            </w:r>
          </w:p>
        </w:tc>
        <w:tc>
          <w:tcPr>
            <w:tcW w:type="dxa" w:w="2268"/>
            <w:shd w:val="clear" w:color="auto" w:fill="EDEBE3"/>
          </w:tcPr>
          <w:p>
            <w:pPr>
              <w:spacing w:after="0" w:line="240" w:lineRule="auto"/>
            </w:pPr>
            <w:r/>
            <w:r>
              <w:rPr>
                <w:b/>
                <w:i w:val="0"/>
                <w:sz w:val="16"/>
              </w:rPr>
              <w:t>163 ha, 18,431 NZUs</w:t>
            </w:r>
          </w:p>
        </w:tc>
        <w:tc>
          <w:tcPr>
            <w:tcW w:type="dxa" w:w="1247"/>
            <w:shd w:val="clear" w:color="auto" w:fill="EDEBE3"/>
          </w:tcPr>
          <w:p>
            <w:pPr>
              <w:spacing w:after="0" w:line="240" w:lineRule="auto"/>
              <w:jc w:val="right"/>
            </w:pPr>
            <w:r/>
            <w:r>
              <w:rPr>
                <w:b/>
                <w:i w:val="0"/>
                <w:sz w:val="16"/>
              </w:rPr>
              <w:t>3,190</w:t>
            </w:r>
          </w:p>
        </w:tc>
      </w:tr>
    </w:tbl>
    <w:p>
      <w:pPr>
        <w:spacing w:after="40"/>
      </w:pPr>
    </w:p>
    <w:p>
      <w:pPr>
        <w:jc w:val="center"/>
      </w:pPr>
      <w:r>
        <w:drawing>
          <wp:inline xmlns:a="http://schemas.openxmlformats.org/drawingml/2006/main" xmlns:pic="http://schemas.openxmlformats.org/drawingml/2006/picture">
            <wp:extent cx="6120000" cy="4406946"/>
            <wp:docPr id="5" name="Picture 5"/>
            <wp:cNvGraphicFramePr>
              <a:graphicFrameLocks noChangeAspect="1"/>
            </wp:cNvGraphicFramePr>
            <a:graphic>
              <a:graphicData uri="http://schemas.openxmlformats.org/drawingml/2006/picture">
                <pic:pic>
                  <pic:nvPicPr>
                    <pic:cNvPr id="0" name="chart1_landcover_by_block.png"/>
                    <pic:cNvPicPr/>
                  </pic:nvPicPr>
                  <pic:blipFill>
                    <a:blip r:embed="rId13"/>
                    <a:stretch>
                      <a:fillRect/>
                    </a:stretch>
                  </pic:blipFill>
                  <pic:spPr>
                    <a:xfrm>
                      <a:off x="0" y="0"/>
                      <a:ext cx="6120000" cy="4406946"/>
                    </a:xfrm>
                    <a:prstGeom prst="rect"/>
                  </pic:spPr>
                </pic:pic>
              </a:graphicData>
            </a:graphic>
          </wp:inline>
        </w:drawing>
      </w:r>
    </w:p>
    <w:p>
      <w:pPr>
        <w:spacing w:after="200"/>
        <w:jc w:val="center"/>
      </w:pPr>
      <w:r>
        <w:rPr>
          <w:b w:val="0"/>
          <w:i/>
          <w:color w:val="6B6B60"/>
          <w:sz w:val="17"/>
        </w:rPr>
        <w:t>Figure 4 – Land cover by block (July 2026 mapping): radiata, native bush, mānuka/kānuka and open grassland.</w:t>
      </w:r>
    </w:p>
    <w:p>
      <w:pPr>
        <w:pStyle w:val="ListBullet"/>
        <w:spacing w:after="40"/>
      </w:pPr>
      <w:r>
        <w:rPr>
          <w:b w:val="0"/>
          <w:i w:val="0"/>
        </w:rPr>
        <w:t>The largest mānuka blocks are Ernies (950 ha of mānuka/kānuka), Karapara (612 ha), Puau Road (568 ha), Back Farm (487 ha) and the Home Block (418 ha); Pakihi at Toatoa (199 ha of mānuka within 446 ha) is a stand-alone mānuka honey block in the eastern Bay of Plenty.</w:t>
      </w:r>
    </w:p>
    <w:p>
      <w:pPr>
        <w:pStyle w:val="ListBullet"/>
        <w:spacing w:after="40"/>
      </w:pPr>
      <w:r>
        <w:rPr>
          <w:b w:val="0"/>
          <w:i w:val="0"/>
        </w:rPr>
        <w:t>Two carbon accounting areas of regenerating indigenous forest on Ernies (121 ha, 1991 and 1998) are registered by Makowhai Station under stock change with a unit balance of about 13,200 NZUs; further indigenous areas sit inside the permanent-forest CAA 69 on Back Farm, the Eastern Block and the Home Block.</w:t>
      </w:r>
    </w:p>
    <w:p>
      <w:pPr>
        <w:pStyle w:val="ListBullet"/>
        <w:spacing w:after="40"/>
      </w:pPr>
      <w:r>
        <w:rPr>
          <w:b w:val="0"/>
          <w:i w:val="0"/>
        </w:rPr>
        <w:t>About 3,190 ha of regenerating scrub and grassland across the estate is indicatively post-1989 and may be eligible for ETS registration as indigenous forest, the largest areas being Ernies (688 ha), the Eastern Block (537 ha), Longreach (506 ha) and Puau Road (445 ha) – MPI to determine.</w:t>
      </w:r>
    </w:p>
    <w:p>
      <w:pPr>
        <w:pStyle w:val="ListBullet"/>
        <w:spacing w:after="40"/>
      </w:pPr>
      <w:r>
        <w:rPr>
          <w:b w:val="0"/>
          <w:i w:val="0"/>
        </w:rPr>
        <w:t>QEII National Trust open space covenants protect native bush on parts of the Home Block (TN119/223, TNE3/650) and Back Farm (TNB4/1080, 1082, 1083); Whangamomona carries a 1991 conservation covenant over part. Sustainable Forest Management permits (Forests Act 1949) are noted on several titles.</w:t>
      </w:r>
    </w:p>
    <w:p>
      <w:pPr>
        <w:pStyle w:val="ListBullet"/>
        <w:spacing w:after="40"/>
      </w:pPr>
      <w:r>
        <w:rPr>
          <w:b w:val="0"/>
          <w:i w:val="0"/>
        </w:rPr>
        <w:t>Under the Pukekahu Farms lease the tenant may not cut scrub or trees or apply chemicals near scrub, and the landlord keeps exclusive beekeeping and honey rights over the leased land.</w:t>
      </w:r>
    </w:p>
    <w:p>
      <w:pPr>
        <w:jc w:val="center"/>
      </w:pPr>
      <w:r>
        <w:drawing>
          <wp:inline xmlns:a="http://schemas.openxmlformats.org/drawingml/2006/main" xmlns:pic="http://schemas.openxmlformats.org/drawingml/2006/picture">
            <wp:extent cx="4320000" cy="1074214"/>
            <wp:docPr id="6" name="Picture 6"/>
            <wp:cNvGraphicFramePr>
              <a:graphicFrameLocks noChangeAspect="1"/>
            </wp:cNvGraphicFramePr>
            <a:graphic>
              <a:graphicData uri="http://schemas.openxmlformats.org/drawingml/2006/picture">
                <pic:pic>
                  <pic:nvPicPr>
                    <pic:cNvPr id="0" name="chart2_estate_landcover.png"/>
                    <pic:cNvPicPr/>
                  </pic:nvPicPr>
                  <pic:blipFill>
                    <a:blip r:embed="rId14"/>
                    <a:stretch>
                      <a:fillRect/>
                    </a:stretch>
                  </pic:blipFill>
                  <pic:spPr>
                    <a:xfrm>
                      <a:off x="0" y="0"/>
                      <a:ext cx="4320000" cy="1074214"/>
                    </a:xfrm>
                    <a:prstGeom prst="rect"/>
                  </pic:spPr>
                </pic:pic>
              </a:graphicData>
            </a:graphic>
          </wp:inline>
        </w:drawing>
      </w:r>
    </w:p>
    <w:p>
      <w:pPr>
        <w:spacing w:after="200"/>
        <w:jc w:val="center"/>
      </w:pPr>
      <w:r>
        <w:rPr>
          <w:b w:val="0"/>
          <w:i/>
          <w:color w:val="6B6B60"/>
          <w:sz w:val="17"/>
        </w:rPr>
        <w:t>Figure 5 – Estate land cover.</w:t>
      </w:r>
    </w:p>
    <w:p>
      <w:r>
        <w:br w:type="page"/>
      </w:r>
    </w:p>
    <w:p>
      <w:pPr>
        <w:pStyle w:val="Heading1"/>
      </w:pPr>
      <w:r>
        <w:t>5  The properties</w:t>
      </w:r>
    </w:p>
    <w:p>
      <w:r>
        <w:rPr>
          <w:b w:val="0"/>
          <w:i w:val="0"/>
        </w:rPr>
        <w:t xml:space="preserve">The properties are presented by location. Each property has a key-characteristics table, a description, points to note and the items still to be confirmed, followed by a full-page map. Rating valuations and rates are from the councils' rating records (Appendix C). Buildings are from the LINZ building-outline layer and the lease; the building schedule from the forest manager and the receivers will replace these notes </w:t>
      </w:r>
      <w:r>
        <w:rPr>
          <w:b/>
          <w:i w:val="0"/>
          <w:color w:val="B01E1E"/>
        </w:rPr>
        <w:t>[TBC]</w:t>
      </w:r>
      <w:r>
        <w:rPr>
          <w:b w:val="0"/>
          <w:i w:val="0"/>
        </w:rPr>
        <w:t xml:space="preserve">. Stand records will replace the ETS-derived planting years </w:t>
      </w:r>
      <w:r>
        <w:rPr>
          <w:b/>
          <w:i w:val="0"/>
          <w:color w:val="B01E1E"/>
        </w:rPr>
        <w:t>[TBC – Stand]</w:t>
      </w:r>
      <w:r>
        <w:rPr>
          <w:b w:val="0"/>
          <w:i w:val="0"/>
        </w:rPr>
        <w:t>.</w:t>
      </w:r>
    </w:p>
    <w:p>
      <w:pPr>
        <w:pStyle w:val="ListBullet"/>
        <w:spacing w:after="40"/>
      </w:pPr>
      <w:r>
        <w:rPr>
          <w:b w:val="0"/>
          <w:i w:val="0"/>
        </w:rPr>
        <w:t>A  Waitōtara Valley and Ngamatapouri – South Taranaki District: Longreach, Back Farm, Front Farm, Eastern Block, Home Block, Ernies, Karapara, Workers House, Patricks House</w:t>
      </w:r>
    </w:p>
    <w:p>
      <w:pPr>
        <w:pStyle w:val="ListBullet"/>
        <w:spacing w:after="40"/>
      </w:pPr>
      <w:r>
        <w:rPr>
          <w:b w:val="0"/>
          <w:i w:val="0"/>
        </w:rPr>
        <w:t>B  Nukumaru and the Waverley coast – South Taranaki District: Puau Road, Moonys, Ridge Road</w:t>
      </w:r>
    </w:p>
    <w:p>
      <w:pPr>
        <w:pStyle w:val="ListBullet"/>
        <w:spacing w:after="40"/>
      </w:pPr>
      <w:r>
        <w:rPr>
          <w:b w:val="0"/>
          <w:i w:val="0"/>
        </w:rPr>
        <w:t>C  Eastern Taranaki – Whangamomona, Mangaehu and Puniwhakau – Stratford District: Whangamomona, Staghaven, Tims, Soldiers Road (forestry right) (forestry right), Magons (available separately)</w:t>
      </w:r>
    </w:p>
    <w:p>
      <w:pPr>
        <w:pStyle w:val="ListBullet"/>
        <w:spacing w:after="40"/>
      </w:pPr>
      <w:r>
        <w:rPr>
          <w:b w:val="0"/>
          <w:i w:val="0"/>
        </w:rPr>
        <w:t>D  Eastern Bay of Plenty – Toatoa – Ōpōtiki District: Pakihi</w:t>
      </w:r>
    </w:p>
    <w:p>
      <w:r>
        <w:br w:type="page"/>
      </w:r>
    </w:p>
    <w:p>
      <w:pPr>
        <w:pStyle w:val="Heading2"/>
      </w:pPr>
      <w:r>
        <w:t>5A  Waitōtara Valley and Ngamatapouri – South Taranaki District</w:t>
      </w:r>
    </w:p>
    <w:p>
      <w:r>
        <w:rPr>
          <w:b w:val="0"/>
          <w:i w:val="0"/>
        </w:rPr>
        <w:t>Nine properties lie in the Waitōtara Valley and its side valleys at Ngamatapouri, 30–70 km inland from Waverley on the Waitotara Valley, Taumatatahi, Kapara, Makakaho, Moewatea and Mataimoana Roads. Together they total about 9,540 ha and hold the bulk of the planted radiata, the farming land and the mānuka resource. Longreach, Back Farm, Front Farm, the Eastern Block, the Home Block, Ernies and Karapara form a near-contiguous block of hill country between the Waitōtara and Makakaho catchments.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3213"/>
        <w:gridCol w:w="3213"/>
        <w:gridCol w:w="3213"/>
      </w:tblGrid>
      <w:tr>
        <w:tc>
          <w:tcPr>
            <w:tcW w:type="dxa" w:w="3118"/>
            <w:shd w:val="clear" w:color="auto" w:fill="DBD2C3"/>
          </w:tcPr>
          <w:p>
            <w:pPr>
              <w:spacing w:after="0" w:line="240" w:lineRule="auto"/>
            </w:pPr>
            <w:r/>
            <w:r>
              <w:rPr>
                <w:b/>
                <w:i w:val="0"/>
                <w:sz w:val="17"/>
              </w:rPr>
              <w:t>From</w:t>
            </w:r>
          </w:p>
        </w:tc>
        <w:tc>
          <w:tcPr>
            <w:tcW w:type="dxa" w:w="3685"/>
            <w:shd w:val="clear" w:color="auto" w:fill="DBD2C3"/>
          </w:tcPr>
          <w:p>
            <w:pPr>
              <w:spacing w:after="0" w:line="240" w:lineRule="auto"/>
            </w:pPr>
            <w:r/>
            <w:r>
              <w:rPr>
                <w:b/>
                <w:i w:val="0"/>
                <w:sz w:val="17"/>
              </w:rPr>
              <w:t>Destination</w:t>
            </w:r>
          </w:p>
        </w:tc>
        <w:tc>
          <w:tcPr>
            <w:tcW w:type="dxa" w:w="1134"/>
            <w:shd w:val="clear" w:color="auto" w:fill="DBD2C3"/>
          </w:tcPr>
          <w:p>
            <w:pPr>
              <w:spacing w:after="0" w:line="240" w:lineRule="auto"/>
            </w:pPr>
            <w:r/>
            <w:r>
              <w:rPr>
                <w:b/>
                <w:i w:val="0"/>
                <w:sz w:val="17"/>
              </w:rPr>
              <w:t>km</w:t>
            </w:r>
          </w:p>
        </w:tc>
      </w:tr>
      <w:tr>
        <w:tc>
          <w:tcPr>
            <w:tcW w:type="dxa" w:w="3118"/>
          </w:tcPr>
          <w:p>
            <w:pPr>
              <w:spacing w:after="0" w:line="240" w:lineRule="auto"/>
            </w:pPr>
            <w:r/>
            <w:r>
              <w:rPr>
                <w:b w:val="0"/>
                <w:i w:val="0"/>
                <w:sz w:val="17"/>
              </w:rPr>
              <w:t>Back Farm (Mataimoana Road)</w:t>
            </w:r>
          </w:p>
        </w:tc>
        <w:tc>
          <w:tcPr>
            <w:tcW w:type="dxa" w:w="3685"/>
          </w:tcPr>
          <w:p>
            <w:pPr>
              <w:spacing w:after="0" w:line="240" w:lineRule="auto"/>
            </w:pPr>
            <w:r/>
            <w:r>
              <w:rPr>
                <w:b w:val="0"/>
                <w:i w:val="0"/>
                <w:sz w:val="17"/>
              </w:rPr>
              <w:t>Waverley</w:t>
            </w:r>
          </w:p>
        </w:tc>
        <w:tc>
          <w:tcPr>
            <w:tcW w:type="dxa" w:w="1134"/>
          </w:tcPr>
          <w:p>
            <w:pPr>
              <w:spacing w:after="0" w:line="240" w:lineRule="auto"/>
              <w:jc w:val="right"/>
            </w:pPr>
            <w:r/>
            <w:r>
              <w:rPr>
                <w:b w:val="0"/>
                <w:i w:val="0"/>
                <w:sz w:val="17"/>
              </w:rPr>
              <w:t>34</w:t>
            </w:r>
          </w:p>
        </w:tc>
      </w:tr>
      <w:tr>
        <w:tc>
          <w:tcPr>
            <w:tcW w:type="dxa" w:w="3118"/>
            <w:shd w:val="clear" w:color="auto" w:fill="FAF9F6"/>
          </w:tcPr>
          <w:p>
            <w:pPr>
              <w:spacing w:after="0" w:line="240" w:lineRule="auto"/>
            </w:pPr>
            <w:r/>
            <w:r>
              <w:rPr>
                <w:b w:val="0"/>
                <w:i w:val="0"/>
                <w:sz w:val="17"/>
              </w:rPr>
              <w:t>Back Farm (Mataimoana Road)</w:t>
            </w:r>
          </w:p>
        </w:tc>
        <w:tc>
          <w:tcPr>
            <w:tcW w:type="dxa" w:w="3685"/>
            <w:shd w:val="clear" w:color="auto" w:fill="FAF9F6"/>
          </w:tcPr>
          <w:p>
            <w:pPr>
              <w:spacing w:after="0" w:line="240" w:lineRule="auto"/>
            </w:pPr>
            <w:r/>
            <w:r>
              <w:rPr>
                <w:b w:val="0"/>
                <w:i w:val="0"/>
                <w:sz w:val="17"/>
              </w:rPr>
              <w:t>Whanganui</w:t>
            </w:r>
          </w:p>
        </w:tc>
        <w:tc>
          <w:tcPr>
            <w:tcW w:type="dxa" w:w="1134"/>
            <w:shd w:val="clear" w:color="auto" w:fill="FAF9F6"/>
          </w:tcPr>
          <w:p>
            <w:pPr>
              <w:spacing w:after="0" w:line="240" w:lineRule="auto"/>
              <w:jc w:val="right"/>
            </w:pPr>
            <w:r/>
            <w:r>
              <w:rPr>
                <w:b w:val="0"/>
                <w:i w:val="0"/>
                <w:sz w:val="17"/>
              </w:rPr>
              <w:t>78</w:t>
            </w:r>
          </w:p>
        </w:tc>
      </w:tr>
      <w:tr>
        <w:tc>
          <w:tcPr>
            <w:tcW w:type="dxa" w:w="3118"/>
          </w:tcPr>
          <w:p>
            <w:pPr>
              <w:spacing w:after="0" w:line="240" w:lineRule="auto"/>
            </w:pPr>
            <w:r/>
            <w:r>
              <w:rPr>
                <w:b w:val="0"/>
                <w:i w:val="0"/>
                <w:sz w:val="17"/>
              </w:rPr>
              <w:t>Back Farm (Mataimoana Road)</w:t>
            </w:r>
          </w:p>
        </w:tc>
        <w:tc>
          <w:tcPr>
            <w:tcW w:type="dxa" w:w="3685"/>
          </w:tcPr>
          <w:p>
            <w:pPr>
              <w:spacing w:after="0" w:line="240" w:lineRule="auto"/>
            </w:pPr>
            <w:r/>
            <w:r>
              <w:rPr>
                <w:b w:val="0"/>
                <w:i w:val="0"/>
                <w:sz w:val="17"/>
              </w:rPr>
              <w:t>Hāwera</w:t>
            </w:r>
          </w:p>
        </w:tc>
        <w:tc>
          <w:tcPr>
            <w:tcW w:type="dxa" w:w="1134"/>
          </w:tcPr>
          <w:p>
            <w:pPr>
              <w:spacing w:after="0" w:line="240" w:lineRule="auto"/>
              <w:jc w:val="right"/>
            </w:pPr>
            <w:r/>
            <w:r>
              <w:rPr>
                <w:b w:val="0"/>
                <w:i w:val="0"/>
                <w:sz w:val="17"/>
              </w:rPr>
              <w:t>79</w:t>
            </w:r>
          </w:p>
        </w:tc>
      </w:tr>
      <w:tr>
        <w:tc>
          <w:tcPr>
            <w:tcW w:type="dxa" w:w="3118"/>
            <w:shd w:val="clear" w:color="auto" w:fill="FAF9F6"/>
          </w:tcPr>
          <w:p>
            <w:pPr>
              <w:spacing w:after="0" w:line="240" w:lineRule="auto"/>
            </w:pPr>
            <w:r/>
            <w:r>
              <w:rPr>
                <w:b w:val="0"/>
                <w:i w:val="0"/>
                <w:sz w:val="17"/>
              </w:rPr>
              <w:t>Back Farm (Mataimoana Road)</w:t>
            </w:r>
          </w:p>
        </w:tc>
        <w:tc>
          <w:tcPr>
            <w:tcW w:type="dxa" w:w="3685"/>
            <w:shd w:val="clear" w:color="auto" w:fill="FAF9F6"/>
          </w:tcPr>
          <w:p>
            <w:pPr>
              <w:spacing w:after="0" w:line="240" w:lineRule="auto"/>
            </w:pPr>
            <w:r/>
            <w:r>
              <w:rPr>
                <w:b w:val="0"/>
                <w:i w:val="0"/>
                <w:sz w:val="17"/>
              </w:rPr>
              <w:t>Castlecliff port, Whanganui</w:t>
            </w:r>
          </w:p>
        </w:tc>
        <w:tc>
          <w:tcPr>
            <w:tcW w:type="dxa" w:w="1134"/>
            <w:shd w:val="clear" w:color="auto" w:fill="FAF9F6"/>
          </w:tcPr>
          <w:p>
            <w:pPr>
              <w:spacing w:after="0" w:line="240" w:lineRule="auto"/>
              <w:jc w:val="right"/>
            </w:pPr>
            <w:r/>
            <w:r>
              <w:rPr>
                <w:b w:val="0"/>
                <w:i w:val="0"/>
                <w:sz w:val="17"/>
              </w:rPr>
              <w:t>82</w:t>
            </w:r>
          </w:p>
        </w:tc>
      </w:tr>
      <w:tr>
        <w:tc>
          <w:tcPr>
            <w:tcW w:type="dxa" w:w="3118"/>
          </w:tcPr>
          <w:p>
            <w:pPr>
              <w:spacing w:after="0" w:line="240" w:lineRule="auto"/>
            </w:pPr>
            <w:r/>
            <w:r>
              <w:rPr>
                <w:b w:val="0"/>
                <w:i w:val="0"/>
                <w:sz w:val="17"/>
              </w:rPr>
              <w:t>Back Farm (Mataimoana Road)</w:t>
            </w:r>
          </w:p>
        </w:tc>
        <w:tc>
          <w:tcPr>
            <w:tcW w:type="dxa" w:w="3685"/>
          </w:tcPr>
          <w:p>
            <w:pPr>
              <w:spacing w:after="0" w:line="240" w:lineRule="auto"/>
            </w:pPr>
            <w:r/>
            <w:r>
              <w:rPr>
                <w:b w:val="0"/>
                <w:i w:val="0"/>
                <w:sz w:val="17"/>
              </w:rPr>
              <w:t>Stratford</w:t>
            </w:r>
          </w:p>
        </w:tc>
        <w:tc>
          <w:tcPr>
            <w:tcW w:type="dxa" w:w="1134"/>
          </w:tcPr>
          <w:p>
            <w:pPr>
              <w:spacing w:after="0" w:line="240" w:lineRule="auto"/>
              <w:jc w:val="right"/>
            </w:pPr>
            <w:r/>
            <w:r>
              <w:rPr>
                <w:b w:val="0"/>
                <w:i w:val="0"/>
                <w:sz w:val="17"/>
              </w:rPr>
              <w:t>109</w:t>
            </w:r>
          </w:p>
        </w:tc>
      </w:tr>
      <w:tr>
        <w:tc>
          <w:tcPr>
            <w:tcW w:type="dxa" w:w="3118"/>
            <w:shd w:val="clear" w:color="auto" w:fill="FAF9F6"/>
          </w:tcPr>
          <w:p>
            <w:pPr>
              <w:spacing w:after="0" w:line="240" w:lineRule="auto"/>
            </w:pPr>
            <w:r/>
            <w:r>
              <w:rPr>
                <w:b w:val="0"/>
                <w:i w:val="0"/>
                <w:sz w:val="17"/>
              </w:rPr>
              <w:t>Back Farm (Mataimoana Road)</w:t>
            </w:r>
          </w:p>
        </w:tc>
        <w:tc>
          <w:tcPr>
            <w:tcW w:type="dxa" w:w="3685"/>
            <w:shd w:val="clear" w:color="auto" w:fill="FAF9F6"/>
          </w:tcPr>
          <w:p>
            <w:pPr>
              <w:spacing w:after="0" w:line="240" w:lineRule="auto"/>
            </w:pPr>
            <w:r/>
            <w:r>
              <w:rPr>
                <w:b w:val="0"/>
                <w:i w:val="0"/>
                <w:sz w:val="17"/>
              </w:rPr>
              <w:t>New Plymouth / Port Taranaki</w:t>
            </w:r>
          </w:p>
        </w:tc>
        <w:tc>
          <w:tcPr>
            <w:tcW w:type="dxa" w:w="1134"/>
            <w:shd w:val="clear" w:color="auto" w:fill="FAF9F6"/>
          </w:tcPr>
          <w:p>
            <w:pPr>
              <w:spacing w:after="0" w:line="240" w:lineRule="auto"/>
              <w:jc w:val="right"/>
            </w:pPr>
            <w:r/>
            <w:r>
              <w:rPr>
                <w:b w:val="0"/>
                <w:i w:val="0"/>
                <w:sz w:val="17"/>
              </w:rPr>
              <w:t>154</w:t>
            </w:r>
          </w:p>
        </w:tc>
      </w:tr>
      <w:tr>
        <w:tc>
          <w:tcPr>
            <w:tcW w:type="dxa" w:w="3118"/>
          </w:tcPr>
          <w:p>
            <w:pPr>
              <w:spacing w:after="0" w:line="240" w:lineRule="auto"/>
            </w:pPr>
            <w:r/>
            <w:r>
              <w:rPr>
                <w:b w:val="0"/>
                <w:i w:val="0"/>
                <w:sz w:val="17"/>
              </w:rPr>
              <w:t>Longreach (Makakaho Road)</w:t>
            </w:r>
          </w:p>
        </w:tc>
        <w:tc>
          <w:tcPr>
            <w:tcW w:type="dxa" w:w="3685"/>
          </w:tcPr>
          <w:p>
            <w:pPr>
              <w:spacing w:after="0" w:line="240" w:lineRule="auto"/>
            </w:pPr>
            <w:r/>
            <w:r>
              <w:rPr>
                <w:b w:val="0"/>
                <w:i w:val="0"/>
                <w:sz w:val="17"/>
              </w:rPr>
              <w:t>Waverley</w:t>
            </w:r>
          </w:p>
        </w:tc>
        <w:tc>
          <w:tcPr>
            <w:tcW w:type="dxa" w:w="1134"/>
          </w:tcPr>
          <w:p>
            <w:pPr>
              <w:spacing w:after="0" w:line="240" w:lineRule="auto"/>
              <w:jc w:val="right"/>
            </w:pPr>
            <w:r/>
            <w:r>
              <w:rPr>
                <w:b w:val="0"/>
                <w:i w:val="0"/>
                <w:sz w:val="17"/>
              </w:rPr>
              <w:t>69</w:t>
            </w:r>
          </w:p>
        </w:tc>
      </w:tr>
      <w:tr>
        <w:tc>
          <w:tcPr>
            <w:tcW w:type="dxa" w:w="3118"/>
            <w:shd w:val="clear" w:color="auto" w:fill="FAF9F6"/>
          </w:tcPr>
          <w:p>
            <w:pPr>
              <w:spacing w:after="0" w:line="240" w:lineRule="auto"/>
            </w:pPr>
            <w:r/>
            <w:r>
              <w:rPr>
                <w:b w:val="0"/>
                <w:i w:val="0"/>
                <w:sz w:val="17"/>
              </w:rPr>
              <w:t>Longreach (Makakaho Road)</w:t>
            </w:r>
          </w:p>
        </w:tc>
        <w:tc>
          <w:tcPr>
            <w:tcW w:type="dxa" w:w="3685"/>
            <w:shd w:val="clear" w:color="auto" w:fill="FAF9F6"/>
          </w:tcPr>
          <w:p>
            <w:pPr>
              <w:spacing w:after="0" w:line="240" w:lineRule="auto"/>
            </w:pPr>
            <w:r/>
            <w:r>
              <w:rPr>
                <w:b w:val="0"/>
                <w:i w:val="0"/>
                <w:sz w:val="17"/>
              </w:rPr>
              <w:t>Whanganui</w:t>
            </w:r>
          </w:p>
        </w:tc>
        <w:tc>
          <w:tcPr>
            <w:tcW w:type="dxa" w:w="1134"/>
            <w:shd w:val="clear" w:color="auto" w:fill="FAF9F6"/>
          </w:tcPr>
          <w:p>
            <w:pPr>
              <w:spacing w:after="0" w:line="240" w:lineRule="auto"/>
              <w:jc w:val="right"/>
            </w:pPr>
            <w:r/>
            <w:r>
              <w:rPr>
                <w:b w:val="0"/>
                <w:i w:val="0"/>
                <w:sz w:val="17"/>
              </w:rPr>
              <w:t>92</w:t>
            </w:r>
          </w:p>
        </w:tc>
      </w:tr>
      <w:tr>
        <w:tc>
          <w:tcPr>
            <w:tcW w:type="dxa" w:w="3118"/>
          </w:tcPr>
          <w:p>
            <w:pPr>
              <w:spacing w:after="0" w:line="240" w:lineRule="auto"/>
            </w:pPr>
            <w:r/>
            <w:r>
              <w:rPr>
                <w:b w:val="0"/>
                <w:i w:val="0"/>
                <w:sz w:val="17"/>
              </w:rPr>
              <w:t>Longreach (Makakaho Road)</w:t>
            </w:r>
          </w:p>
        </w:tc>
        <w:tc>
          <w:tcPr>
            <w:tcW w:type="dxa" w:w="3685"/>
          </w:tcPr>
          <w:p>
            <w:pPr>
              <w:spacing w:after="0" w:line="240" w:lineRule="auto"/>
            </w:pPr>
            <w:r/>
            <w:r>
              <w:rPr>
                <w:b w:val="0"/>
                <w:i w:val="0"/>
                <w:sz w:val="17"/>
              </w:rPr>
              <w:t>Castlecliff port, Whanganui</w:t>
            </w:r>
          </w:p>
        </w:tc>
        <w:tc>
          <w:tcPr>
            <w:tcW w:type="dxa" w:w="1134"/>
          </w:tcPr>
          <w:p>
            <w:pPr>
              <w:spacing w:after="0" w:line="240" w:lineRule="auto"/>
              <w:jc w:val="right"/>
            </w:pPr>
            <w:r/>
            <w:r>
              <w:rPr>
                <w:b w:val="0"/>
                <w:i w:val="0"/>
                <w:sz w:val="17"/>
              </w:rPr>
              <w:t>95</w:t>
            </w:r>
          </w:p>
        </w:tc>
      </w:tr>
      <w:tr>
        <w:tc>
          <w:tcPr>
            <w:tcW w:type="dxa" w:w="3118"/>
            <w:shd w:val="clear" w:color="auto" w:fill="FAF9F6"/>
          </w:tcPr>
          <w:p>
            <w:pPr>
              <w:spacing w:after="0" w:line="240" w:lineRule="auto"/>
            </w:pPr>
            <w:r/>
            <w:r>
              <w:rPr>
                <w:b w:val="0"/>
                <w:i w:val="0"/>
                <w:sz w:val="17"/>
              </w:rPr>
              <w:t>Longreach (Makakaho Road)</w:t>
            </w:r>
          </w:p>
        </w:tc>
        <w:tc>
          <w:tcPr>
            <w:tcW w:type="dxa" w:w="3685"/>
            <w:shd w:val="clear" w:color="auto" w:fill="FAF9F6"/>
          </w:tcPr>
          <w:p>
            <w:pPr>
              <w:spacing w:after="0" w:line="240" w:lineRule="auto"/>
            </w:pPr>
            <w:r/>
            <w:r>
              <w:rPr>
                <w:b w:val="0"/>
                <w:i w:val="0"/>
                <w:sz w:val="17"/>
              </w:rPr>
              <w:t>Hāwera</w:t>
            </w:r>
          </w:p>
        </w:tc>
        <w:tc>
          <w:tcPr>
            <w:tcW w:type="dxa" w:w="1134"/>
            <w:shd w:val="clear" w:color="auto" w:fill="FAF9F6"/>
          </w:tcPr>
          <w:p>
            <w:pPr>
              <w:spacing w:after="0" w:line="240" w:lineRule="auto"/>
              <w:jc w:val="right"/>
            </w:pPr>
            <w:r/>
            <w:r>
              <w:rPr>
                <w:b w:val="0"/>
                <w:i w:val="0"/>
                <w:sz w:val="17"/>
              </w:rPr>
              <w:t>113</w:t>
            </w:r>
          </w:p>
        </w:tc>
      </w:tr>
      <w:tr>
        <w:tc>
          <w:tcPr>
            <w:tcW w:type="dxa" w:w="3118"/>
          </w:tcPr>
          <w:p>
            <w:pPr>
              <w:spacing w:after="0" w:line="240" w:lineRule="auto"/>
            </w:pPr>
            <w:r/>
            <w:r>
              <w:rPr>
                <w:b w:val="0"/>
                <w:i w:val="0"/>
                <w:sz w:val="17"/>
              </w:rPr>
              <w:t>Longreach (Makakaho Road)</w:t>
            </w:r>
          </w:p>
        </w:tc>
        <w:tc>
          <w:tcPr>
            <w:tcW w:type="dxa" w:w="3685"/>
          </w:tcPr>
          <w:p>
            <w:pPr>
              <w:spacing w:after="0" w:line="240" w:lineRule="auto"/>
            </w:pPr>
            <w:r/>
            <w:r>
              <w:rPr>
                <w:b w:val="0"/>
                <w:i w:val="0"/>
                <w:sz w:val="17"/>
              </w:rPr>
              <w:t>Stratford</w:t>
            </w:r>
          </w:p>
        </w:tc>
        <w:tc>
          <w:tcPr>
            <w:tcW w:type="dxa" w:w="1134"/>
          </w:tcPr>
          <w:p>
            <w:pPr>
              <w:spacing w:after="0" w:line="240" w:lineRule="auto"/>
              <w:jc w:val="right"/>
            </w:pPr>
            <w:r/>
            <w:r>
              <w:rPr>
                <w:b w:val="0"/>
                <w:i w:val="0"/>
                <w:sz w:val="17"/>
              </w:rPr>
              <w:t>143</w:t>
            </w:r>
          </w:p>
        </w:tc>
      </w:tr>
      <w:tr>
        <w:tc>
          <w:tcPr>
            <w:tcW w:type="dxa" w:w="3118"/>
            <w:shd w:val="clear" w:color="auto" w:fill="FAF9F6"/>
          </w:tcPr>
          <w:p>
            <w:pPr>
              <w:spacing w:after="0" w:line="240" w:lineRule="auto"/>
            </w:pPr>
            <w:r/>
            <w:r>
              <w:rPr>
                <w:b w:val="0"/>
                <w:i w:val="0"/>
                <w:sz w:val="17"/>
              </w:rPr>
              <w:t>Longreach (Makakaho Road)</w:t>
            </w:r>
          </w:p>
        </w:tc>
        <w:tc>
          <w:tcPr>
            <w:tcW w:type="dxa" w:w="3685"/>
            <w:shd w:val="clear" w:color="auto" w:fill="FAF9F6"/>
          </w:tcPr>
          <w:p>
            <w:pPr>
              <w:spacing w:after="0" w:line="240" w:lineRule="auto"/>
            </w:pPr>
            <w:r/>
            <w:r>
              <w:rPr>
                <w:b w:val="0"/>
                <w:i w:val="0"/>
                <w:sz w:val="17"/>
              </w:rPr>
              <w:t>New Plymouth / Port Taranaki</w:t>
            </w:r>
          </w:p>
        </w:tc>
        <w:tc>
          <w:tcPr>
            <w:tcW w:type="dxa" w:w="1134"/>
            <w:shd w:val="clear" w:color="auto" w:fill="FAF9F6"/>
          </w:tcPr>
          <w:p>
            <w:pPr>
              <w:spacing w:after="0" w:line="240" w:lineRule="auto"/>
              <w:jc w:val="right"/>
            </w:pPr>
            <w:r/>
            <w:r>
              <w:rPr>
                <w:b w:val="0"/>
                <w:i w:val="0"/>
                <w:sz w:val="17"/>
              </w:rPr>
              <w:t>188</w:t>
            </w:r>
          </w:p>
        </w:tc>
      </w:tr>
    </w:tbl>
    <w:p>
      <w:pPr>
        <w:spacing w:after="40"/>
      </w:pPr>
    </w:p>
    <w:p>
      <w:r>
        <w:br w:type="page"/>
      </w:r>
    </w:p>
    <w:p>
      <w:pPr>
        <w:pStyle w:val="Heading2"/>
      </w:pPr>
      <w:r>
        <w:t>5.1  Longreach</w:t>
      </w:r>
    </w:p>
    <w:p>
      <w:pPr>
        <w:spacing w:after="120"/>
      </w:pPr>
      <w:r>
        <w:rPr>
          <w:b w:val="0"/>
          <w:i/>
          <w:color w:val="717D4A"/>
        </w:rPr>
        <w:t>Forestry (Pinus radiata) and carbon · permanent forest · native bush and mānuka · open hill grazing</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Forestry (Pinus radiata) and carbon · permanent forest · native bush and mānuka · open hill grazing</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Nirvana Farm Limited (In Receivership)</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1136 and 1022 Makakaho Road, Ngamatapouri</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1,723.14 ha (LINZ calculated 1,706.6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Radiata / exotic 778 ha · Native bush 295 ha · Mānuka / kānuka 288 ha · Open grassland 362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 xml:space="preserve">777 ha planted · 691 ha adequately stocked at April 2026 · 27 ha replant + 59 ha blanking in 2026 · 777 ha adequately stocked after 2026. Planting years: 2024 (777 ha); permanent-forest CAA of 1995 and 1997 radiata (84 ha); 1995–2011 radiata (23 ha) and 1997–2007 indigenous (42 ha) under stock change </w:t>
            </w:r>
            <w:r>
              <w:rPr>
                <w:b/>
                <w:i w:val="0"/>
                <w:color w:val="B01E1E"/>
                <w:sz w:val="17"/>
              </w:rPr>
              <w:t>[TBC – stand records]</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1,400 ha (82%); LUC 6: 306 ha (18%) (LRIS NZLRI 2021). Open land by slope: flat (0–7°) 10 ha · rolling (8–20°) 53 ha · medium hill (21–35°) 149 ha · steep (&gt;35°) 151 ha. Altitude 160–580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Registered: 38 CAAs, 873.2 ha, unit balance 63,819 NZUs (MPI land status reports, NFL 28 Sep 2026 / Makowhai Station Aug 2025). NFL as landowner – Stock change – indigenous: 42.3 ha, 5,272 NZUs (7 CAAs); NFL as landowner – Stock change – pine: 23.1 ha, 6,800 NZUs (7 CAAs); NFL as landowner – Permanent (PP89): 84.2 ha, 49,574 NZUs (1 CAA); NFL as landowner – Averaging – 2024: 723.7 ha, 2,173 NZUs (23 CAAs).</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506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WN24B/478 – Part Maungaporau 1 Shown on Plan B/37 Block (1605.3905 hectares); WN24B/479 – Section 5 Block III Moumahaki Survey District (16.1874 hectares); WNB4/1119 – Lot 1 Deposited Plan 24709 (2.4534 hectares); WNF2/815 – Lot 1 Deposited Plan 27378 (99.1126 hectares). Wellington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 xml:space="preserve">Mortgage to Vitol Asia Pte Ltd (7 June 2023) – to be discharged at settlement; Registered forestry right(s) to Longreach Carbon No 1 Limited, Longreach Carbon No 2 Limited, Longreach Carbon No 3 Limited (registered 2018–2019) </w:t>
            </w:r>
            <w:r>
              <w:rPr>
                <w:b/>
                <w:i w:val="0"/>
                <w:color w:val="B01E1E"/>
                <w:sz w:val="17"/>
              </w:rPr>
              <w:t>[TBC – status, and whether these rights are to be surrendered before settlement]</w:t>
            </w:r>
            <w:r>
              <w:rPr>
                <w:b w:val="0"/>
                <w:i w:val="0"/>
                <w:sz w:val="17"/>
              </w:rPr>
              <w:t xml:space="preserve"> (WN24B/478); Notice(s) under s195(2) Climate Change Response Act 2002 (ETS registration) (WN24B/478, WN24B/479, WNF2/815)</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South Taranaki DC assessment 1241002900 – 1136 Makakaho Road, Ngamatapouri – all four titles (1,723.14 ha): land value $8,200,000, improvements $650,000, capital value $8,850,000; rates $20,799 p.a. (district $17,492 + regional $3,307)</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Road frontage to Makakaho Road. No tracking work required; about 35 ha of the blanking area is isolated by a bluff and needs aerial access. Internal tracks about 17.1 km and formed road 0.1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Six building outlines on the LINZ aerial layer, the largest about 1,600 m² (woolshed / implement shed) with a second shed of about 330 m² and smaller buildings; CBRE carried farm buildings on the block. </w:t>
            </w:r>
            <w:r>
              <w:rPr>
                <w:b/>
                <w:i w:val="0"/>
                <w:color w:val="B01E1E"/>
                <w:sz w:val="17"/>
              </w:rPr>
              <w:t>[TBC – dwelling, condition and occupancy]</w:t>
            </w:r>
          </w:p>
        </w:tc>
      </w:tr>
    </w:tbl>
    <w:p>
      <w:pPr>
        <w:spacing w:after="40"/>
      </w:pPr>
    </w:p>
    <w:p>
      <w:pPr>
        <w:pStyle w:val="Heading3"/>
      </w:pPr>
      <w:r>
        <w:t>Description</w:t>
      </w:r>
    </w:p>
    <w:p>
      <w:r>
        <w:rPr>
          <w:b w:val="0"/>
          <w:i w:val="0"/>
        </w:rPr>
        <w:t>Longreach is the largest Nirvana Farm Limited block and the best-performing young crop in the estate. About 777 ha of Pinus radiata was planted in 2024 across the 1,723 ha property and Stand found high survival throughout, with only 27 ha of replanting and 59 ha of blanking programmed for 2026. A pre-planting cull and constant ongoing pest control have kept pest pressure low, and only maintenance control is needed. The block also carries the estate's most valuable carbon position: an 84 ha permanent-forest accounting area of 1995 and 1997 radiata with a unit balance of about 49,600 NZUs, and a further 65 ha of older pine and regenerating indigenous forest registered under stock change. The balance of the property is native bush, mānuka/kānuka and about 362 ha of open hill country, much of it steep.</w:t>
      </w:r>
    </w:p>
    <w:p>
      <w:pPr>
        <w:pStyle w:val="Heading3"/>
      </w:pPr>
      <w:r>
        <w:t>Points to note</w:t>
      </w:r>
    </w:p>
    <w:p>
      <w:pPr>
        <w:pStyle w:val="ListBullet"/>
        <w:spacing w:after="40"/>
      </w:pPr>
      <w:r>
        <w:rPr>
          <w:b w:val="0"/>
          <w:i w:val="0"/>
        </w:rPr>
        <w:t>Stock have been grazing planted stand 1.03 and should be excluded.</w:t>
      </w:r>
    </w:p>
    <w:p>
      <w:pPr>
        <w:pStyle w:val="ListBullet"/>
        <w:spacing w:after="40"/>
      </w:pPr>
      <w:r>
        <w:rPr>
          <w:b w:val="0"/>
          <w:i w:val="0"/>
        </w:rPr>
        <w:t>Approximately 506 ha of open and scrub land is indicatively ETS-eligible (post-1989 land), subject to MPI determination.</w:t>
      </w:r>
    </w:p>
    <w:p>
      <w:pPr>
        <w:pStyle w:val="Heading3"/>
      </w:pPr>
      <w:r>
        <w:t>Items to confirm</w:t>
      </w:r>
    </w:p>
    <w:p>
      <w:pPr>
        <w:pStyle w:val="ListBullet"/>
        <w:spacing w:after="40"/>
      </w:pPr>
      <w:r>
        <w:rPr>
          <w:b/>
          <w:i w:val="0"/>
          <w:color w:val="B01E1E"/>
        </w:rPr>
        <w:t>[TBC]</w:t>
      </w:r>
      <w:r>
        <w:rPr>
          <w:b w:val="0"/>
          <w:i w:val="0"/>
        </w:rPr>
        <w:t xml:space="preserve"> Stand records for the 1995–2011 plantings and the intended regime (permanent or harvest).</w:t>
      </w:r>
    </w:p>
    <w:p>
      <w:pPr>
        <w:pStyle w:val="ListBullet"/>
        <w:spacing w:after="40"/>
      </w:pPr>
      <w:r>
        <w:rPr>
          <w:b/>
          <w:i w:val="0"/>
          <w:color w:val="B01E1E"/>
        </w:rPr>
        <w:t>[TBC]</w:t>
      </w:r>
      <w:r>
        <w:rPr>
          <w:b w:val="0"/>
          <w:i w:val="0"/>
        </w:rPr>
        <w:t xml:space="preserve"> Improvements on the block (CBRE carried $655,000).</w:t>
      </w:r>
    </w:p>
    <w:p>
      <w:pPr>
        <w:pStyle w:val="ListBullet"/>
        <w:spacing w:after="40"/>
      </w:pPr>
      <w:r>
        <w:rPr>
          <w:b/>
          <w:i w:val="0"/>
          <w:color w:val="B01E1E"/>
        </w:rPr>
        <w:t>[TBC]</w:t>
      </w:r>
      <w:r>
        <w:rPr>
          <w:b w:val="0"/>
          <w:i w:val="0"/>
        </w:rPr>
        <w:t xml:space="preserve"> Whether the 35 ha of bluff-isolated blanking is to be completed or excluded.</w:t>
      </w:r>
    </w:p>
    <w:p>
      <w:pPr>
        <w:sectPr>
          <w:pgSz w:w="11906" w:h="16838"/>
          <w:pgMar w:top="1134" w:right="1134" w:bottom="1020" w:left="1134" w:header="720" w:footer="720" w:gutter="0"/>
          <w:cols w:space="720"/>
          <w:docGrid w:linePitch="360"/>
        </w:sectPr>
      </w:pPr>
    </w:p>
    <w:p>
      <w:pPr>
        <w:spacing w:after="20"/>
      </w:pPr>
      <w:r>
        <w:rPr>
          <w:b/>
          <w:i w:val="0"/>
          <w:color w:val="37441D"/>
          <w:sz w:val="18"/>
        </w:rPr>
        <w:t>Longreach – property map</w:t>
      </w:r>
    </w:p>
    <w:p>
      <w:pPr>
        <w:jc w:val="center"/>
      </w:pPr>
      <w:r>
        <w:drawing>
          <wp:inline xmlns:a="http://schemas.openxmlformats.org/drawingml/2006/main" xmlns:pic="http://schemas.openxmlformats.org/drawingml/2006/picture">
            <wp:extent cx="8784000" cy="6214958"/>
            <wp:docPr id="7" name="Picture 7"/>
            <wp:cNvGraphicFramePr>
              <a:graphicFrameLocks noChangeAspect="1"/>
            </wp:cNvGraphicFramePr>
            <a:graphic>
              <a:graphicData uri="http://schemas.openxmlformats.org/drawingml/2006/picture">
                <pic:pic>
                  <pic:nvPicPr>
                    <pic:cNvPr id="0" name="map_longreach.jpg"/>
                    <pic:cNvPicPr/>
                  </pic:nvPicPr>
                  <pic:blipFill>
                    <a:blip r:embed="rId15"/>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5.2  Back Farm</w:t>
      </w:r>
    </w:p>
    <w:p>
      <w:pPr>
        <w:spacing w:after="120"/>
      </w:pPr>
      <w:r>
        <w:rPr>
          <w:b w:val="0"/>
          <w:i/>
          <w:color w:val="717D4A"/>
        </w:rPr>
        <w:t>Forestry (Pinus radiata) and carbon · permanent forest · native bush and mānuka · open hill grazing</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Forestry (Pinus radiata) and carbon · permanent forest · native bush and mānuka · open hill grazing</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Trustees of the Makowhai Trust – titles in receivership (A Grenfell and K Johnstone, McGrathNicol)</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Mataimoana Road, Waverley (187 Mataimoana Road)</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2,104.37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Radiata / exotic 786 ha · Native bush 565 ha · Mānuka / kānuka 487 ha · Open grassland 264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 xml:space="preserve">785 ha planted · 500 ha adequately stocked at April 2026 · 50 ha replant + 235 ha blanking in 2026 · 785 ha adequately stocked after 2026 · 3.5 ha further plantable. Planting years: 2022 (188 ha) and 2023 (437 ha) under the NFL forestry right; 2022 (144 ha) by Makowhai Station; 1994 radiata (66 ha) and indigenous within permanent-forest CAA 69 </w:t>
            </w:r>
            <w:r>
              <w:rPr>
                <w:b/>
                <w:i w:val="0"/>
                <w:color w:val="B01E1E"/>
                <w:sz w:val="17"/>
              </w:rPr>
              <w:t>[TBC – stand records]</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1,682 ha (80%); LUC 6: 422 ha (20%) (LRIS NZLRI 2021). Open land by slope: flat (0–7°) 19 ha · rolling (8–20°) 40 ha · medium hill (21–35°) 120 ha · steep (&gt;35°) 85 ha. Altitude 140–560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Registered: 42 CAAs, 952.5 ha, unit balance 64,769 NZUs (MPI land status reports, NFL 28 Sep 2026 / Makowhai Station Aug 2025). Makowhai Station – Averaging – 2022: 144.1 ha, 4,371 NZUs (11 CAAs); Makowhai Station – Permanent (PP89): 183.2 ha, 52,466 NZUs (1 CAA); NFL as forestry-right holder – Averaging – 2023: 436.8 ha, 2,862 NZUs (24 CAAs); NFL as forestry-right holder – Averaging – 2022: 188.4 ha, 5,070 NZUs (6 CAAs).</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281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TNA3/681 – Section 2 and Section 4 Block IX Kapara Survey District (212.8646 hectares); TNB4/1080 – Section 1 Block IX Kapara Survey District (121.4057 hectares); TNB4/1081 – Section 4 Block V Kapara Survey District (283.2799 hectares); TNB4/1082 – Section 5 Block V Kapara Survey District (258.1894 hectares); TNB4/1083 – Section 3 Block IX Kapara Survey District (256.9754 hectares); TNE4/125 – Section 6 Block XII Opaku Survey District (142.4493 hectares); TNF3/568 – Section 6 Block V Kapara Survey District (475.1009 hectares); TNH1/1356 – Section 8 Block VI Kapara Survey District (354.0999 hectares).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 registered owners are the trustees of the Makowhai Trust (H R Matthews, J Cain, M J Wallace) – sold by the receivers appointed over the titles</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 xml:space="preserve">Mortgage to Vitol Asia Pte Ltd (7 June 2023) – to be discharged at settlement; Registered forestry right(s) to Makowhai Carbon No 7 Limited (registered 2018–2019) </w:t>
            </w:r>
            <w:r>
              <w:rPr>
                <w:b/>
                <w:i w:val="0"/>
                <w:color w:val="B01E1E"/>
                <w:sz w:val="17"/>
              </w:rPr>
              <w:t>[TBC – status, and whether these rights are to be surrendered before settlement]</w:t>
            </w:r>
            <w:r>
              <w:rPr>
                <w:b w:val="0"/>
                <w:i w:val="0"/>
                <w:sz w:val="17"/>
              </w:rPr>
              <w:t xml:space="preserve"> (TNA3/681, TNB4/1080); Notice(s) under s195(2) Climate Change Response Act 2002 (ETS registration) (TNA3/681, TNB4/1080, TNB4/1081, TNB4/1082, TNB4/1083, TNF3/568, TNH1/1356); Forestry Right 12717687.18 to Nirvana Farm Limited (7 June 2023) over the planted areas – included in the sale; the mortgage of that forestry right to Vitol is to be discharged (TNB4/1080, TNB4/1081, TNB4/1082, TNF3/568, TNH1/1356); QEII National Trust open space covenant (2015) over part (TNB4/1080, TNB4/1082, TNB4/1083); Easements – electricity / telecommunications transmission and water supply (TNB4/1082, TNB4/1083); Sustainable Forest Management permit under s67M Forests Act 1949 (indigenous timber, 2000–2002) (TNB4/1083, TNE4/125, TNF3/568, TNH1/1356); Standard Crown mineral reservations (Petroleum, Mining, Coal Mines, Atomic Energy and Geothermal Energy Acts) (TNH1/1356)</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Rated mainly within one South Taranaki DC unit with Front Farm, the Eastern Block and the Home Block – South Taranaki DC assessment 1241011200 (SUIP B) – 845 Taumatatahi Road, Waitotara – Secs 4–6 Blk V, Secs 1–4 Blk IX, Secs 4, 6, 24–25, Pt Sec 9 Blk VI, Sec 1 Blk X Kapara SD, Makowhai 1A, 1B, 2 Blocks, Lots 2–3 DP 179, Lot 2 DP 413240 (3,830.27 ha): land value $14,450,000, improvements $1,190,000, capital value $15,640,000; rates $35,276 p.a. (district $29,655 + regional $5,621) Plus two stand-alone units: South Taranaki DC assessment 1241009600 – Mataimoana Road, Ngamatapouri (354.10 ha): land value $430,000, improvements $0, capital value $430,000; rates $1,882 p.a. (district $1,590 + regional $291) South Taranaki DC assessment 1245008700 – Okahutiria Road, Waverley (142.45 ha): land value $138,000, improvements $0, capital value $138,000; rates $1,259 p.a. (district $1,067 + regional $192)</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Road frontage to Mataimoana Road. Main track from Mataimoana Road to the woolshed needs minor maintenance; aerial lifting of seedlings and chemical needed for parts of the block. Internal tracks about 9.7 km and formed road 2.7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Woolshed (about 1,000 m²) and yards near the Mataimoana Road entrance with four smaller sheds; Stand note about 3.5 ha of unplanted land around the woolshed. No dwelling recorded. </w:t>
            </w:r>
            <w:r>
              <w:rPr>
                <w:b/>
                <w:i w:val="0"/>
                <w:color w:val="B01E1E"/>
                <w:sz w:val="17"/>
              </w:rPr>
              <w:t>[TBC]</w:t>
            </w:r>
          </w:p>
        </w:tc>
      </w:tr>
    </w:tbl>
    <w:p>
      <w:pPr>
        <w:spacing w:after="40"/>
      </w:pPr>
    </w:p>
    <w:p>
      <w:pPr>
        <w:pStyle w:val="Heading3"/>
      </w:pPr>
      <w:r>
        <w:t>Description</w:t>
      </w:r>
    </w:p>
    <w:p>
      <w:r>
        <w:rPr>
          <w:b w:val="0"/>
          <w:i w:val="0"/>
        </w:rPr>
        <w:t>The largest planted block in the estate and the core of the Makowhai Trust land. Roughly 785 ha of Pinus radiata was established across 2022 and 2023 on the easier faces of a 2,104 ha hill-country holding, with the balance in native bush and regenerating mānuka/kānuka and about 264 ha of open grassland. Stand's April 2026 ground survey found the 2023 plantings growing well and the 2022 areas the weakest, and programmed 50 ha of replanting and 235 ha of blanking for the 2026 season to bring the whole 785 ha back to a stocking above 850 stems/ha. Deer, with some goats and pigs, are present: a culling programme was carried out before planting and constant pest control continues to keep the pressure on them. An older 65 ha stand of 1994 radiata sits within the permanent-forest carbon accounting area on TNA3/681.</w:t>
      </w:r>
    </w:p>
    <w:p>
      <w:pPr>
        <w:pStyle w:val="Heading3"/>
      </w:pPr>
      <w:r>
        <w:t>Points to note</w:t>
      </w:r>
    </w:p>
    <w:p>
      <w:pPr>
        <w:pStyle w:val="ListBullet"/>
        <w:spacing w:after="40"/>
      </w:pPr>
      <w:r>
        <w:rPr>
          <w:b w:val="0"/>
          <w:i w:val="0"/>
        </w:rPr>
        <w:t>Deer, goats and pigs are present; a pre-planting culling programme and ongoing constant pest control keep the pressure on them across the 2026 worked areas.</w:t>
      </w:r>
    </w:p>
    <w:p>
      <w:pPr>
        <w:pStyle w:val="ListBullet"/>
        <w:spacing w:after="40"/>
      </w:pPr>
      <w:r>
        <w:rPr>
          <w:b w:val="0"/>
          <w:i w:val="0"/>
        </w:rPr>
        <w:t>The 2022 plantings carry the lowest survival; the 2023 plantings are performing well.</w:t>
      </w:r>
    </w:p>
    <w:p>
      <w:pPr>
        <w:pStyle w:val="ListBullet"/>
        <w:spacing w:after="40"/>
      </w:pPr>
      <w:r>
        <w:rPr>
          <w:b w:val="0"/>
          <w:i w:val="0"/>
        </w:rPr>
        <w:t>Planted areas are registered by Nirvana Farm Limited under its forestry right over the Makowhai Trust titles, with a further 144 ha registered by Makowhai Station as landowner.</w:t>
      </w:r>
    </w:p>
    <w:p>
      <w:pPr>
        <w:pStyle w:val="Heading3"/>
      </w:pPr>
      <w:r>
        <w:t>Items to confirm</w:t>
      </w:r>
    </w:p>
    <w:p>
      <w:pPr>
        <w:pStyle w:val="ListBullet"/>
        <w:spacing w:after="40"/>
      </w:pPr>
      <w:r>
        <w:rPr>
          <w:b/>
          <w:i w:val="0"/>
          <w:color w:val="B01E1E"/>
        </w:rPr>
        <w:t>[TBC]</w:t>
      </w:r>
      <w:r>
        <w:rPr>
          <w:b w:val="0"/>
          <w:i w:val="0"/>
        </w:rPr>
        <w:t xml:space="preserve"> Completion certificate and survival plots for the 2026 replant/blanking.</w:t>
      </w:r>
    </w:p>
    <w:p>
      <w:pPr>
        <w:pStyle w:val="ListBullet"/>
        <w:spacing w:after="40"/>
      </w:pPr>
      <w:r>
        <w:rPr>
          <w:b/>
          <w:i w:val="0"/>
          <w:color w:val="B01E1E"/>
        </w:rPr>
        <w:t>[TBC]</w:t>
      </w:r>
      <w:r>
        <w:rPr>
          <w:b w:val="0"/>
          <w:i w:val="0"/>
        </w:rPr>
        <w:t xml:space="preserve"> Description of the woolshed and any other improvements (CBRE carried $450,000 of improvements).</w:t>
      </w:r>
    </w:p>
    <w:p>
      <w:pPr>
        <w:pStyle w:val="ListBullet"/>
        <w:spacing w:after="40"/>
      </w:pPr>
      <w:r>
        <w:rPr>
          <w:b/>
          <w:i w:val="0"/>
          <w:color w:val="B01E1E"/>
        </w:rPr>
        <w:t>[TBC]</w:t>
      </w:r>
      <w:r>
        <w:rPr>
          <w:b w:val="0"/>
          <w:i w:val="0"/>
        </w:rPr>
        <w:t xml:space="preserve"> Whether the 65.6 ha 1994 stand is to be harvested or retained as permanent forest.</w:t>
      </w:r>
    </w:p>
    <w:p>
      <w:pPr>
        <w:sectPr>
          <w:pgSz w:w="11906" w:h="16838"/>
          <w:pgMar w:top="1134" w:right="1134" w:bottom="1020" w:left="1134" w:header="720" w:footer="720" w:gutter="0"/>
          <w:cols w:space="720"/>
          <w:docGrid w:linePitch="360"/>
        </w:sectPr>
      </w:pPr>
    </w:p>
    <w:p>
      <w:pPr>
        <w:spacing w:after="20"/>
      </w:pPr>
      <w:r>
        <w:rPr>
          <w:b/>
          <w:i w:val="0"/>
          <w:color w:val="37441D"/>
          <w:sz w:val="18"/>
        </w:rPr>
        <w:t>Back Farm – property map</w:t>
      </w:r>
    </w:p>
    <w:p>
      <w:pPr>
        <w:jc w:val="center"/>
      </w:pPr>
      <w:r>
        <w:drawing>
          <wp:inline xmlns:a="http://schemas.openxmlformats.org/drawingml/2006/main" xmlns:pic="http://schemas.openxmlformats.org/drawingml/2006/picture">
            <wp:extent cx="8784000" cy="6214958"/>
            <wp:docPr id="8" name="Picture 8"/>
            <wp:cNvGraphicFramePr>
              <a:graphicFrameLocks noChangeAspect="1"/>
            </wp:cNvGraphicFramePr>
            <a:graphic>
              <a:graphicData uri="http://schemas.openxmlformats.org/drawingml/2006/picture">
                <pic:pic>
                  <pic:nvPicPr>
                    <pic:cNvPr id="0" name="map_back_farm.jpg"/>
                    <pic:cNvPicPr/>
                  </pic:nvPicPr>
                  <pic:blipFill>
                    <a:blip r:embed="rId16"/>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5.3  Front Farm</w:t>
      </w:r>
    </w:p>
    <w:p>
      <w:pPr>
        <w:spacing w:after="120"/>
      </w:pPr>
      <w:r>
        <w:rPr>
          <w:b w:val="0"/>
          <w:i/>
          <w:color w:val="717D4A"/>
        </w:rPr>
        <w:t>Forestry (Pinus radiata) and carbon · grazing (leased to Pukekahu Farms) · farm buildings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Forestry (Pinus radiata) and carbon · grazing (leased to Pukekahu Farms) · farm buildings</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Trustees of the Makowhai Trust – titles in receivership (A Grenfell and K Johnstone, McGrathNicol)</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779–865 Taumatatahi Road, Ngamatapouri</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502.07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Radiata / exotic 232 ha · Native bush 16 ha · Mānuka / kānuka 27 ha · Open grassland 227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 xml:space="preserve">231 ha planted · 184 ha adequately stocked at April 2026 · 12 ha replant + 35 ha blanking in 2026 · 231 ha adequately stocked after 2026 · 140.0 ha further plantable. Planting years: 2023 (231 ha) </w:t>
            </w:r>
            <w:r>
              <w:rPr>
                <w:b/>
                <w:i w:val="0"/>
                <w:color w:val="B01E1E"/>
                <w:sz w:val="17"/>
              </w:rPr>
              <w:t>[TBC – stand records]</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rolling to easy hill. LUC 4: 278 ha (55%); LUC 7: 185 ha (37%); LUC 6: 39 ha (8%) (LRIS NZLRI 2021). Open land by slope: flat (0–7°) 46 ha · rolling (8–20°) 86 ha · medium hill (21–35°) 72 ha · steep (&gt;35°) 23 ha. Altitude 60–420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Registered: 6 CAAs, 235.8 ha, unit balance 1,766 NZUs (MPI land status reports, NFL 28 Sep 2026 / Makowhai Station Aug 2025). Makowhai Station – Averaging – 2023: 34.0 ha, 262 NZUs (3 CAAs); NFL as forestry-right holder – Averaging – 2023: 201.7 ha, 1,504 NZUs (3 CAAs).</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234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451953 – Lot 2 Deposited Plan 413240 (338.5727 hectares); TNF3/564 – Section 25 Block VI Kapara Survey District (40.4686 hectares); TNF3/565 – Section 24 Block VI Kapara Survey District (45.3248 hectares); TNF3/566 – Section 6 Block VI Kapara Survey District (47.3482 hectares); TNF3/567 – Section 4 Block VI Kapara Survey District (30.3514 hectares).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 registered owners are the trustees of the Makowhai Trust (H R Matthews, J Cain, M J Wallace) – sold by the receivers appointed over the titles</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Mortgage to Vitol Asia Pte Ltd (7 June 2023) – to be discharged at settlement; Forestry Right 12717687.18 to Nirvana Farm Limited (7 June 2023) over the planted areas – included in the sale; the mortgage of that forestry right to Vitol is to be discharged (451953, TNF3/564, TNF3/565, TNF3/567); Notice(s) under s195(2) Climate Change Response Act 2002 (ETS registration) (451953, TNF3/564, TNF3/565, TNF3/567)</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 xml:space="preserve">Rated within one South Taranaki DC unit with Back Farm – South Taranaki DC assessment 1241011200 (SUIP B) – 845 Taumatatahi Road, Waitotara – Secs 4–6 Blk V, Secs 1–4 Blk IX, Secs 4, 6, 24–25, Pt Sec 9 Blk VI, Sec 1 Blk X Kapara SD, Makowhai 1A, 1B, 2 Blocks, Lots 2–3 DP 179, Lot 2 DP 413240 (3,830.27 ha): land value $14,450,000, improvements $1,190,000, capital value $15,640,000; rates $35,276 p.a. (district $29,655 + regional $5,621) No separate rating valuation exists for this block. </w:t>
            </w:r>
            <w:r>
              <w:rPr>
                <w:b/>
                <w:i w:val="0"/>
                <w:color w:val="B01E1E"/>
                <w:sz w:val="17"/>
              </w:rPr>
              <w:t>[TBC – apportionment]</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Title 451953 (338.6 ha) within the Pukekahu Farms grazing lease to 31 December 2029 (rent prepaid); lessee in occupation</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Road frontage to Taumatatahi Road. No tracking work required. Stands 1.01 and 5.01 are reached through the neighbouring Dobson farm on the northern boundary – permission to be obtained. Internal tracks about 6.5 km and formed road 1.4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The main farm complex – nine building outlines including a woolshed / covered yards of about 900 m², a dwelling (about 230–290 m²) and farm sheds; occupied by the lessee (Pukekahu Farms), who maintains the dwellings under the lease. </w:t>
            </w:r>
            <w:r>
              <w:rPr>
                <w:b/>
                <w:i w:val="0"/>
                <w:color w:val="B01E1E"/>
                <w:sz w:val="17"/>
              </w:rPr>
              <w:t>[TBC – number of dwellings, bedrooms, condition]</w:t>
            </w:r>
          </w:p>
        </w:tc>
      </w:tr>
    </w:tbl>
    <w:p>
      <w:pPr>
        <w:spacing w:after="40"/>
      </w:pPr>
    </w:p>
    <w:p>
      <w:pPr>
        <w:pStyle w:val="Heading3"/>
      </w:pPr>
      <w:r>
        <w:t>Description</w:t>
      </w:r>
    </w:p>
    <w:p>
      <w:r>
        <w:rPr>
          <w:b w:val="0"/>
          <w:i w:val="0"/>
        </w:rPr>
        <w:t>The most developed farm in the estate: 502 ha on Taumatatahi Road with the highest proportion of easy contour, about 231 ha of 2023 Pinus radiata and some 227 ha of open pasture, 140 ha of which Stand identified as suitable for new planting. Survival is good overall (184 ha adequately stocked) with stand 1.03 needing 12 ha of replanting and 35 ha of blanking, largely from pest and stock damage – the forest was never release-sprayed during establishment. Stock have been grazing inside the stands and need to be removed. The farm (title 451953, 338.6 ha) is within the Pukekahu Farms grazing lease to 31 December 2029 and is occupied by the lessee; CBRE's improvement value of $855,000 indicates the main farm buildings and a dwelling.</w:t>
      </w:r>
    </w:p>
    <w:p>
      <w:pPr>
        <w:pStyle w:val="Heading3"/>
      </w:pPr>
      <w:r>
        <w:t>Points to note</w:t>
      </w:r>
    </w:p>
    <w:p>
      <w:pPr>
        <w:pStyle w:val="ListBullet"/>
        <w:spacing w:after="40"/>
      </w:pPr>
      <w:r>
        <w:rPr>
          <w:b w:val="0"/>
          <w:i w:val="0"/>
        </w:rPr>
        <w:t>About 140 ha of open ground is plantable (ETS eligibility would depend on the registration ballot).</w:t>
      </w:r>
    </w:p>
    <w:p>
      <w:pPr>
        <w:pStyle w:val="ListBullet"/>
        <w:spacing w:after="40"/>
      </w:pPr>
      <w:r>
        <w:rPr>
          <w:b w:val="0"/>
          <w:i w:val="0"/>
        </w:rPr>
        <w:t>Goats had ring-barked trees in the north of stand 1.01; constant pest control continues to keep the pressure on them. Aerial lifting budget of $3,300 is sufficient.</w:t>
      </w:r>
    </w:p>
    <w:p>
      <w:pPr>
        <w:pStyle w:val="Heading3"/>
      </w:pPr>
      <w:r>
        <w:t>Items to confirm</w:t>
      </w:r>
    </w:p>
    <w:p>
      <w:pPr>
        <w:pStyle w:val="ListBullet"/>
        <w:spacing w:after="40"/>
      </w:pPr>
      <w:r>
        <w:rPr>
          <w:b/>
          <w:i w:val="0"/>
          <w:color w:val="B01E1E"/>
        </w:rPr>
        <w:t>[TBC]</w:t>
      </w:r>
      <w:r>
        <w:rPr>
          <w:b w:val="0"/>
          <w:i w:val="0"/>
        </w:rPr>
        <w:t xml:space="preserve"> Dwelling(s), woolshed, yards and other improvements, and who occupies them.</w:t>
      </w:r>
    </w:p>
    <w:p>
      <w:pPr>
        <w:pStyle w:val="ListBullet"/>
        <w:spacing w:after="40"/>
      </w:pPr>
      <w:r>
        <w:rPr>
          <w:b/>
          <w:i w:val="0"/>
          <w:color w:val="B01E1E"/>
        </w:rPr>
        <w:t>[TBC]</w:t>
      </w:r>
      <w:r>
        <w:rPr>
          <w:b w:val="0"/>
          <w:i w:val="0"/>
        </w:rPr>
        <w:t xml:space="preserve"> Fencing between the leased pasture and the planted stands.</w:t>
      </w:r>
    </w:p>
    <w:p>
      <w:pPr>
        <w:sectPr>
          <w:pgSz w:w="11906" w:h="16838"/>
          <w:pgMar w:top="1134" w:right="1134" w:bottom="1020" w:left="1134" w:header="720" w:footer="720" w:gutter="0"/>
          <w:cols w:space="720"/>
          <w:docGrid w:linePitch="360"/>
        </w:sectPr>
      </w:pPr>
    </w:p>
    <w:p>
      <w:pPr>
        <w:spacing w:after="20"/>
      </w:pPr>
      <w:r>
        <w:rPr>
          <w:b/>
          <w:i w:val="0"/>
          <w:color w:val="37441D"/>
          <w:sz w:val="18"/>
        </w:rPr>
        <w:t>Front Farm – property map</w:t>
      </w:r>
    </w:p>
    <w:p>
      <w:pPr>
        <w:jc w:val="center"/>
      </w:pPr>
      <w:r>
        <w:drawing>
          <wp:inline xmlns:a="http://schemas.openxmlformats.org/drawingml/2006/main" xmlns:pic="http://schemas.openxmlformats.org/drawingml/2006/picture">
            <wp:extent cx="8784000" cy="6214958"/>
            <wp:docPr id="9" name="Picture 9"/>
            <wp:cNvGraphicFramePr>
              <a:graphicFrameLocks noChangeAspect="1"/>
            </wp:cNvGraphicFramePr>
            <a:graphic>
              <a:graphicData uri="http://schemas.openxmlformats.org/drawingml/2006/picture">
                <pic:pic>
                  <pic:nvPicPr>
                    <pic:cNvPr id="0" name="map_front_farm.jpg"/>
                    <pic:cNvPicPr/>
                  </pic:nvPicPr>
                  <pic:blipFill>
                    <a:blip r:embed="rId17"/>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5.4  Eastern Block</w:t>
      </w:r>
    </w:p>
    <w:p>
      <w:pPr>
        <w:spacing w:after="120"/>
      </w:pPr>
      <w:r>
        <w:rPr>
          <w:b w:val="0"/>
          <w:i/>
          <w:color w:val="717D4A"/>
        </w:rPr>
        <w:t>Forestry (Pinus radiata) and carbon · native bush and mānuka · grazing (leased to Pukekahu Farms)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Forestry (Pinus radiata) and carbon · native bush and mānuka · grazing (leased to Pukekahu Farms)</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Trustees of the Makowhai Trust – titles in receivership (A Grenfell and K Johnstone, McGrathNicol)</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776–845 Kapara Road, Ngamatapouri (Makowhai 1A, 1B and 2 Blocks)</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1,071.47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Radiata / exotic 42 ha · Native bush 399 ha · Mānuka / kānuka 325 ha · Open grassland 302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 xml:space="preserve">138 ha planted · 0 ha adequately stocked at April 2026 · 18 ha replant + 20 ha blanking in 2026 · 38 ha adequately stocked after 2026 · 70.0 ha further plantable. Planting years: 2023 (25 ha) and 2024 (86 ha) registered; about 138 ha planted 2023–24 including the failed stand 1.03 </w:t>
            </w:r>
            <w:r>
              <w:rPr>
                <w:b/>
                <w:i w:val="0"/>
                <w:color w:val="B01E1E"/>
                <w:sz w:val="17"/>
              </w:rPr>
              <w:t>[TBC – stand records]</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868 ha (81%); LUC 6: 160 ha (15%); LUC 4: 43 ha (4%) (LRIS NZLRI 2021). Open land by slope: flat (0–7°) 18 ha · rolling (8–20°) 64 ha · medium hill (21–35°) 140 ha · steep (&gt;35°) 80 ha. Altitude 40–500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Registered: 15 CAAs, 111.2 ha, unit balance 259 NZUs (MPI land status reports, NFL 28 Sep 2026 / Makowhai Station Aug 2025). NFL as forestry-right holder – Averaging – 2023: 25.3 ha (4 CAAs); NFL as forestry-right holder – Averaging – 2024: 86.0 ha, 259 NZUs (11 CAAs).</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537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TNB4/1024 – Makowhai 2 Block (6.3232 hectares); TNE3/648 – Makowhai 1A Block (28.0371 hectares); TNE3/649 – Lot 2-3 Deposited Plan 179 and Makowhai 1B Block (1037.1081 hectares).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 registered owners are the trustees of the Makowhai Trust (H R Matthews, J Cain, M J Wallace) – sold by the receivers appointed over the titles</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 xml:space="preserve">Mortgage to Vitol Asia Pte Ltd (7 June 2023) – to be discharged at settlement; Forestry Right 12717687.18 to Nirvana Farm Limited (7 June 2023) over the planted areas – included in the sale; the mortgage of that forestry right to Vitol is to be discharged (TNE3/649); Registered forestry right(s) to Makowhai Carbon No 4 Limited, Makowhai Carbon No 5 Limited, Makowhai Carbon No 6 Limited, Makowhai Carbon No 7 Limited (registered 2018–2019) </w:t>
            </w:r>
            <w:r>
              <w:rPr>
                <w:b/>
                <w:i w:val="0"/>
                <w:color w:val="B01E1E"/>
                <w:sz w:val="17"/>
              </w:rPr>
              <w:t>[TBC – status, and whether these rights are to be surrendered before settlement]</w:t>
            </w:r>
            <w:r>
              <w:rPr>
                <w:b w:val="0"/>
                <w:i w:val="0"/>
                <w:sz w:val="17"/>
              </w:rPr>
              <w:t xml:space="preserve"> (TNE3/649); Sustainable Forest Management permit under s67M Forests Act 1949 (indigenous timber, 2000–2002) (TNE3/649); Notice(s) under s195(2) Climate Change Response Act 2002 (ETS registration) (TNE3/649)</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 xml:space="preserve">Rated within one South Taranaki DC unit with Back Farm – South Taranaki DC assessment 1241011200 (SUIP B) – 845 Taumatatahi Road, Waitotara – Secs 4–6 Blk V, Secs 1–4 Blk IX, Secs 4, 6, 24–25, Pt Sec 9 Blk VI, Sec 1 Blk X Kapara SD, Makowhai 1A, 1B, 2 Blocks, Lots 2–3 DP 179, Lot 2 DP 413240 (3,830.27 ha): land value $14,450,000, improvements $1,190,000, capital value $15,640,000; rates $35,276 p.a. (district $29,655 + regional $5,621) No separate rating valuation exists for this block. </w:t>
            </w:r>
            <w:r>
              <w:rPr>
                <w:b/>
                <w:i w:val="0"/>
                <w:color w:val="B01E1E"/>
                <w:sz w:val="17"/>
              </w:rPr>
              <w:t>[TBC – apportionment]</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Title TNE3/649 (1,037 ha) within the Pukekahu Farms grazing lease to 31 December 2029 (rent prepaid); leased dwelling</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Previously worked through the neighbouring Larson property; the track network through the Matthews/Wallace title is suitable but has a culvert near the end of its life. Access permission needs to be re-secured. Internal tracks about 4.1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One of the two dwellings maintained by the tenant under the Pukekahu Farms lease is on the leased land here or on Front Farm; no building outlines are mapped on the LINZ aerial layer within the titles. </w:t>
            </w:r>
            <w:r>
              <w:rPr>
                <w:b/>
                <w:i w:val="0"/>
                <w:color w:val="B01E1E"/>
                <w:sz w:val="17"/>
              </w:rPr>
              <w:t>[TBC – location and description of the leased dwelling]</w:t>
            </w:r>
          </w:p>
        </w:tc>
      </w:tr>
    </w:tbl>
    <w:p>
      <w:pPr>
        <w:spacing w:after="40"/>
      </w:pPr>
    </w:p>
    <w:p>
      <w:pPr>
        <w:pStyle w:val="Heading3"/>
      </w:pPr>
      <w:r>
        <w:t>Description</w:t>
      </w:r>
    </w:p>
    <w:p>
      <w:r>
        <w:rPr>
          <w:b w:val="0"/>
          <w:i w:val="0"/>
        </w:rPr>
        <w:t>A 1,071 ha hill-country block adjoining Front Farm and the Home Block. About 138 ha was planted in 2023–24, but stand 1.03 has failed to pest damage in heavy scrub and Stand have excluded it from the 2026 programme because of the difficulty of reaching the area and the helicopter-lifting cost; the culling programme carried out before planting and constant ongoing pest control continue on the rest of the block. Stand 1.01 is to be replanted (18 ha) and blanked (20 ha), giving about 38 ha of adequately stocked crop after the 2026 season. The property is predominantly native bush and mānuka/kānuka with roughly 300 ha of open grassland, of which about 70 ha has been identified as plantable new ground. Most of the block (title TNE3/649, 1,037 ha) is within the Pukekahu Farms grazing lease to 31 December 2029 and carries one of the leased dwellings.</w:t>
      </w:r>
    </w:p>
    <w:p>
      <w:pPr>
        <w:pStyle w:val="Heading3"/>
      </w:pPr>
      <w:r>
        <w:t>Points to note</w:t>
      </w:r>
    </w:p>
    <w:p>
      <w:pPr>
        <w:pStyle w:val="ListBullet"/>
        <w:spacing w:after="40"/>
      </w:pPr>
      <w:r>
        <w:rPr>
          <w:b w:val="0"/>
          <w:i w:val="0"/>
        </w:rPr>
        <w:t>Stand 1.03 (about 100 ha) is not being remediated; a purchaser may choose to re-establish it under the ongoing pest-control programme.</w:t>
      </w:r>
    </w:p>
    <w:p>
      <w:pPr>
        <w:pStyle w:val="ListBullet"/>
        <w:spacing w:after="40"/>
      </w:pPr>
      <w:r>
        <w:rPr>
          <w:b w:val="0"/>
          <w:i w:val="0"/>
        </w:rPr>
        <w:t>The Eastern Block lease was granted without the financier's formal consent and could be cleared if required (receivers' advice).</w:t>
      </w:r>
    </w:p>
    <w:p>
      <w:pPr>
        <w:pStyle w:val="ListBullet"/>
        <w:spacing w:after="40"/>
      </w:pPr>
      <w:r>
        <w:rPr>
          <w:b w:val="0"/>
          <w:i w:val="0"/>
        </w:rPr>
        <w:t>About 537 ha of open and scrub land is indicatively ETS-eligible.</w:t>
      </w:r>
    </w:p>
    <w:p>
      <w:pPr>
        <w:pStyle w:val="Heading3"/>
      </w:pPr>
      <w:r>
        <w:t>Items to confirm</w:t>
      </w:r>
    </w:p>
    <w:p>
      <w:pPr>
        <w:pStyle w:val="ListBullet"/>
        <w:spacing w:after="40"/>
      </w:pPr>
      <w:r>
        <w:rPr>
          <w:b/>
          <w:i w:val="0"/>
          <w:color w:val="B01E1E"/>
        </w:rPr>
        <w:t>[TBC]</w:t>
      </w:r>
      <w:r>
        <w:rPr>
          <w:b w:val="0"/>
          <w:i w:val="0"/>
        </w:rPr>
        <w:t xml:space="preserve"> Status of the failed stand 1.03 in the ETS (CAA area and any liability on removal from the register).</w:t>
      </w:r>
    </w:p>
    <w:p>
      <w:pPr>
        <w:pStyle w:val="ListBullet"/>
        <w:spacing w:after="40"/>
      </w:pPr>
      <w:r>
        <w:rPr>
          <w:b/>
          <w:i w:val="0"/>
          <w:color w:val="B01E1E"/>
        </w:rPr>
        <w:t>[TBC]</w:t>
      </w:r>
      <w:r>
        <w:rPr>
          <w:b w:val="0"/>
          <w:i w:val="0"/>
        </w:rPr>
        <w:t xml:space="preserve"> Improvements (CBRE carried $755,000 – dwelling and farm buildings) and the leased dwelling.</w:t>
      </w:r>
    </w:p>
    <w:p>
      <w:pPr>
        <w:pStyle w:val="ListBullet"/>
        <w:spacing w:after="40"/>
      </w:pPr>
      <w:r>
        <w:rPr>
          <w:b/>
          <w:i w:val="0"/>
          <w:color w:val="B01E1E"/>
        </w:rPr>
        <w:t>[TBC]</w:t>
      </w:r>
      <w:r>
        <w:rPr>
          <w:b w:val="0"/>
          <w:i w:val="0"/>
        </w:rPr>
        <w:t xml:space="preserve"> Access arrangement over the Larson property.</w:t>
      </w:r>
    </w:p>
    <w:p>
      <w:pPr>
        <w:sectPr>
          <w:pgSz w:w="11906" w:h="16838"/>
          <w:pgMar w:top="1134" w:right="1134" w:bottom="1020" w:left="1134" w:header="720" w:footer="720" w:gutter="0"/>
          <w:cols w:space="720"/>
          <w:docGrid w:linePitch="360"/>
        </w:sectPr>
      </w:pPr>
    </w:p>
    <w:p>
      <w:pPr>
        <w:spacing w:after="20"/>
      </w:pPr>
      <w:r>
        <w:rPr>
          <w:b/>
          <w:i w:val="0"/>
          <w:color w:val="37441D"/>
          <w:sz w:val="18"/>
        </w:rPr>
        <w:t>Eastern Block – property map</w:t>
      </w:r>
    </w:p>
    <w:p>
      <w:pPr>
        <w:jc w:val="center"/>
      </w:pPr>
      <w:r>
        <w:drawing>
          <wp:inline xmlns:a="http://schemas.openxmlformats.org/drawingml/2006/main" xmlns:pic="http://schemas.openxmlformats.org/drawingml/2006/picture">
            <wp:extent cx="8784000" cy="6214958"/>
            <wp:docPr id="10" name="Picture 10"/>
            <wp:cNvGraphicFramePr>
              <a:graphicFrameLocks noChangeAspect="1"/>
            </wp:cNvGraphicFramePr>
            <a:graphic>
              <a:graphicData uri="http://schemas.openxmlformats.org/drawingml/2006/picture">
                <pic:pic>
                  <pic:nvPicPr>
                    <pic:cNvPr id="0" name="map_eastern_block.jpg"/>
                    <pic:cNvPicPr/>
                  </pic:nvPicPr>
                  <pic:blipFill>
                    <a:blip r:embed="rId18"/>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5.5  Home Block</w:t>
      </w:r>
    </w:p>
    <w:p>
      <w:pPr>
        <w:spacing w:after="120"/>
      </w:pPr>
      <w:r>
        <w:rPr>
          <w:b w:val="0"/>
          <w:i/>
          <w:color w:val="717D4A"/>
        </w:rPr>
        <w:t>Native bush and mānuka (honey) · carbon (indigenous) · open hill grazing</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Native bush and mānuka (honey) · carbon (indigenous) · open hill grazing</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Trustees of the Makowhai Trust – titles in receivership (A Grenfell and K Johnstone, McGrathNicol)</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776–845 Kapara Road, Ngamatapouri</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1,165.17 ha (LINZ calculated 1,168.6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Native bush 673 ha · Mānuka / kānuka 418 ha · Open grassland 74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No radiata crop</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1,054 ha (90%); LUC 6: 115 ha (10%) (LRIS NZLRI 2021). Open land by slope: flat (0–7°) 5 ha · rolling (8–20°) 16 ha · medium hill (21–35°) 34 ha · steep (&gt;35°) 19 ha. Altitude 100–500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No carbon accounting areas registered on the block</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260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TN119/223 – Part Section 9 Block VI Kapara Survey District (687.6368 hectares); TNE3/650 – Section 1 Block X Kapara Survey District (477.5290 hectares).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 registered owners are the trustees of the Makowhai Trust (H R Matthews, J Cain, M J Wallace) – sold by the receivers appointed over the titles</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 xml:space="preserve">Mortgage to Vitol Asia Pte Ltd (7 June 2023) – to be discharged at settlement; Registered forestry right(s) to Makowhai Carbon No 1 Limited, Makowhai Carbon No 2 Limited, Makowhai Carbon No 3 Limited, Makowhai Carbon No 6 Limited, Makowhai Carbon No 7 Limited (registered 2018–2019) </w:t>
            </w:r>
            <w:r>
              <w:rPr>
                <w:b/>
                <w:i w:val="0"/>
                <w:color w:val="B01E1E"/>
                <w:sz w:val="17"/>
              </w:rPr>
              <w:t>[TBC – status, and whether these rights are to be surrendered before settlement]</w:t>
            </w:r>
            <w:r>
              <w:rPr>
                <w:b w:val="0"/>
                <w:i w:val="0"/>
                <w:sz w:val="17"/>
              </w:rPr>
              <w:t xml:space="preserve"> (TN119/223); QEII National Trust open space covenant (2015) over part; Sustainable Forest Management permit under s67M Forests Act 1949 (indigenous timber, 2000–2002); Notice(s) under s195(2) Climate Change Response Act 2002 (ETS registration); Registered forestry right(s) to Makowhai Carbon No 1 Limited, Makowhai Carbon No 2 Limited, Makowhai Carbon No 3 Limited (registered 2018–2019) </w:t>
            </w:r>
            <w:r>
              <w:rPr>
                <w:b/>
                <w:i w:val="0"/>
                <w:color w:val="B01E1E"/>
                <w:sz w:val="17"/>
              </w:rPr>
              <w:t>[TBC – status, and whether these rights are to be surrendered before settlement]</w:t>
            </w:r>
            <w:r>
              <w:rPr>
                <w:b w:val="0"/>
                <w:i w:val="0"/>
                <w:sz w:val="17"/>
              </w:rPr>
              <w:t xml:space="preserve"> (TNE3/650)</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 xml:space="preserve">Rated within one South Taranaki DC unit with Back Farm – South Taranaki DC assessment 1241011200 (SUIP B) – 845 Taumatatahi Road, Waitotara – Secs 4–6 Blk V, Secs 1–4 Blk IX, Secs 4, 6, 24–25, Pt Sec 9 Blk VI, Sec 1 Blk X Kapara SD, Makowhai 1A, 1B, 2 Blocks, Lots 2–3 DP 179, Lot 2 DP 413240 (3,830.27 ha): land value $14,450,000, improvements $1,190,000, capital value $15,640,000; rates $35,276 p.a. (district $29,655 + regional $5,621) No separate rating valuation exists for this block. </w:t>
            </w:r>
            <w:r>
              <w:rPr>
                <w:b/>
                <w:i w:val="0"/>
                <w:color w:val="B01E1E"/>
                <w:sz w:val="17"/>
              </w:rPr>
              <w:t>[TBC – apportionment]</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 xml:space="preserve">Kapara Road frontage </w:t>
            </w:r>
            <w:r>
              <w:rPr>
                <w:b/>
                <w:i w:val="0"/>
                <w:color w:val="B01E1E"/>
                <w:sz w:val="17"/>
              </w:rPr>
              <w:t>[TBC]</w:t>
            </w:r>
            <w:r>
              <w:rPr>
                <w:b w:val="0"/>
                <w:i w:val="0"/>
                <w:sz w:val="17"/>
              </w:rPr>
              <w:t>. Internal tracks about 12.2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One small building outline (about 50 m²); no dwelling recorded. The former owner's residence is understood to be outside the sale titles. </w:t>
            </w:r>
            <w:r>
              <w:rPr>
                <w:b/>
                <w:i w:val="0"/>
                <w:color w:val="B01E1E"/>
                <w:sz w:val="17"/>
              </w:rPr>
              <w:t>[TBC]</w:t>
            </w:r>
          </w:p>
        </w:tc>
      </w:tr>
    </w:tbl>
    <w:p>
      <w:pPr>
        <w:spacing w:after="40"/>
      </w:pPr>
    </w:p>
    <w:p>
      <w:pPr>
        <w:pStyle w:val="Heading3"/>
      </w:pPr>
      <w:r>
        <w:t>Description</w:t>
      </w:r>
    </w:p>
    <w:p>
      <w:r>
        <w:rPr>
          <w:b w:val="0"/>
          <w:i w:val="0"/>
        </w:rPr>
        <w:t>Two titles of 1,165 ha between Front Farm and the Eastern Block: 673 ha of native bush, 418 ha of mānuka/kānuka and about 74 ha of open ground. About 260 ha of the scrub and grassland is indicatively post-1989 and potentially ETS-eligible. CBRE carried $275,000 of improvements. The private residence occupied by the former owner is understood not to be on the land being sold.</w:t>
      </w:r>
    </w:p>
    <w:p>
      <w:pPr>
        <w:pStyle w:val="Heading3"/>
      </w:pPr>
      <w:r>
        <w:t>Points to note</w:t>
      </w:r>
    </w:p>
    <w:p>
      <w:pPr>
        <w:pStyle w:val="ListBullet"/>
        <w:spacing w:after="40"/>
      </w:pPr>
      <w:r>
        <w:rPr>
          <w:b w:val="0"/>
          <w:i w:val="0"/>
        </w:rPr>
        <w:t>No Pinus radiata on the block.</w:t>
      </w:r>
    </w:p>
    <w:p>
      <w:pPr>
        <w:pStyle w:val="Heading3"/>
      </w:pPr>
      <w:r>
        <w:t>Items to confirm</w:t>
      </w:r>
    </w:p>
    <w:p>
      <w:pPr>
        <w:pStyle w:val="ListBullet"/>
        <w:spacing w:after="40"/>
      </w:pPr>
      <w:r>
        <w:rPr>
          <w:b/>
          <w:i w:val="0"/>
          <w:color w:val="B01E1E"/>
        </w:rPr>
        <w:t>[TBC]</w:t>
      </w:r>
      <w:r>
        <w:rPr>
          <w:b w:val="0"/>
          <w:i w:val="0"/>
        </w:rPr>
        <w:t xml:space="preserve"> Improvements and occupancy; confirm the former owner's residence is outside the sale titles.</w:t>
      </w:r>
    </w:p>
    <w:p>
      <w:pPr>
        <w:sectPr>
          <w:pgSz w:w="11906" w:h="16838"/>
          <w:pgMar w:top="1134" w:right="1134" w:bottom="1020" w:left="1134" w:header="720" w:footer="720" w:gutter="0"/>
          <w:cols w:space="720"/>
          <w:docGrid w:linePitch="360"/>
        </w:sectPr>
      </w:pPr>
    </w:p>
    <w:p>
      <w:pPr>
        <w:spacing w:after="20"/>
      </w:pPr>
      <w:r>
        <w:rPr>
          <w:b/>
          <w:i w:val="0"/>
          <w:color w:val="37441D"/>
          <w:sz w:val="18"/>
        </w:rPr>
        <w:t>Home Block – property map</w:t>
      </w:r>
    </w:p>
    <w:p>
      <w:pPr>
        <w:jc w:val="center"/>
      </w:pPr>
      <w:r>
        <w:drawing>
          <wp:inline xmlns:a="http://schemas.openxmlformats.org/drawingml/2006/main" xmlns:pic="http://schemas.openxmlformats.org/drawingml/2006/picture">
            <wp:extent cx="8784000" cy="6214958"/>
            <wp:docPr id="11" name="Picture 11"/>
            <wp:cNvGraphicFramePr>
              <a:graphicFrameLocks noChangeAspect="1"/>
            </wp:cNvGraphicFramePr>
            <a:graphic>
              <a:graphicData uri="http://schemas.openxmlformats.org/drawingml/2006/picture">
                <pic:pic>
                  <pic:nvPicPr>
                    <pic:cNvPr id="0" name="map_home_block.jpg"/>
                    <pic:cNvPicPr/>
                  </pic:nvPicPr>
                  <pic:blipFill>
                    <a:blip r:embed="rId19"/>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5.6  Ernies</w:t>
      </w:r>
    </w:p>
    <w:p>
      <w:pPr>
        <w:spacing w:after="120"/>
      </w:pPr>
      <w:r>
        <w:rPr>
          <w:b w:val="0"/>
          <w:i/>
          <w:color w:val="717D4A"/>
        </w:rPr>
        <w:t>Mānuka and native bush (honey) · carbon (indigenous) · open hill grazing</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Mānuka and native bush (honey) · carbon (indigenous) · open hill grazing</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Trustees of the Makowhai Trust – titles in receivership (A Grenfell and K Johnstone, McGrathNicol)</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Sections 2–20 Moewatea Road, Ngamatapouri</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1,626.37 ha (LINZ calculated 1,624.4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Native bush 546 ha · Mānuka / kānuka 950 ha · Open grassland 130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No radiata crop</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1,515 ha (93%); LUC 6: 110 ha (7%) (LRIS NZLRI 2021). Open land by slope: flat (0–7°) 20 ha · rolling (8–20°) 46 ha · medium hill (21–35°) 48 ha · steep (&gt;35°) 17 ha. Altitude 60–460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Registered: 2 CAAs, 120.9 ha, unit balance 13,159 NZUs (MPI land status reports, NFL 28 Sep 2026 / Makowhai Station Aug 2025). Makowhai Station – Stock change – indigenous: 120.9 ha, 13,159 NZUs (2 CAAs).</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688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421910 – Lot 2 Deposited Plan 406242 and Section 12 Block VIII Opaku Survey District (352.8488 hectares); TN175/43 – Section 2 Block IV Opaku Survey District (239.2704 hectares); TN175/44 – Subdivision 1 Section 3 Block IV Opaku Survey District and Subdivision 1 Section 10 Block IV Opaku Survey District (216.0010 hectares); TNH4/190 – Section 16-18 Block IV Opaku Survey District (138.1466 hectares); TNJ2/204 – Section 19-20 Block IV Opaku Survey District and Section 15 Block VIII Opaku Survey District (172.1916 hectares); TNJ2/714 – Section 5, Section 12 and Section 14 Block IV Opaku Survey District (507.9107 hectares).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 registered owners are the trustees of the Makowhai Trust (H R Matthews, J Cain, M J Wallace) – sold by the receivers appointed over the titles</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 xml:space="preserve">Mortgage to Vitol Asia Pte Ltd (7 June 2023) – to be discharged at settlement; Registered forestry right(s) to Angiwhai Carbon No 1 Limited, Angiwhai Carbon No 2 Limited, Angiwhai Carbon No 3 Limited (registered 2018–2019) </w:t>
            </w:r>
            <w:r>
              <w:rPr>
                <w:b/>
                <w:i w:val="0"/>
                <w:color w:val="B01E1E"/>
                <w:sz w:val="17"/>
              </w:rPr>
              <w:t>[TBC – status, and whether these rights are to be surrendered before settlement]</w:t>
            </w:r>
            <w:r>
              <w:rPr>
                <w:b w:val="0"/>
                <w:i w:val="0"/>
                <w:sz w:val="17"/>
              </w:rPr>
              <w:t xml:space="preserve"> (421910, TNJ2/204); Notice(s) under s195(2) Climate Change Response Act 2002 (ETS registration); Registered forestry right(s) to Angiwhai Carbon No 3 Limited, Angiwhai Carbon No 4 Limited, Angiwhai Carbon No 5 Limited (registered 2018–2019) </w:t>
            </w:r>
            <w:r>
              <w:rPr>
                <w:b/>
                <w:i w:val="0"/>
                <w:color w:val="B01E1E"/>
                <w:sz w:val="17"/>
              </w:rPr>
              <w:t>[TBC – status, and whether these rights are to be surrendered before settlement]</w:t>
            </w:r>
            <w:r>
              <w:rPr>
                <w:b w:val="0"/>
                <w:i w:val="0"/>
                <w:sz w:val="17"/>
              </w:rPr>
              <w:t xml:space="preserve"> (TN175/43); Registered forestry right(s) to Angiwhai Carbon No 6 Limited (registered 2018–2019) </w:t>
            </w:r>
            <w:r>
              <w:rPr>
                <w:b/>
                <w:i w:val="0"/>
                <w:color w:val="B01E1E"/>
                <w:sz w:val="17"/>
              </w:rPr>
              <w:t>[TBC – status, and whether these rights are to be surrendered before settlement]</w:t>
            </w:r>
            <w:r>
              <w:rPr>
                <w:b w:val="0"/>
                <w:i w:val="0"/>
                <w:sz w:val="17"/>
              </w:rPr>
              <w:t xml:space="preserve"> (TN175/44); Sustainable Forest Management permit under s67M Forests Act 1949 (indigenous timber, 2000–2002) (TN175/44, TNH4/190, TNJ2/204, TNJ2/714); Registered forestry right(s) to Angiwhai Carbon No 2 Limited, Angiwhai Carbon No 3 Limited, Angiwhai Carbon No 4 Limited (registered 2018–2019) </w:t>
            </w:r>
            <w:r>
              <w:rPr>
                <w:b/>
                <w:i w:val="0"/>
                <w:color w:val="B01E1E"/>
                <w:sz w:val="17"/>
              </w:rPr>
              <w:t>[TBC – status, and whether these rights are to be surrendered before settlement]</w:t>
            </w:r>
            <w:r>
              <w:rPr>
                <w:b w:val="0"/>
                <w:i w:val="0"/>
                <w:sz w:val="17"/>
              </w:rPr>
              <w:t xml:space="preserve"> (TNH4/190); Registered forestry right(s) to Angiwhai Carbon No 4 Limited, Angiwhai Carbon No 5 Limited (registered 2018–2019) </w:t>
            </w:r>
            <w:r>
              <w:rPr>
                <w:b/>
                <w:i w:val="0"/>
                <w:color w:val="B01E1E"/>
                <w:sz w:val="17"/>
              </w:rPr>
              <w:t>[TBC – status, and whether these rights are to be surrendered before settlement]</w:t>
            </w:r>
            <w:r>
              <w:rPr>
                <w:b w:val="0"/>
                <w:i w:val="0"/>
                <w:sz w:val="17"/>
              </w:rPr>
              <w:t xml:space="preserve"> (TNJ2/714)</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 xml:space="preserve">South Taranaki DC assessment 1245009700 – Moeawatea Road – Opaku Block IV sections and Lot 2 DP 406242 </w:t>
            </w:r>
            <w:r>
              <w:rPr>
                <w:b/>
                <w:i w:val="0"/>
                <w:color w:val="B01E1E"/>
                <w:sz w:val="17"/>
              </w:rPr>
              <w:t>[TBC – legal description truncated in the database]</w:t>
            </w:r>
            <w:r>
              <w:rPr>
                <w:b w:val="0"/>
                <w:i w:val="0"/>
                <w:sz w:val="17"/>
              </w:rPr>
              <w:t xml:space="preserve"> (1,626.37 ha): land value $6,000,000, improvements $75,000, capital value $6,075,000; rates $15,848 p.a. (district $13,342 + regional $2,506)</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 xml:space="preserve">Moewatea Road frontage </w:t>
            </w:r>
            <w:r>
              <w:rPr>
                <w:b/>
                <w:i w:val="0"/>
                <w:color w:val="B01E1E"/>
                <w:sz w:val="17"/>
              </w:rPr>
              <w:t>[TBC]</w:t>
            </w:r>
            <w:r>
              <w:rPr>
                <w:b w:val="0"/>
                <w:i w:val="0"/>
                <w:sz w:val="17"/>
              </w:rPr>
              <w:t>. Internal tracks about 4.3 km and formed road 0.6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Four building outlines (about 130, 110, 45 and 17 m²) – sheds and a possible cottage on Moewatea Road; CBRE carried farm improvements on the block. </w:t>
            </w:r>
            <w:r>
              <w:rPr>
                <w:b/>
                <w:i w:val="0"/>
                <w:color w:val="B01E1E"/>
                <w:sz w:val="17"/>
              </w:rPr>
              <w:t>[TBC – description and occupancy]</w:t>
            </w:r>
          </w:p>
        </w:tc>
      </w:tr>
    </w:tbl>
    <w:p>
      <w:pPr>
        <w:spacing w:after="40"/>
      </w:pPr>
    </w:p>
    <w:p>
      <w:pPr>
        <w:pStyle w:val="Heading3"/>
      </w:pPr>
      <w:r>
        <w:t>Description</w:t>
      </w:r>
    </w:p>
    <w:p>
      <w:r>
        <w:rPr>
          <w:b w:val="0"/>
          <w:i w:val="0"/>
        </w:rPr>
        <w:t>A 1,626 ha mānuka/kānuka and native bush block west of the Home Block, historically run for honey production. About 950 ha is regenerating mānuka/kānuka and 546 ha mature native forest, with 130 ha of open ground. Two carbon accounting areas of regenerating indigenous forest (121 ha) are registered by Makowhai Station with a unit balance of about 13,200 NZUs, and roughly 690 ha of the scrub and grassland is indicatively post-1989 and therefore potentially ETS-eligible – the largest eligible area of any block. CBRE carried $500,000 of improvements.</w:t>
      </w:r>
    </w:p>
    <w:p>
      <w:pPr>
        <w:pStyle w:val="Heading3"/>
      </w:pPr>
      <w:r>
        <w:t>Points to note</w:t>
      </w:r>
    </w:p>
    <w:p>
      <w:pPr>
        <w:pStyle w:val="ListBullet"/>
        <w:spacing w:after="40"/>
      </w:pPr>
      <w:r>
        <w:rPr>
          <w:b w:val="0"/>
          <w:i w:val="0"/>
        </w:rPr>
        <w:t>No Pinus radiata on the block.</w:t>
      </w:r>
    </w:p>
    <w:p>
      <w:pPr>
        <w:pStyle w:val="ListBullet"/>
        <w:spacing w:after="40"/>
      </w:pPr>
      <w:r>
        <w:rPr>
          <w:b w:val="0"/>
          <w:i w:val="0"/>
        </w:rPr>
        <w:t>The largest indicatively ETS-eligible area in the estate (about 688 ha, MPI to determine).</w:t>
      </w:r>
    </w:p>
    <w:p>
      <w:pPr>
        <w:pStyle w:val="Heading3"/>
      </w:pPr>
      <w:r>
        <w:t>Items to confirm</w:t>
      </w:r>
    </w:p>
    <w:p>
      <w:pPr>
        <w:pStyle w:val="ListBullet"/>
        <w:spacing w:after="40"/>
      </w:pPr>
      <w:r>
        <w:rPr>
          <w:b/>
          <w:i w:val="0"/>
          <w:color w:val="B01E1E"/>
        </w:rPr>
        <w:t>[TBC]</w:t>
      </w:r>
      <w:r>
        <w:rPr>
          <w:b w:val="0"/>
          <w:i w:val="0"/>
        </w:rPr>
        <w:t xml:space="preserve"> Improvements and any dwelling/occupancy.</w:t>
      </w:r>
    </w:p>
    <w:p>
      <w:pPr>
        <w:pStyle w:val="ListBullet"/>
        <w:spacing w:after="40"/>
      </w:pPr>
      <w:r>
        <w:rPr>
          <w:b/>
          <w:i w:val="0"/>
          <w:color w:val="B01E1E"/>
        </w:rPr>
        <w:t>[TBC]</w:t>
      </w:r>
      <w:r>
        <w:rPr>
          <w:b w:val="0"/>
          <w:i w:val="0"/>
        </w:rPr>
        <w:t xml:space="preserve"> Legal and physical access.</w:t>
      </w:r>
    </w:p>
    <w:p>
      <w:pPr>
        <w:sectPr>
          <w:pgSz w:w="11906" w:h="16838"/>
          <w:pgMar w:top="1134" w:right="1134" w:bottom="1020" w:left="1134" w:header="720" w:footer="720" w:gutter="0"/>
          <w:cols w:space="720"/>
          <w:docGrid w:linePitch="360"/>
        </w:sectPr>
      </w:pPr>
    </w:p>
    <w:p>
      <w:pPr>
        <w:spacing w:after="20"/>
      </w:pPr>
      <w:r>
        <w:rPr>
          <w:b/>
          <w:i w:val="0"/>
          <w:color w:val="37441D"/>
          <w:sz w:val="18"/>
        </w:rPr>
        <w:t>Ernies – property map</w:t>
      </w:r>
    </w:p>
    <w:p>
      <w:pPr>
        <w:jc w:val="center"/>
      </w:pPr>
      <w:r>
        <w:drawing>
          <wp:inline xmlns:a="http://schemas.openxmlformats.org/drawingml/2006/main" xmlns:pic="http://schemas.openxmlformats.org/drawingml/2006/picture">
            <wp:extent cx="8784000" cy="6214958"/>
            <wp:docPr id="12" name="Picture 12"/>
            <wp:cNvGraphicFramePr>
              <a:graphicFrameLocks noChangeAspect="1"/>
            </wp:cNvGraphicFramePr>
            <a:graphic>
              <a:graphicData uri="http://schemas.openxmlformats.org/drawingml/2006/picture">
                <pic:pic>
                  <pic:nvPicPr>
                    <pic:cNvPr id="0" name="map_ernies.jpg"/>
                    <pic:cNvPicPr/>
                  </pic:nvPicPr>
                  <pic:blipFill>
                    <a:blip r:embed="rId20"/>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5.7  Karapara</w:t>
      </w:r>
    </w:p>
    <w:p>
      <w:pPr>
        <w:spacing w:after="120"/>
      </w:pPr>
      <w:r>
        <w:rPr>
          <w:b w:val="0"/>
          <w:i/>
          <w:color w:val="717D4A"/>
        </w:rPr>
        <w:t>Native bush and mānuka (honey, conservation)</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Native bush and mānuka (honey, conservation)</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Trustees of the Makowhai Trust – titles in receivership (A Grenfell and K Johnstone, McGrathNicol)</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1, 3 and 4A Waitotara Valley Road</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1,317.71 ha (LINZ calculated 1,310.7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Native bush 677 ha · Mānuka / kānuka 612 ha · Open grassland 29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No radiata crop</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1,163 ha (89%); LUC 6: 148 ha (11%) (LRIS NZLRI 2021). Open land by slope: flat (0–7°) 2 ha · rolling (8–20°) 6 ha · medium hill (21–35°) 14 ha · steep (&gt;35°) 7 ha. Altitude 80–460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No carbon accounting areas registered on the block</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3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TN227/30 – Section 1 Block I Kapara Survey District (765.3162 hectares); TN227/31 – Section 3 Block I Kapara Survey District (546.3256 hectares); TN227/32 – Section 4A Block I Kapara Survey District (6.0703 hectares).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 registered owners are the trustees of the Makowhai Trust (H R Matthews, J Cain, M J Wallace) – sold by the receivers appointed over the titles</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Mortgage to Vitol Asia Pte Ltd (7 June 2023) – to be discharged at settlement; Sustainable Forest Management permit under s67M Forests Act 1949 (indigenous timber, 2000–2002) (TN227/31)</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South Taranaki DC assessment 1241007600 – 187 Mataimoana Road, Waverley (council address) – Secs 1, 3, 4A Blk I Kapara SD (1,317.71 ha): land value $3,300,000, improvements $82,000, capital value $3,382,000; rates $8,176 p.a. (district $6,878 + regional $1,298)</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 xml:space="preserve">Waitotara Valley Road frontage </w:t>
            </w:r>
            <w:r>
              <w:rPr>
                <w:b/>
                <w:i w:val="0"/>
                <w:color w:val="B01E1E"/>
                <w:sz w:val="17"/>
              </w:rPr>
              <w:t>[TBC]</w:t>
            </w:r>
            <w:r>
              <w:rPr>
                <w:b w:val="0"/>
                <w:i w:val="0"/>
                <w:sz w:val="17"/>
              </w:rPr>
              <w:t>. Internal tracks about 10.5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No building outlines mapped within the titles; CBRE carried improvements (likely yards, fencing and tracks). </w:t>
            </w:r>
            <w:r>
              <w:rPr>
                <w:b/>
                <w:i w:val="0"/>
                <w:color w:val="B01E1E"/>
                <w:sz w:val="17"/>
              </w:rPr>
              <w:t>[TBC]</w:t>
            </w:r>
          </w:p>
        </w:tc>
      </w:tr>
    </w:tbl>
    <w:p>
      <w:pPr>
        <w:spacing w:after="40"/>
      </w:pPr>
    </w:p>
    <w:p>
      <w:pPr>
        <w:pStyle w:val="Heading3"/>
      </w:pPr>
      <w:r>
        <w:t>Description</w:t>
      </w:r>
    </w:p>
    <w:p>
      <w:r>
        <w:rPr>
          <w:b w:val="0"/>
          <w:i w:val="0"/>
        </w:rPr>
        <w:t>A 1,318 ha block that is almost entirely native bush (677 ha) and regenerating mānuka/kānuka (612 ha), with under 30 ha of open ground. It is a honey and conservation block rather than a development property, and almost none of it is indicatively ETS-eligible as post-1989 land. CBRE carried $400,000 of improvements.</w:t>
      </w:r>
    </w:p>
    <w:p>
      <w:pPr>
        <w:pStyle w:val="Heading3"/>
      </w:pPr>
      <w:r>
        <w:t>Points to note</w:t>
      </w:r>
    </w:p>
    <w:p>
      <w:pPr>
        <w:pStyle w:val="ListBullet"/>
        <w:spacing w:after="40"/>
      </w:pPr>
      <w:r>
        <w:rPr>
          <w:b w:val="0"/>
          <w:i w:val="0"/>
        </w:rPr>
        <w:t>No Pinus radiata on the block.</w:t>
      </w:r>
    </w:p>
    <w:p>
      <w:pPr>
        <w:pStyle w:val="Heading3"/>
      </w:pPr>
      <w:r>
        <w:t>Items to confirm</w:t>
      </w:r>
    </w:p>
    <w:p>
      <w:pPr>
        <w:pStyle w:val="ListBullet"/>
        <w:spacing w:after="40"/>
      </w:pPr>
      <w:r>
        <w:rPr>
          <w:b/>
          <w:i w:val="0"/>
          <w:color w:val="B01E1E"/>
        </w:rPr>
        <w:t>[TBC]</w:t>
      </w:r>
      <w:r>
        <w:rPr>
          <w:b w:val="0"/>
          <w:i w:val="0"/>
        </w:rPr>
        <w:t xml:space="preserve"> Improvements and occupancy.</w:t>
      </w:r>
    </w:p>
    <w:p>
      <w:pPr>
        <w:pStyle w:val="ListBullet"/>
        <w:spacing w:after="40"/>
      </w:pPr>
      <w:r>
        <w:rPr>
          <w:b/>
          <w:i w:val="0"/>
          <w:color w:val="B01E1E"/>
        </w:rPr>
        <w:t>[TBC]</w:t>
      </w:r>
      <w:r>
        <w:rPr>
          <w:b w:val="0"/>
          <w:i w:val="0"/>
        </w:rPr>
        <w:t xml:space="preserve"> Legal access.</w:t>
      </w:r>
    </w:p>
    <w:p>
      <w:pPr>
        <w:sectPr>
          <w:pgSz w:w="11906" w:h="16838"/>
          <w:pgMar w:top="1134" w:right="1134" w:bottom="1020" w:left="1134" w:header="720" w:footer="720" w:gutter="0"/>
          <w:cols w:space="720"/>
          <w:docGrid w:linePitch="360"/>
        </w:sectPr>
      </w:pPr>
    </w:p>
    <w:p>
      <w:pPr>
        <w:spacing w:after="20"/>
      </w:pPr>
      <w:r>
        <w:rPr>
          <w:b/>
          <w:i w:val="0"/>
          <w:color w:val="37441D"/>
          <w:sz w:val="18"/>
        </w:rPr>
        <w:t>Karapara – property map</w:t>
      </w:r>
    </w:p>
    <w:p>
      <w:pPr>
        <w:jc w:val="center"/>
      </w:pPr>
      <w:r>
        <w:drawing>
          <wp:inline xmlns:a="http://schemas.openxmlformats.org/drawingml/2006/main" xmlns:pic="http://schemas.openxmlformats.org/drawingml/2006/picture">
            <wp:extent cx="8784000" cy="6214958"/>
            <wp:docPr id="13" name="Picture 13"/>
            <wp:cNvGraphicFramePr>
              <a:graphicFrameLocks noChangeAspect="1"/>
            </wp:cNvGraphicFramePr>
            <a:graphic>
              <a:graphicData uri="http://schemas.openxmlformats.org/drawingml/2006/picture">
                <pic:pic>
                  <pic:nvPicPr>
                    <pic:cNvPr id="0" name="map_karapara.jpg"/>
                    <pic:cNvPicPr/>
                  </pic:nvPicPr>
                  <pic:blipFill>
                    <a:blip r:embed="rId21"/>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5.8  Workers House</w:t>
      </w:r>
    </w:p>
    <w:p>
      <w:pPr>
        <w:spacing w:after="120"/>
      </w:pPr>
      <w:r>
        <w:rPr>
          <w:b w:val="0"/>
          <w:i/>
          <w:color w:val="717D4A"/>
        </w:rPr>
        <w:t>Dwelling</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Dwelling</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Nirvana Farm Limited (In Receivership)</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228 Taumatatahi Road, Ngamatapouri</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1.71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Open grassland 2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No radiata crop</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flat to undulating. LUC 3: 2 ha (100%) (LRIS NZLRI 2021). Open land by slope: flat (0–7°) 2 ha · rolling (8–20°) 0 ha · medium hill (21–35°) 0 ha · steep (&gt;35°) 0 ha. Altitude 40–40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No carbon accounting areas registered on the block</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2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TNE3/610 – Section 26 Block VI Kapara Survey District (6121 square metres); TNE3/611 – Section 21 Block VI Kapara Survey District (1.1002 hectares).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Mortgage to Vitol Asia Pte Ltd (7 June 2023) – to be discharged at settlement; Electricity agreement (1966)</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South Taranaki DC assessment 1241010500 – 216 Waitotara Valley Road (council address) (1.10 ha): land value $100,000, improvements $335,000, capital value $435,000; rates $1,893 p.a. (district $1,599 + regional $293) South Taranaki DC assessment 1241010501 – Waitotara Valley Road (0.61 ha): land value $95,000, improvements $1,000, capital value $96,000; rates $205 p.a. (district $172 + regional $33)</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Road frontage to Taumatatahi Road.</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Workers' dwelling at 228 Taumatatahi Road – a single building outline of about 300 m² on 1.7 ha with power and a 1966 electricity agreement on the title. </w:t>
            </w:r>
            <w:r>
              <w:rPr>
                <w:b/>
                <w:i w:val="0"/>
                <w:color w:val="B01E1E"/>
                <w:sz w:val="17"/>
              </w:rPr>
              <w:t>[TBC – bedrooms, condition and occupancy]</w:t>
            </w:r>
          </w:p>
        </w:tc>
      </w:tr>
    </w:tbl>
    <w:p>
      <w:pPr>
        <w:spacing w:after="40"/>
      </w:pPr>
    </w:p>
    <w:p>
      <w:pPr>
        <w:pStyle w:val="Heading3"/>
      </w:pPr>
      <w:r>
        <w:t>Description</w:t>
      </w:r>
    </w:p>
    <w:p>
      <w:r>
        <w:rPr>
          <w:b w:val="0"/>
          <w:i w:val="0"/>
        </w:rPr>
        <w:t>Two small sections (1.7 ha) on Taumatatahi Road with a workers' dwelling (CBRE improvements $150,000).</w:t>
      </w:r>
    </w:p>
    <w:p>
      <w:pPr>
        <w:pStyle w:val="Heading3"/>
      </w:pPr>
      <w:r>
        <w:t>Items to confirm</w:t>
      </w:r>
    </w:p>
    <w:p>
      <w:pPr>
        <w:pStyle w:val="ListBullet"/>
        <w:spacing w:after="40"/>
      </w:pPr>
      <w:r>
        <w:rPr>
          <w:b/>
          <w:i w:val="0"/>
          <w:color w:val="B01E1E"/>
        </w:rPr>
        <w:t>[TBC]</w:t>
      </w:r>
      <w:r>
        <w:rPr>
          <w:b w:val="0"/>
          <w:i w:val="0"/>
        </w:rPr>
        <w:t xml:space="preserve"> Dwelling description, condition and occupancy.</w:t>
      </w:r>
    </w:p>
    <w:p>
      <w:pPr>
        <w:sectPr>
          <w:pgSz w:w="11906" w:h="16838"/>
          <w:pgMar w:top="1134" w:right="1134" w:bottom="1020" w:left="1134" w:header="720" w:footer="720" w:gutter="0"/>
          <w:cols w:space="720"/>
          <w:docGrid w:linePitch="360"/>
        </w:sectPr>
      </w:pPr>
    </w:p>
    <w:p>
      <w:pPr>
        <w:spacing w:after="20"/>
      </w:pPr>
      <w:r>
        <w:rPr>
          <w:b/>
          <w:i w:val="0"/>
          <w:color w:val="37441D"/>
          <w:sz w:val="18"/>
        </w:rPr>
        <w:t>Workers House – property map</w:t>
      </w:r>
    </w:p>
    <w:p>
      <w:pPr>
        <w:jc w:val="center"/>
      </w:pPr>
      <w:r>
        <w:drawing>
          <wp:inline xmlns:a="http://schemas.openxmlformats.org/drawingml/2006/main" xmlns:pic="http://schemas.openxmlformats.org/drawingml/2006/picture">
            <wp:extent cx="8784000" cy="6214958"/>
            <wp:docPr id="14" name="Picture 14"/>
            <wp:cNvGraphicFramePr>
              <a:graphicFrameLocks noChangeAspect="1"/>
            </wp:cNvGraphicFramePr>
            <a:graphic>
              <a:graphicData uri="http://schemas.openxmlformats.org/drawingml/2006/picture">
                <pic:pic>
                  <pic:nvPicPr>
                    <pic:cNvPr id="0" name="map_workers_house.jpg"/>
                    <pic:cNvPicPr/>
                  </pic:nvPicPr>
                  <pic:blipFill>
                    <a:blip r:embed="rId22"/>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5.9  Patricks House</w:t>
      </w:r>
    </w:p>
    <w:p>
      <w:pPr>
        <w:spacing w:after="120"/>
      </w:pPr>
      <w:r>
        <w:rPr>
          <w:b w:val="0"/>
          <w:i/>
          <w:color w:val="717D4A"/>
        </w:rPr>
        <w:t>Dwelling and small grazing block</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Dwelling and small grazing block</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Nirvana Farm Limited (In Receivership)</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2606 Waitotara Valley Road, Waitōtara</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27.66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Native bush 0 ha · Mānuka / kānuka 17 ha · Open grassland 11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No radiata crop</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21 ha (75%); LUC 3: 7 ha (25%) (LRIS NZLRI 2021). Open land by slope: flat (0–7°) 7 ha · rolling (8–20°) 2 ha · medium hill (21–35°) 2 ha · steep (&gt;35°) 0 ha. Altitude 40–180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No carbon accounting areas registered on the block</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28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690021 – Lot 1 Deposited Plan 484884 and Lot 4 Deposited Plan 85385 (27.2445 hectares); WN53B/169 – Lot 1 Deposited Plan 85385 (2079 square metres); WN53B/170 – Lot 2 Deposited Plan 85385 (2083 square metres). Wellington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Mortgage to Vitol Asia Pte Ltd (7 June 2023) – to be discharged at settlement; Easements – electricity / telecommunications transmission and water supply; Standard Crown mineral reservations (Petroleum, Mining, Coal Mines, Atomic Energy and Geothermal Energy Acts); Consent notice / amalgamation condition under s241 Resource Management Act 1991</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South Taranaki DC assessment 1241017301 – Waitotara Valley Road – Lots 1, 2, 4 DP 85385, Lot 1 DP 484884 (27.66 ha): land value $275,000, improvements $110,000, capital value $385,000; rates $1,786 p.a. (district $1,510 + regional $276)</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Road frontage to Waitotara Valley Road.</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House at 2606 Waitotara Valley Road (about 210 m²) with an outbuilding (about 50 m²); water-supply and power easements registered. A tenant is believed to occupy one of the estate dwellings. </w:t>
            </w:r>
            <w:r>
              <w:rPr>
                <w:b/>
                <w:i w:val="0"/>
                <w:color w:val="B01E1E"/>
                <w:sz w:val="17"/>
              </w:rPr>
              <w:t>[TBC – description, condition and tenancy]</w:t>
            </w:r>
          </w:p>
        </w:tc>
      </w:tr>
    </w:tbl>
    <w:p>
      <w:pPr>
        <w:spacing w:after="40"/>
      </w:pPr>
    </w:p>
    <w:p>
      <w:pPr>
        <w:pStyle w:val="Heading3"/>
      </w:pPr>
      <w:r>
        <w:t>Description</w:t>
      </w:r>
    </w:p>
    <w:p>
      <w:r>
        <w:rPr>
          <w:b w:val="0"/>
          <w:i w:val="0"/>
        </w:rPr>
        <w:t>A 27.7 ha dwelling block on the Waitotara Valley Road with about 11 ha of easy to rolling pasture and 16 ha of scrub. CBRE carried $300,000 of improvements, being the house and outbuildings.</w:t>
      </w:r>
    </w:p>
    <w:p>
      <w:pPr>
        <w:pStyle w:val="Heading3"/>
      </w:pPr>
      <w:r>
        <w:t>Items to confirm</w:t>
      </w:r>
    </w:p>
    <w:p>
      <w:pPr>
        <w:pStyle w:val="ListBullet"/>
        <w:spacing w:after="40"/>
      </w:pPr>
      <w:r>
        <w:rPr>
          <w:b/>
          <w:i w:val="0"/>
          <w:color w:val="B01E1E"/>
        </w:rPr>
        <w:t>[TBC]</w:t>
      </w:r>
      <w:r>
        <w:rPr>
          <w:b w:val="0"/>
          <w:i w:val="0"/>
        </w:rPr>
        <w:t xml:space="preserve"> Dwelling description, condition and occupancy (a tenant, 'Rex', is believed to occupy one of the estate dwellings).</w:t>
      </w:r>
    </w:p>
    <w:p>
      <w:pPr>
        <w:sectPr>
          <w:pgSz w:w="11906" w:h="16838"/>
          <w:pgMar w:top="1134" w:right="1134" w:bottom="1020" w:left="1134" w:header="720" w:footer="720" w:gutter="0"/>
          <w:cols w:space="720"/>
          <w:docGrid w:linePitch="360"/>
        </w:sectPr>
      </w:pPr>
    </w:p>
    <w:p>
      <w:pPr>
        <w:spacing w:after="20"/>
      </w:pPr>
      <w:r>
        <w:rPr>
          <w:b/>
          <w:i w:val="0"/>
          <w:color w:val="37441D"/>
          <w:sz w:val="18"/>
        </w:rPr>
        <w:t>Patricks House – property map</w:t>
      </w:r>
    </w:p>
    <w:p>
      <w:pPr>
        <w:jc w:val="center"/>
      </w:pPr>
      <w:r>
        <w:drawing>
          <wp:inline xmlns:a="http://schemas.openxmlformats.org/drawingml/2006/main" xmlns:pic="http://schemas.openxmlformats.org/drawingml/2006/picture">
            <wp:extent cx="8784000" cy="6214958"/>
            <wp:docPr id="15" name="Picture 15"/>
            <wp:cNvGraphicFramePr>
              <a:graphicFrameLocks noChangeAspect="1"/>
            </wp:cNvGraphicFramePr>
            <a:graphic>
              <a:graphicData uri="http://schemas.openxmlformats.org/drawingml/2006/picture">
                <pic:pic>
                  <pic:nvPicPr>
                    <pic:cNvPr id="0" name="map_patricks_house.jpg"/>
                    <pic:cNvPicPr/>
                  </pic:nvPicPr>
                  <pic:blipFill>
                    <a:blip r:embed="rId23"/>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5B  Nukumaru and the Waverley coast – South Taranaki District</w:t>
      </w:r>
    </w:p>
    <w:p>
      <w:r>
        <w:rPr>
          <w:b w:val="0"/>
          <w:i w:val="0"/>
        </w:rPr>
        <w:t>Three properties sit on the coastal hill country at Nukumaru between Waverley and Waitōtara, off Puau, Lakes, Waikare and Ridge Roads, totalling about 2,798 ha. Puau Road is the largest and includes the two Crown renewable leases; Moonys and Ridge Road adjoin it.</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3213"/>
        <w:gridCol w:w="3213"/>
        <w:gridCol w:w="3213"/>
      </w:tblGrid>
      <w:tr>
        <w:tc>
          <w:tcPr>
            <w:tcW w:type="dxa" w:w="3118"/>
            <w:shd w:val="clear" w:color="auto" w:fill="DBD2C3"/>
          </w:tcPr>
          <w:p>
            <w:pPr>
              <w:spacing w:after="0" w:line="240" w:lineRule="auto"/>
            </w:pPr>
            <w:r/>
            <w:r>
              <w:rPr>
                <w:b/>
                <w:i w:val="0"/>
                <w:sz w:val="17"/>
              </w:rPr>
              <w:t>From</w:t>
            </w:r>
          </w:p>
        </w:tc>
        <w:tc>
          <w:tcPr>
            <w:tcW w:type="dxa" w:w="3685"/>
            <w:shd w:val="clear" w:color="auto" w:fill="DBD2C3"/>
          </w:tcPr>
          <w:p>
            <w:pPr>
              <w:spacing w:after="0" w:line="240" w:lineRule="auto"/>
            </w:pPr>
            <w:r/>
            <w:r>
              <w:rPr>
                <w:b/>
                <w:i w:val="0"/>
                <w:sz w:val="17"/>
              </w:rPr>
              <w:t>Destination</w:t>
            </w:r>
          </w:p>
        </w:tc>
        <w:tc>
          <w:tcPr>
            <w:tcW w:type="dxa" w:w="1134"/>
            <w:shd w:val="clear" w:color="auto" w:fill="DBD2C3"/>
          </w:tcPr>
          <w:p>
            <w:pPr>
              <w:spacing w:after="0" w:line="240" w:lineRule="auto"/>
            </w:pPr>
            <w:r/>
            <w:r>
              <w:rPr>
                <w:b/>
                <w:i w:val="0"/>
                <w:sz w:val="17"/>
              </w:rPr>
              <w:t>km</w:t>
            </w:r>
          </w:p>
        </w:tc>
      </w:tr>
      <w:tr>
        <w:tc>
          <w:tcPr>
            <w:tcW w:type="dxa" w:w="3118"/>
          </w:tcPr>
          <w:p>
            <w:pPr>
              <w:spacing w:after="0" w:line="240" w:lineRule="auto"/>
            </w:pPr>
            <w:r/>
            <w:r>
              <w:rPr>
                <w:b w:val="0"/>
                <w:i w:val="0"/>
                <w:sz w:val="17"/>
              </w:rPr>
              <w:t>Puau Road / Moonys / Ridge Road</w:t>
            </w:r>
          </w:p>
        </w:tc>
        <w:tc>
          <w:tcPr>
            <w:tcW w:type="dxa" w:w="3685"/>
          </w:tcPr>
          <w:p>
            <w:pPr>
              <w:spacing w:after="0" w:line="240" w:lineRule="auto"/>
            </w:pPr>
            <w:r/>
            <w:r>
              <w:rPr>
                <w:b w:val="0"/>
                <w:i w:val="0"/>
                <w:sz w:val="17"/>
              </w:rPr>
              <w:t>Waverley</w:t>
            </w:r>
          </w:p>
        </w:tc>
        <w:tc>
          <w:tcPr>
            <w:tcW w:type="dxa" w:w="1134"/>
          </w:tcPr>
          <w:p>
            <w:pPr>
              <w:spacing w:after="0" w:line="240" w:lineRule="auto"/>
              <w:jc w:val="right"/>
            </w:pPr>
            <w:r/>
            <w:r>
              <w:rPr>
                <w:b w:val="0"/>
                <w:i w:val="0"/>
                <w:sz w:val="17"/>
              </w:rPr>
              <w:t>31</w:t>
            </w:r>
          </w:p>
        </w:tc>
      </w:tr>
      <w:tr>
        <w:tc>
          <w:tcPr>
            <w:tcW w:type="dxa" w:w="3118"/>
            <w:shd w:val="clear" w:color="auto" w:fill="FAF9F6"/>
          </w:tcPr>
          <w:p>
            <w:pPr>
              <w:spacing w:after="0" w:line="240" w:lineRule="auto"/>
            </w:pPr>
            <w:r/>
            <w:r>
              <w:rPr>
                <w:b w:val="0"/>
                <w:i w:val="0"/>
                <w:sz w:val="17"/>
              </w:rPr>
              <w:t>Puau Road / Moonys / Ridge Road</w:t>
            </w:r>
          </w:p>
        </w:tc>
        <w:tc>
          <w:tcPr>
            <w:tcW w:type="dxa" w:w="3685"/>
            <w:shd w:val="clear" w:color="auto" w:fill="FAF9F6"/>
          </w:tcPr>
          <w:p>
            <w:pPr>
              <w:spacing w:after="0" w:line="240" w:lineRule="auto"/>
            </w:pPr>
            <w:r/>
            <w:r>
              <w:rPr>
                <w:b w:val="0"/>
                <w:i w:val="0"/>
                <w:sz w:val="17"/>
              </w:rPr>
              <w:t>Whanganui</w:t>
            </w:r>
          </w:p>
        </w:tc>
        <w:tc>
          <w:tcPr>
            <w:tcW w:type="dxa" w:w="1134"/>
            <w:shd w:val="clear" w:color="auto" w:fill="FAF9F6"/>
          </w:tcPr>
          <w:p>
            <w:pPr>
              <w:spacing w:after="0" w:line="240" w:lineRule="auto"/>
              <w:jc w:val="right"/>
            </w:pPr>
            <w:r/>
            <w:r>
              <w:rPr>
                <w:b w:val="0"/>
                <w:i w:val="0"/>
                <w:sz w:val="17"/>
              </w:rPr>
              <w:t>54</w:t>
            </w:r>
          </w:p>
        </w:tc>
      </w:tr>
      <w:tr>
        <w:tc>
          <w:tcPr>
            <w:tcW w:type="dxa" w:w="3118"/>
          </w:tcPr>
          <w:p>
            <w:pPr>
              <w:spacing w:after="0" w:line="240" w:lineRule="auto"/>
            </w:pPr>
            <w:r/>
            <w:r>
              <w:rPr>
                <w:b w:val="0"/>
                <w:i w:val="0"/>
                <w:sz w:val="17"/>
              </w:rPr>
              <w:t>Puau Road / Moonys / Ridge Road</w:t>
            </w:r>
          </w:p>
        </w:tc>
        <w:tc>
          <w:tcPr>
            <w:tcW w:type="dxa" w:w="3685"/>
          </w:tcPr>
          <w:p>
            <w:pPr>
              <w:spacing w:after="0" w:line="240" w:lineRule="auto"/>
            </w:pPr>
            <w:r/>
            <w:r>
              <w:rPr>
                <w:b w:val="0"/>
                <w:i w:val="0"/>
                <w:sz w:val="17"/>
              </w:rPr>
              <w:t>Castlecliff port, Whanganui</w:t>
            </w:r>
          </w:p>
        </w:tc>
        <w:tc>
          <w:tcPr>
            <w:tcW w:type="dxa" w:w="1134"/>
          </w:tcPr>
          <w:p>
            <w:pPr>
              <w:spacing w:after="0" w:line="240" w:lineRule="auto"/>
              <w:jc w:val="right"/>
            </w:pPr>
            <w:r/>
            <w:r>
              <w:rPr>
                <w:b w:val="0"/>
                <w:i w:val="0"/>
                <w:sz w:val="17"/>
              </w:rPr>
              <w:t>57</w:t>
            </w:r>
          </w:p>
        </w:tc>
      </w:tr>
      <w:tr>
        <w:tc>
          <w:tcPr>
            <w:tcW w:type="dxa" w:w="3118"/>
            <w:shd w:val="clear" w:color="auto" w:fill="FAF9F6"/>
          </w:tcPr>
          <w:p>
            <w:pPr>
              <w:spacing w:after="0" w:line="240" w:lineRule="auto"/>
            </w:pPr>
            <w:r/>
            <w:r>
              <w:rPr>
                <w:b w:val="0"/>
                <w:i w:val="0"/>
                <w:sz w:val="17"/>
              </w:rPr>
              <w:t>Puau Road / Moonys / Ridge Road</w:t>
            </w:r>
          </w:p>
        </w:tc>
        <w:tc>
          <w:tcPr>
            <w:tcW w:type="dxa" w:w="3685"/>
            <w:shd w:val="clear" w:color="auto" w:fill="FAF9F6"/>
          </w:tcPr>
          <w:p>
            <w:pPr>
              <w:spacing w:after="0" w:line="240" w:lineRule="auto"/>
            </w:pPr>
            <w:r/>
            <w:r>
              <w:rPr>
                <w:b w:val="0"/>
                <w:i w:val="0"/>
                <w:sz w:val="17"/>
              </w:rPr>
              <w:t>Hāwera</w:t>
            </w:r>
          </w:p>
        </w:tc>
        <w:tc>
          <w:tcPr>
            <w:tcW w:type="dxa" w:w="1134"/>
            <w:shd w:val="clear" w:color="auto" w:fill="FAF9F6"/>
          </w:tcPr>
          <w:p>
            <w:pPr>
              <w:spacing w:after="0" w:line="240" w:lineRule="auto"/>
              <w:jc w:val="right"/>
            </w:pPr>
            <w:r/>
            <w:r>
              <w:rPr>
                <w:b w:val="0"/>
                <w:i w:val="0"/>
                <w:sz w:val="17"/>
              </w:rPr>
              <w:t>75</w:t>
            </w:r>
          </w:p>
        </w:tc>
      </w:tr>
      <w:tr>
        <w:tc>
          <w:tcPr>
            <w:tcW w:type="dxa" w:w="3118"/>
          </w:tcPr>
          <w:p>
            <w:pPr>
              <w:spacing w:after="0" w:line="240" w:lineRule="auto"/>
            </w:pPr>
            <w:r/>
            <w:r>
              <w:rPr>
                <w:b w:val="0"/>
                <w:i w:val="0"/>
                <w:sz w:val="17"/>
              </w:rPr>
              <w:t>Puau Road / Moonys / Ridge Road</w:t>
            </w:r>
          </w:p>
        </w:tc>
        <w:tc>
          <w:tcPr>
            <w:tcW w:type="dxa" w:w="3685"/>
          </w:tcPr>
          <w:p>
            <w:pPr>
              <w:spacing w:after="0" w:line="240" w:lineRule="auto"/>
            </w:pPr>
            <w:r/>
            <w:r>
              <w:rPr>
                <w:b w:val="0"/>
                <w:i w:val="0"/>
                <w:sz w:val="17"/>
              </w:rPr>
              <w:t>Stratford</w:t>
            </w:r>
          </w:p>
        </w:tc>
        <w:tc>
          <w:tcPr>
            <w:tcW w:type="dxa" w:w="1134"/>
          </w:tcPr>
          <w:p>
            <w:pPr>
              <w:spacing w:after="0" w:line="240" w:lineRule="auto"/>
              <w:jc w:val="right"/>
            </w:pPr>
            <w:r/>
            <w:r>
              <w:rPr>
                <w:b w:val="0"/>
                <w:i w:val="0"/>
                <w:sz w:val="17"/>
              </w:rPr>
              <w:t>105</w:t>
            </w:r>
          </w:p>
        </w:tc>
      </w:tr>
      <w:tr>
        <w:tc>
          <w:tcPr>
            <w:tcW w:type="dxa" w:w="3118"/>
            <w:shd w:val="clear" w:color="auto" w:fill="FAF9F6"/>
          </w:tcPr>
          <w:p>
            <w:pPr>
              <w:spacing w:after="0" w:line="240" w:lineRule="auto"/>
            </w:pPr>
            <w:r/>
            <w:r>
              <w:rPr>
                <w:b w:val="0"/>
                <w:i w:val="0"/>
                <w:sz w:val="17"/>
              </w:rPr>
              <w:t>Puau Road / Moonys / Ridge Road</w:t>
            </w:r>
          </w:p>
        </w:tc>
        <w:tc>
          <w:tcPr>
            <w:tcW w:type="dxa" w:w="3685"/>
            <w:shd w:val="clear" w:color="auto" w:fill="FAF9F6"/>
          </w:tcPr>
          <w:p>
            <w:pPr>
              <w:spacing w:after="0" w:line="240" w:lineRule="auto"/>
            </w:pPr>
            <w:r/>
            <w:r>
              <w:rPr>
                <w:b w:val="0"/>
                <w:i w:val="0"/>
                <w:sz w:val="17"/>
              </w:rPr>
              <w:t>New Plymouth / Port Taranaki</w:t>
            </w:r>
          </w:p>
        </w:tc>
        <w:tc>
          <w:tcPr>
            <w:tcW w:type="dxa" w:w="1134"/>
            <w:shd w:val="clear" w:color="auto" w:fill="FAF9F6"/>
          </w:tcPr>
          <w:p>
            <w:pPr>
              <w:spacing w:after="0" w:line="240" w:lineRule="auto"/>
              <w:jc w:val="right"/>
            </w:pPr>
            <w:r/>
            <w:r>
              <w:rPr>
                <w:b w:val="0"/>
                <w:i w:val="0"/>
                <w:sz w:val="17"/>
              </w:rPr>
              <w:t>150</w:t>
            </w:r>
          </w:p>
        </w:tc>
      </w:tr>
    </w:tbl>
    <w:p>
      <w:pPr>
        <w:spacing w:after="40"/>
      </w:pPr>
    </w:p>
    <w:p>
      <w:pPr>
        <w:pStyle w:val="Heading2"/>
      </w:pPr>
      <w:r>
        <w:t>5.10  Puau Road</w:t>
      </w:r>
    </w:p>
    <w:p>
      <w:pPr>
        <w:spacing w:after="120"/>
      </w:pPr>
      <w:r>
        <w:rPr>
          <w:b w:val="0"/>
          <w:i/>
          <w:color w:val="717D4A"/>
        </w:rPr>
        <w:t>Native bush and mānuka (honey) · forestry (Pinus radiata) · grazing (part leased to Pukekahu Farms) · Crown leasehold</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Native bush and mānuka (honey) · forestry (Pinus radiata) · grazing (part leased to Pukekahu Farms) · Crown leasehold</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Nirvana Farm Limited (In Receivership)</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Puau Road / Waitotara Valley Road, Nukumaru</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1,871.68 ha (LINZ calculated 1,868.7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Radiata / exotic 56 ha · Native bush 889 ha · Mānuka / kānuka 568 ha · Open grassland 358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 xml:space="preserve">52 ha planted · 26 ha adequately stocked at April 2026 · 17 ha replant + 8 ha blanking in 2026 · 52 ha adequately stocked after 2026. Planting years: 2024 (52 ha) </w:t>
            </w:r>
            <w:r>
              <w:rPr>
                <w:b/>
                <w:i w:val="0"/>
                <w:color w:val="B01E1E"/>
                <w:sz w:val="17"/>
              </w:rPr>
              <w:t>[TBC – stand records]</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1,766 ha (95%); LUC 6: 60 ha (3%); LUC 3: 43 ha (2%) (LRIS NZLRI 2021). Open land by slope: flat (0–7°) 45 ha · rolling (8–20°) 45 ha · medium hill (21–35°) 154 ha · steep (&gt;35°) 114 ha. Altitude 20–340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Registered: 5 CAAs, 46.1 ha, unit balance 139 NZUs (MPI land status reports, NFL 28 Sep 2026 / Makowhai Station Aug 2025). NFL as landowner – Averaging – 2024: 46.1 ha, 139 NZUs (5 CAAs).</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445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948076 – Section 1B Block I Nukumaru Survey District (720.3404 hectares); 948077 – Section 1 Block I Nukumaru Survey District (884.2381 hectares); WN115/77 – Section 4 Block I Nukumaru Survey District (259.4035 hectares); WN24A/444 – Puau 1 Block (7.7016 hectares). Wellington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 on 2 titles; Crown renewable leases under s82 Land Act 1948 on 948076 and 948077 (33 years from 1 July 2020)</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Mortgage to Vitol Asia Pte Ltd (7 June 2023) – to be discharged at settlement; Notice(s) under s195(2) Climate Change Response Act 2002 (ETS registration) (WN115/77)</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Rated within one South Taranaki DC unit with Moonys – South Taranaki DC assessment 1240020501 – Waikare Road, Waitotara – Secs 1B, 1, 4 Blk I Nukumaru SD, Puau 1 Block, Secs 13, 19, Pt 12 Blk V Omahine SD, Sec 15, Pt 19 Blk IV Wairoa SD (2,515.30 ha): land value $6,900,000, improvements $300,000, capital value $7,200,000; rates $16,316 p.a. (district $13,717 + regional $2,599)</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Crown lease 948077 (884 ha) within the Pukekahu Farms grazing lease to 31 December 2029 (rent prepaid)</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Worked through the neighbouring Wood Country Limited property – permission required. A small amount of tracking ($2,500) is needed to reopen the main ridge track. Internal tracks about 6.9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One small shed (about 25 m²); no dwelling. </w:t>
            </w:r>
            <w:r>
              <w:rPr>
                <w:b/>
                <w:i w:val="0"/>
                <w:color w:val="B01E1E"/>
                <w:sz w:val="17"/>
              </w:rPr>
              <w:t>[TBC]</w:t>
            </w:r>
          </w:p>
        </w:tc>
      </w:tr>
    </w:tbl>
    <w:p>
      <w:pPr>
        <w:spacing w:after="40"/>
      </w:pPr>
    </w:p>
    <w:p>
      <w:pPr>
        <w:pStyle w:val="Heading3"/>
      </w:pPr>
      <w:r>
        <w:t>Description</w:t>
      </w:r>
    </w:p>
    <w:p>
      <w:r>
        <w:rPr>
          <w:b w:val="0"/>
          <w:i w:val="0"/>
        </w:rPr>
        <w:t>At 1,872 ha Puau Road is the second-largest block but the least developed: about 1,460 ha is native bush and mānuka/kānuka, with 358 ha of open hill country and a 52 ha stand of 2024 radiata on the two freehold titles. Two of the four titles (948076 and 948077, 1,605 ha) are Crown renewable leases under section 82 of the Land Act 1948 for 33 years from 1 July 2020, and 948077 (884 ha) is also within the Pukekahu Farms grazing lease to 31 December 2029. The northern end of stand 1.01 failed to pest and stock damage and is to be replanted (17 ha) with 8 ha of blanking; heavy gorse in the south needs a release spray. About 445 ha of open and scrub land is indicatively ETS-eligible.</w:t>
      </w:r>
    </w:p>
    <w:p>
      <w:pPr>
        <w:pStyle w:val="Heading3"/>
      </w:pPr>
      <w:r>
        <w:t>Points to note</w:t>
      </w:r>
    </w:p>
    <w:p>
      <w:pPr>
        <w:pStyle w:val="ListBullet"/>
        <w:spacing w:after="40"/>
      </w:pPr>
      <w:r>
        <w:rPr>
          <w:b w:val="0"/>
          <w:i w:val="0"/>
        </w:rPr>
        <w:t>Crown lease reassignment is expected to be straightforward (no pine on the leased titles).</w:t>
      </w:r>
    </w:p>
    <w:p>
      <w:pPr>
        <w:pStyle w:val="ListBullet"/>
        <w:spacing w:after="40"/>
      </w:pPr>
      <w:r>
        <w:rPr>
          <w:b w:val="0"/>
          <w:i w:val="0"/>
        </w:rPr>
        <w:t>Goats are present at altitude; a pre-planting cull and constant ongoing pest control support the 2026 work.</w:t>
      </w:r>
    </w:p>
    <w:p>
      <w:pPr>
        <w:pStyle w:val="Heading3"/>
      </w:pPr>
      <w:r>
        <w:t>Items to confirm</w:t>
      </w:r>
    </w:p>
    <w:p>
      <w:pPr>
        <w:pStyle w:val="ListBullet"/>
        <w:spacing w:after="40"/>
      </w:pPr>
      <w:r>
        <w:rPr>
          <w:b/>
          <w:i w:val="0"/>
          <w:color w:val="B01E1E"/>
        </w:rPr>
        <w:t>[TBC]</w:t>
      </w:r>
      <w:r>
        <w:rPr>
          <w:b w:val="0"/>
          <w:i w:val="0"/>
        </w:rPr>
        <w:t xml:space="preserve"> Crown lease rent, review dates and consent requirements for assignment.</w:t>
      </w:r>
    </w:p>
    <w:p>
      <w:pPr>
        <w:pStyle w:val="ListBullet"/>
        <w:spacing w:after="40"/>
      </w:pPr>
      <w:r>
        <w:rPr>
          <w:b/>
          <w:i w:val="0"/>
          <w:color w:val="B01E1E"/>
        </w:rPr>
        <w:t>[TBC]</w:t>
      </w:r>
      <w:r>
        <w:rPr>
          <w:b w:val="0"/>
          <w:i w:val="0"/>
        </w:rPr>
        <w:t xml:space="preserve"> Boundary of the Pukekahu Farms lease on 948077 (aerial plan in the lease).</w:t>
      </w:r>
    </w:p>
    <w:p>
      <w:pPr>
        <w:sectPr>
          <w:pgSz w:w="11906" w:h="16838"/>
          <w:pgMar w:top="1134" w:right="1134" w:bottom="1020" w:left="1134" w:header="720" w:footer="720" w:gutter="0"/>
          <w:cols w:space="720"/>
          <w:docGrid w:linePitch="360"/>
        </w:sectPr>
      </w:pPr>
    </w:p>
    <w:p>
      <w:pPr>
        <w:spacing w:after="20"/>
      </w:pPr>
      <w:r>
        <w:rPr>
          <w:b/>
          <w:i w:val="0"/>
          <w:color w:val="37441D"/>
          <w:sz w:val="18"/>
        </w:rPr>
        <w:t>Puau Road – property map</w:t>
      </w:r>
    </w:p>
    <w:p>
      <w:pPr>
        <w:jc w:val="center"/>
      </w:pPr>
      <w:r>
        <w:drawing>
          <wp:inline xmlns:a="http://schemas.openxmlformats.org/drawingml/2006/main" xmlns:pic="http://schemas.openxmlformats.org/drawingml/2006/picture">
            <wp:extent cx="8784000" cy="6214958"/>
            <wp:docPr id="16" name="Picture 16"/>
            <wp:cNvGraphicFramePr>
              <a:graphicFrameLocks noChangeAspect="1"/>
            </wp:cNvGraphicFramePr>
            <a:graphic>
              <a:graphicData uri="http://schemas.openxmlformats.org/drawingml/2006/picture">
                <pic:pic>
                  <pic:nvPicPr>
                    <pic:cNvPr id="0" name="map_puau_road.jpg"/>
                    <pic:cNvPicPr/>
                  </pic:nvPicPr>
                  <pic:blipFill>
                    <a:blip r:embed="rId24"/>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5.11  Moonys</w:t>
      </w:r>
    </w:p>
    <w:p>
      <w:pPr>
        <w:spacing w:after="120"/>
      </w:pPr>
      <w:r>
        <w:rPr>
          <w:b w:val="0"/>
          <w:i/>
          <w:color w:val="717D4A"/>
        </w:rPr>
        <w:t>Mānuka, native bush and open hill grazing · older exotic cover</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Mānuka, native bush and open hill grazing · older exotic cover</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Nirvana Farm Limited (In Receivership)</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12–19 Waikare Road and Lakes Road, Nukumaru</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643.62 ha (LINZ calculated 645.1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Radiata / exotic 114 ha · Native bush 94 ha · Mānuka / kānuka 277 ha · Open grassland 159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No radiata crop</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366 ha (57%); LUC 6: 271 ha (42%) (LRIS NZLRI 2021). Open land by slope: flat (0–7°) 25 ha · rolling (8–20°) 27 ha · medium hill (21–35°) 69 ha · steep (&gt;35°) 38 ha. Altitude 60–300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No carbon accounting areas registered on the block</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36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WN110/44 – Section 19 Block V Omahine Survey District (80.9371 hectares); WN181/222 – Section 15 and Part Section 19 Block IV Wairoa Survey District (432.0449 hectares); WN23A/665 – Part Section 12 Block V Omahine Survey District (46.4594 hectares); WN476/64 – Section 13 Block V Omahine Survey District (84.1746 hectares). Wellington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Mortgage to Vitol Asia Pte Ltd (7 June 2023) – to be discharged at settlement; Notice(s) under s195(2) Climate Change Response Act 2002 (ETS registration); Standard Crown mineral reservations (Petroleum, Mining, Coal Mines, Atomic Energy and Geothermal Energy Acts) (WN23A/665)</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Rated within one South Taranaki DC unit with Puau Road – South Taranaki DC assessment 1240020501 – Waikare Road, Waitotara – Secs 1B, 1, 4 Blk I Nukumaru SD, Puau 1 Block, Secs 13, 19, Pt 12 Blk V Omahine SD, Sec 15, Pt 19 Blk IV Wairoa SD (2,515.30 ha): land value $6,900,000, improvements $300,000, capital value $7,200,000; rates $16,316 p.a. (district $13,717 + regional $2,599) No separate rating valuation exists for Moonys.</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 xml:space="preserve">Waikare Road / Lakes Road frontage </w:t>
            </w:r>
            <w:r>
              <w:rPr>
                <w:b/>
                <w:i w:val="0"/>
                <w:color w:val="B01E1E"/>
                <w:sz w:val="17"/>
              </w:rPr>
              <w:t>[TBC]</w:t>
            </w:r>
            <w:r>
              <w:rPr>
                <w:b w:val="0"/>
                <w:i w:val="0"/>
                <w:sz w:val="17"/>
              </w:rPr>
              <w:t>. Internal tracks about 0.2 km and formed road 1.1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Three small buildings (about 125, 70 and 20 m²) – sheds / hut; no dwelling recorded. </w:t>
            </w:r>
            <w:r>
              <w:rPr>
                <w:b/>
                <w:i w:val="0"/>
                <w:color w:val="B01E1E"/>
                <w:sz w:val="17"/>
              </w:rPr>
              <w:t>[TBC]</w:t>
            </w:r>
          </w:p>
        </w:tc>
      </w:tr>
    </w:tbl>
    <w:p>
      <w:pPr>
        <w:spacing w:after="40"/>
      </w:pPr>
    </w:p>
    <w:p>
      <w:pPr>
        <w:pStyle w:val="Heading3"/>
      </w:pPr>
      <w:r>
        <w:t>Description</w:t>
      </w:r>
    </w:p>
    <w:p>
      <w:r>
        <w:rPr>
          <w:b w:val="0"/>
          <w:i w:val="0"/>
        </w:rPr>
        <w:t>A 644 ha block of mixed scrub, native and open hill country near the Waverley coast, adjoining Ridge Road and Puau Road. The appraisal mapping shows about 277 ha of mānuka/kānuka, 94 ha of native bush, 159 ha of open grassland and about 114 ha of exotic forest cover. No radiata has been established under the current programme and there is no ETS registration on the block, so the mapped exotic cover needs to be checked on the ground.</w:t>
      </w:r>
    </w:p>
    <w:p>
      <w:pPr>
        <w:pStyle w:val="Heading3"/>
      </w:pPr>
      <w:r>
        <w:t>Points to note</w:t>
      </w:r>
    </w:p>
    <w:p>
      <w:pPr>
        <w:pStyle w:val="ListBullet"/>
        <w:spacing w:after="40"/>
      </w:pPr>
      <w:r>
        <w:rPr>
          <w:b w:val="0"/>
          <w:i w:val="0"/>
        </w:rPr>
        <w:t>Not in Stand's planting programme; no ETS CAAs.</w:t>
      </w:r>
    </w:p>
    <w:p>
      <w:pPr>
        <w:pStyle w:val="Heading3"/>
      </w:pPr>
      <w:r>
        <w:t>Items to confirm</w:t>
      </w:r>
    </w:p>
    <w:p>
      <w:pPr>
        <w:pStyle w:val="ListBullet"/>
        <w:spacing w:after="40"/>
      </w:pPr>
      <w:r>
        <w:rPr>
          <w:b/>
          <w:i w:val="0"/>
          <w:color w:val="B01E1E"/>
        </w:rPr>
        <w:t>[TBC]</w:t>
      </w:r>
      <w:r>
        <w:rPr>
          <w:b w:val="0"/>
          <w:i w:val="0"/>
        </w:rPr>
        <w:t xml:space="preserve"> Nature and age of the ~114 ha mapped as exotic forest cover (older plantation, wilding pine or scrub).</w:t>
      </w:r>
    </w:p>
    <w:p>
      <w:pPr>
        <w:pStyle w:val="ListBullet"/>
        <w:spacing w:after="40"/>
      </w:pPr>
      <w:r>
        <w:rPr>
          <w:b/>
          <w:i w:val="0"/>
          <w:color w:val="B01E1E"/>
        </w:rPr>
        <w:t>[TBC]</w:t>
      </w:r>
      <w:r>
        <w:rPr>
          <w:b w:val="0"/>
          <w:i w:val="0"/>
        </w:rPr>
        <w:t xml:space="preserve"> Improvements (CBRE $100,000) and occupancy.</w:t>
      </w:r>
    </w:p>
    <w:p>
      <w:pPr>
        <w:sectPr>
          <w:pgSz w:w="11906" w:h="16838"/>
          <w:pgMar w:top="1134" w:right="1134" w:bottom="1020" w:left="1134" w:header="720" w:footer="720" w:gutter="0"/>
          <w:cols w:space="720"/>
          <w:docGrid w:linePitch="360"/>
        </w:sectPr>
      </w:pPr>
    </w:p>
    <w:p>
      <w:pPr>
        <w:spacing w:after="20"/>
      </w:pPr>
      <w:r>
        <w:rPr>
          <w:b/>
          <w:i w:val="0"/>
          <w:color w:val="37441D"/>
          <w:sz w:val="18"/>
        </w:rPr>
        <w:t>Moonys – property map</w:t>
      </w:r>
    </w:p>
    <w:p>
      <w:pPr>
        <w:jc w:val="center"/>
      </w:pPr>
      <w:r>
        <w:drawing>
          <wp:inline xmlns:a="http://schemas.openxmlformats.org/drawingml/2006/main" xmlns:pic="http://schemas.openxmlformats.org/drawingml/2006/picture">
            <wp:extent cx="6011189" cy="8496000"/>
            <wp:docPr id="17" name="Picture 17"/>
            <wp:cNvGraphicFramePr>
              <a:graphicFrameLocks noChangeAspect="1"/>
            </wp:cNvGraphicFramePr>
            <a:graphic>
              <a:graphicData uri="http://schemas.openxmlformats.org/drawingml/2006/picture">
                <pic:pic>
                  <pic:nvPicPr>
                    <pic:cNvPr id="0" name="map_moonys.jpg"/>
                    <pic:cNvPicPr/>
                  </pic:nvPicPr>
                  <pic:blipFill>
                    <a:blip r:embed="rId25"/>
                    <a:stretch>
                      <a:fillRect/>
                    </a:stretch>
                  </pic:blipFill>
                  <pic:spPr>
                    <a:xfrm>
                      <a:off x="0" y="0"/>
                      <a:ext cx="6011189" cy="8496000"/>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1906" w:h="16838"/>
          <w:pgMar w:top="1134" w:right="1134" w:bottom="1020" w:left="1134" w:header="720" w:footer="720" w:gutter="0"/>
          <w:cols w:space="720"/>
          <w:docGrid w:linePitch="360"/>
        </w:sectPr>
      </w:pPr>
    </w:p>
    <w:p>
      <w:pPr>
        <w:pStyle w:val="Heading2"/>
      </w:pPr>
      <w:r>
        <w:t>5.12  Ridge Road</w:t>
      </w:r>
    </w:p>
    <w:p>
      <w:pPr>
        <w:spacing w:after="120"/>
      </w:pPr>
      <w:r>
        <w:rPr>
          <w:b w:val="0"/>
          <w:i/>
          <w:color w:val="717D4A"/>
        </w:rPr>
        <w:t>Mānuka scrub and open grazing</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Mānuka scrub and open grazing</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Nirvana Farm Limited (In Receivership)</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1464 Ridge Road, Nukumaru</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282.59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Native bush 58 ha · Mānuka / kānuka 153 ha · Open grassland 71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No radiata crop</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240 ha (85%); LUC 3: 43 ha (15%) (LRIS NZLRI 2021). Open land by slope: flat (0–7°) 22 ha · rolling (8–20°) 23 ha · medium hill (21–35°) 20 ha · steep (&gt;35°) 6 ha. Altitude 20–320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No carbon accounting areas registered on the block</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66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753569 – Lot 2-3 Deposited Plan 500597 (89.7128 hectares); WN526/225 – Part Section 6 Block IV Wairoa Survey District and Defined On Survey Office Plan 14533 (6.9201 hectares); WN8C/173 – Lot 1-2 Deposited Plan 1512 (185.9531 hectares). Wellington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Mortgage to Vitol Asia Pte Ltd (7 June 2023) – to be discharged at settlement; Consent notice / amalgamation condition under s241 Resource Management Act 1991 (753569)</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South Taranaki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South Taranaki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South Taranaki DC assessment 1240019700 – 1464 Ridge Road, Waitotara – Pt Sec 6 Blk IV Wairoa SD, Lots 1–2 DP 1512, Lots 2–3 DP 500597 (282.59 ha): land value $1,190,000, improvements $90,000, capital value $1,280,000; rates $3,694 p.a. (district $3,113 + regional $581)</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Road frontage to Ridge Road. Internal tracks about 0.2 km and formed road 0.0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Five small buildings off Ridge Road, the largest about 180 m² – sheds; no dwelling recorded. </w:t>
            </w:r>
            <w:r>
              <w:rPr>
                <w:b/>
                <w:i w:val="0"/>
                <w:color w:val="B01E1E"/>
                <w:sz w:val="17"/>
              </w:rPr>
              <w:t>[TBC]</w:t>
            </w:r>
          </w:p>
        </w:tc>
      </w:tr>
    </w:tbl>
    <w:p>
      <w:pPr>
        <w:spacing w:after="40"/>
      </w:pPr>
    </w:p>
    <w:p>
      <w:pPr>
        <w:pStyle w:val="Heading3"/>
      </w:pPr>
      <w:r>
        <w:t>Description</w:t>
      </w:r>
    </w:p>
    <w:p>
      <w:r>
        <w:rPr>
          <w:b w:val="0"/>
          <w:i w:val="0"/>
        </w:rPr>
        <w:t>A 283 ha block of regenerating scrub (153 ha) and native (58 ha) with about 71 ha of open ground, much of it flat to rolling. About 66 ha is indicatively ETS-eligible.</w:t>
      </w:r>
    </w:p>
    <w:p>
      <w:pPr>
        <w:pStyle w:val="Heading3"/>
      </w:pPr>
      <w:r>
        <w:t>Points to note</w:t>
      </w:r>
    </w:p>
    <w:p>
      <w:pPr>
        <w:pStyle w:val="ListBullet"/>
        <w:spacing w:after="40"/>
      </w:pPr>
      <w:r>
        <w:rPr>
          <w:b w:val="0"/>
          <w:i w:val="0"/>
        </w:rPr>
        <w:t>No Pinus radiata on the block.</w:t>
      </w:r>
    </w:p>
    <w:p>
      <w:pPr>
        <w:pStyle w:val="Heading3"/>
      </w:pPr>
      <w:r>
        <w:t>Items to confirm</w:t>
      </w:r>
    </w:p>
    <w:p>
      <w:pPr>
        <w:pStyle w:val="ListBullet"/>
        <w:spacing w:after="40"/>
      </w:pPr>
      <w:r>
        <w:rPr>
          <w:b/>
          <w:i w:val="0"/>
          <w:color w:val="B01E1E"/>
        </w:rPr>
        <w:t>[TBC]</w:t>
      </w:r>
      <w:r>
        <w:rPr>
          <w:b w:val="0"/>
          <w:i w:val="0"/>
        </w:rPr>
        <w:t xml:space="preserve"> Improvements (CBRE $35,000).</w:t>
      </w:r>
    </w:p>
    <w:p>
      <w:pPr>
        <w:sectPr>
          <w:pgSz w:w="11906" w:h="16838"/>
          <w:pgMar w:top="1134" w:right="1134" w:bottom="1020" w:left="1134" w:header="720" w:footer="720" w:gutter="0"/>
          <w:cols w:space="720"/>
          <w:docGrid w:linePitch="360"/>
        </w:sectPr>
      </w:pPr>
    </w:p>
    <w:p>
      <w:pPr>
        <w:spacing w:after="20"/>
      </w:pPr>
      <w:r>
        <w:rPr>
          <w:b/>
          <w:i w:val="0"/>
          <w:color w:val="37441D"/>
          <w:sz w:val="18"/>
        </w:rPr>
        <w:t>Ridge Road – property map</w:t>
      </w:r>
    </w:p>
    <w:p>
      <w:pPr>
        <w:jc w:val="center"/>
      </w:pPr>
      <w:r>
        <w:drawing>
          <wp:inline xmlns:a="http://schemas.openxmlformats.org/drawingml/2006/main" xmlns:pic="http://schemas.openxmlformats.org/drawingml/2006/picture">
            <wp:extent cx="8784000" cy="6214958"/>
            <wp:docPr id="18" name="Picture 18"/>
            <wp:cNvGraphicFramePr>
              <a:graphicFrameLocks noChangeAspect="1"/>
            </wp:cNvGraphicFramePr>
            <a:graphic>
              <a:graphicData uri="http://schemas.openxmlformats.org/drawingml/2006/picture">
                <pic:pic>
                  <pic:nvPicPr>
                    <pic:cNvPr id="0" name="map_ridge_road.jpg"/>
                    <pic:cNvPicPr/>
                  </pic:nvPicPr>
                  <pic:blipFill>
                    <a:blip r:embed="rId26"/>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5C  Eastern Taranaki – Whangamomona, Mangaehu and Puniwhakau – Stratford District</w:t>
      </w:r>
    </w:p>
    <w:p>
      <w:r>
        <w:rPr>
          <w:b w:val="0"/>
          <w:i w:val="0"/>
        </w:rPr>
        <w:t>The eastern Taranaki properties are spread along the Forgotten World Highway and the Mangaehu and Puniwhakau Roads east of Stratford: Whangamomona (739 ha), Staghaven (296 ha) and Tims (14 ha), with the Soldiers Road forestry right at Tuwharenikau Road. Magons (777 ha, Puniwhakau Road), owned by a third party, is available separately and is described here because it adjoins this country.</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3213"/>
        <w:gridCol w:w="3213"/>
        <w:gridCol w:w="3213"/>
      </w:tblGrid>
      <w:tr>
        <w:tc>
          <w:tcPr>
            <w:tcW w:type="dxa" w:w="3118"/>
            <w:shd w:val="clear" w:color="auto" w:fill="DBD2C3"/>
          </w:tcPr>
          <w:p>
            <w:pPr>
              <w:spacing w:after="0" w:line="240" w:lineRule="auto"/>
            </w:pPr>
            <w:r/>
            <w:r>
              <w:rPr>
                <w:b/>
                <w:i w:val="0"/>
                <w:sz w:val="17"/>
              </w:rPr>
              <w:t>From</w:t>
            </w:r>
          </w:p>
        </w:tc>
        <w:tc>
          <w:tcPr>
            <w:tcW w:type="dxa" w:w="3685"/>
            <w:shd w:val="clear" w:color="auto" w:fill="DBD2C3"/>
          </w:tcPr>
          <w:p>
            <w:pPr>
              <w:spacing w:after="0" w:line="240" w:lineRule="auto"/>
            </w:pPr>
            <w:r/>
            <w:r>
              <w:rPr>
                <w:b/>
                <w:i w:val="0"/>
                <w:sz w:val="17"/>
              </w:rPr>
              <w:t>Destination</w:t>
            </w:r>
          </w:p>
        </w:tc>
        <w:tc>
          <w:tcPr>
            <w:tcW w:type="dxa" w:w="1134"/>
            <w:shd w:val="clear" w:color="auto" w:fill="DBD2C3"/>
          </w:tcPr>
          <w:p>
            <w:pPr>
              <w:spacing w:after="0" w:line="240" w:lineRule="auto"/>
            </w:pPr>
            <w:r/>
            <w:r>
              <w:rPr>
                <w:b/>
                <w:i w:val="0"/>
                <w:sz w:val="17"/>
              </w:rPr>
              <w:t>km</w:t>
            </w:r>
          </w:p>
        </w:tc>
      </w:tr>
      <w:tr>
        <w:tc>
          <w:tcPr>
            <w:tcW w:type="dxa" w:w="3118"/>
          </w:tcPr>
          <w:p>
            <w:pPr>
              <w:spacing w:after="0" w:line="240" w:lineRule="auto"/>
            </w:pPr>
            <w:r/>
            <w:r>
              <w:rPr>
                <w:b w:val="0"/>
                <w:i w:val="0"/>
                <w:sz w:val="17"/>
              </w:rPr>
              <w:t>Whangamomona</w:t>
            </w:r>
          </w:p>
        </w:tc>
        <w:tc>
          <w:tcPr>
            <w:tcW w:type="dxa" w:w="3685"/>
          </w:tcPr>
          <w:p>
            <w:pPr>
              <w:spacing w:after="0" w:line="240" w:lineRule="auto"/>
            </w:pPr>
            <w:r/>
            <w:r>
              <w:rPr>
                <w:b w:val="0"/>
                <w:i w:val="0"/>
                <w:sz w:val="17"/>
              </w:rPr>
              <w:t>Stratford</w:t>
            </w:r>
          </w:p>
        </w:tc>
        <w:tc>
          <w:tcPr>
            <w:tcW w:type="dxa" w:w="1134"/>
          </w:tcPr>
          <w:p>
            <w:pPr>
              <w:spacing w:after="0" w:line="240" w:lineRule="auto"/>
              <w:jc w:val="right"/>
            </w:pPr>
            <w:r/>
            <w:r>
              <w:rPr>
                <w:b w:val="0"/>
                <w:i w:val="0"/>
                <w:sz w:val="17"/>
              </w:rPr>
              <w:t>68</w:t>
            </w:r>
          </w:p>
        </w:tc>
      </w:tr>
      <w:tr>
        <w:tc>
          <w:tcPr>
            <w:tcW w:type="dxa" w:w="3118"/>
            <w:shd w:val="clear" w:color="auto" w:fill="FAF9F6"/>
          </w:tcPr>
          <w:p>
            <w:pPr>
              <w:spacing w:after="0" w:line="240" w:lineRule="auto"/>
            </w:pPr>
            <w:r/>
            <w:r>
              <w:rPr>
                <w:b w:val="0"/>
                <w:i w:val="0"/>
                <w:sz w:val="17"/>
              </w:rPr>
              <w:t>Whangamomona</w:t>
            </w:r>
          </w:p>
        </w:tc>
        <w:tc>
          <w:tcPr>
            <w:tcW w:type="dxa" w:w="3685"/>
            <w:shd w:val="clear" w:color="auto" w:fill="FAF9F6"/>
          </w:tcPr>
          <w:p>
            <w:pPr>
              <w:spacing w:after="0" w:line="240" w:lineRule="auto"/>
            </w:pPr>
            <w:r/>
            <w:r>
              <w:rPr>
                <w:b w:val="0"/>
                <w:i w:val="0"/>
                <w:sz w:val="17"/>
              </w:rPr>
              <w:t>Hāwera</w:t>
            </w:r>
          </w:p>
        </w:tc>
        <w:tc>
          <w:tcPr>
            <w:tcW w:type="dxa" w:w="1134"/>
            <w:shd w:val="clear" w:color="auto" w:fill="FAF9F6"/>
          </w:tcPr>
          <w:p>
            <w:pPr>
              <w:spacing w:after="0" w:line="240" w:lineRule="auto"/>
              <w:jc w:val="right"/>
            </w:pPr>
            <w:r/>
            <w:r>
              <w:rPr>
                <w:b w:val="0"/>
                <w:i w:val="0"/>
                <w:sz w:val="17"/>
              </w:rPr>
              <w:t>98</w:t>
            </w:r>
          </w:p>
        </w:tc>
      </w:tr>
      <w:tr>
        <w:tc>
          <w:tcPr>
            <w:tcW w:type="dxa" w:w="3118"/>
          </w:tcPr>
          <w:p>
            <w:pPr>
              <w:spacing w:after="0" w:line="240" w:lineRule="auto"/>
            </w:pPr>
            <w:r/>
            <w:r>
              <w:rPr>
                <w:b w:val="0"/>
                <w:i w:val="0"/>
                <w:sz w:val="17"/>
              </w:rPr>
              <w:t>Whangamomona</w:t>
            </w:r>
          </w:p>
        </w:tc>
        <w:tc>
          <w:tcPr>
            <w:tcW w:type="dxa" w:w="3685"/>
          </w:tcPr>
          <w:p>
            <w:pPr>
              <w:spacing w:after="0" w:line="240" w:lineRule="auto"/>
            </w:pPr>
            <w:r/>
            <w:r>
              <w:rPr>
                <w:b w:val="0"/>
                <w:i w:val="0"/>
                <w:sz w:val="17"/>
              </w:rPr>
              <w:t>New Plymouth</w:t>
            </w:r>
          </w:p>
        </w:tc>
        <w:tc>
          <w:tcPr>
            <w:tcW w:type="dxa" w:w="1134"/>
          </w:tcPr>
          <w:p>
            <w:pPr>
              <w:spacing w:after="0" w:line="240" w:lineRule="auto"/>
              <w:jc w:val="right"/>
            </w:pPr>
            <w:r/>
            <w:r>
              <w:rPr>
                <w:b w:val="0"/>
                <w:i w:val="0"/>
                <w:sz w:val="17"/>
              </w:rPr>
              <w:t>106</w:t>
            </w:r>
          </w:p>
        </w:tc>
      </w:tr>
      <w:tr>
        <w:tc>
          <w:tcPr>
            <w:tcW w:type="dxa" w:w="3118"/>
            <w:shd w:val="clear" w:color="auto" w:fill="FAF9F6"/>
          </w:tcPr>
          <w:p>
            <w:pPr>
              <w:spacing w:after="0" w:line="240" w:lineRule="auto"/>
            </w:pPr>
            <w:r/>
            <w:r>
              <w:rPr>
                <w:b w:val="0"/>
                <w:i w:val="0"/>
                <w:sz w:val="17"/>
              </w:rPr>
              <w:t>Whangamomona</w:t>
            </w:r>
          </w:p>
        </w:tc>
        <w:tc>
          <w:tcPr>
            <w:tcW w:type="dxa" w:w="3685"/>
            <w:shd w:val="clear" w:color="auto" w:fill="FAF9F6"/>
          </w:tcPr>
          <w:p>
            <w:pPr>
              <w:spacing w:after="0" w:line="240" w:lineRule="auto"/>
            </w:pPr>
            <w:r/>
            <w:r>
              <w:rPr>
                <w:b w:val="0"/>
                <w:i w:val="0"/>
                <w:sz w:val="17"/>
              </w:rPr>
              <w:t>Port Taranaki</w:t>
            </w:r>
          </w:p>
        </w:tc>
        <w:tc>
          <w:tcPr>
            <w:tcW w:type="dxa" w:w="1134"/>
            <w:shd w:val="clear" w:color="auto" w:fill="FAF9F6"/>
          </w:tcPr>
          <w:p>
            <w:pPr>
              <w:spacing w:after="0" w:line="240" w:lineRule="auto"/>
              <w:jc w:val="right"/>
            </w:pPr>
            <w:r/>
            <w:r>
              <w:rPr>
                <w:b w:val="0"/>
                <w:i w:val="0"/>
                <w:sz w:val="17"/>
              </w:rPr>
              <w:t>112</w:t>
            </w:r>
          </w:p>
        </w:tc>
      </w:tr>
      <w:tr>
        <w:tc>
          <w:tcPr>
            <w:tcW w:type="dxa" w:w="3118"/>
          </w:tcPr>
          <w:p>
            <w:pPr>
              <w:spacing w:after="0" w:line="240" w:lineRule="auto"/>
            </w:pPr>
            <w:r/>
            <w:r>
              <w:rPr>
                <w:b w:val="0"/>
                <w:i w:val="0"/>
                <w:sz w:val="17"/>
              </w:rPr>
              <w:t>Whangamomona</w:t>
            </w:r>
          </w:p>
        </w:tc>
        <w:tc>
          <w:tcPr>
            <w:tcW w:type="dxa" w:w="3685"/>
          </w:tcPr>
          <w:p>
            <w:pPr>
              <w:spacing w:after="0" w:line="240" w:lineRule="auto"/>
            </w:pPr>
            <w:r/>
            <w:r>
              <w:rPr>
                <w:b w:val="0"/>
                <w:i w:val="0"/>
                <w:sz w:val="17"/>
              </w:rPr>
              <w:t>Whanganui</w:t>
            </w:r>
          </w:p>
        </w:tc>
        <w:tc>
          <w:tcPr>
            <w:tcW w:type="dxa" w:w="1134"/>
          </w:tcPr>
          <w:p>
            <w:pPr>
              <w:spacing w:after="0" w:line="240" w:lineRule="auto"/>
              <w:jc w:val="right"/>
            </w:pPr>
            <w:r/>
            <w:r>
              <w:rPr>
                <w:b w:val="0"/>
                <w:i w:val="0"/>
                <w:sz w:val="17"/>
              </w:rPr>
              <w:t>186</w:t>
            </w:r>
          </w:p>
        </w:tc>
      </w:tr>
      <w:tr>
        <w:tc>
          <w:tcPr>
            <w:tcW w:type="dxa" w:w="3118"/>
            <w:shd w:val="clear" w:color="auto" w:fill="FAF9F6"/>
          </w:tcPr>
          <w:p>
            <w:pPr>
              <w:spacing w:after="0" w:line="240" w:lineRule="auto"/>
            </w:pPr>
            <w:r/>
            <w:r>
              <w:rPr>
                <w:b w:val="0"/>
                <w:i w:val="0"/>
                <w:sz w:val="17"/>
              </w:rPr>
              <w:t>Staghaven / Tims (Mangaehu Road)</w:t>
            </w:r>
          </w:p>
        </w:tc>
        <w:tc>
          <w:tcPr>
            <w:tcW w:type="dxa" w:w="3685"/>
            <w:shd w:val="clear" w:color="auto" w:fill="FAF9F6"/>
          </w:tcPr>
          <w:p>
            <w:pPr>
              <w:spacing w:after="0" w:line="240" w:lineRule="auto"/>
            </w:pPr>
            <w:r/>
            <w:r>
              <w:rPr>
                <w:b w:val="0"/>
                <w:i w:val="0"/>
                <w:sz w:val="17"/>
              </w:rPr>
              <w:t>Stratford</w:t>
            </w:r>
          </w:p>
        </w:tc>
        <w:tc>
          <w:tcPr>
            <w:tcW w:type="dxa" w:w="1134"/>
            <w:shd w:val="clear" w:color="auto" w:fill="FAF9F6"/>
          </w:tcPr>
          <w:p>
            <w:pPr>
              <w:spacing w:after="0" w:line="240" w:lineRule="auto"/>
              <w:jc w:val="right"/>
            </w:pPr>
            <w:r/>
            <w:r>
              <w:rPr>
                <w:b w:val="0"/>
                <w:i w:val="0"/>
                <w:sz w:val="17"/>
              </w:rPr>
              <w:t>41</w:t>
            </w:r>
          </w:p>
        </w:tc>
      </w:tr>
      <w:tr>
        <w:tc>
          <w:tcPr>
            <w:tcW w:type="dxa" w:w="3118"/>
          </w:tcPr>
          <w:p>
            <w:pPr>
              <w:spacing w:after="0" w:line="240" w:lineRule="auto"/>
            </w:pPr>
            <w:r/>
            <w:r>
              <w:rPr>
                <w:b w:val="0"/>
                <w:i w:val="0"/>
                <w:sz w:val="17"/>
              </w:rPr>
              <w:t>Staghaven / Tims (Mangaehu Road)</w:t>
            </w:r>
          </w:p>
        </w:tc>
        <w:tc>
          <w:tcPr>
            <w:tcW w:type="dxa" w:w="3685"/>
          </w:tcPr>
          <w:p>
            <w:pPr>
              <w:spacing w:after="0" w:line="240" w:lineRule="auto"/>
            </w:pPr>
            <w:r/>
            <w:r>
              <w:rPr>
                <w:b w:val="0"/>
                <w:i w:val="0"/>
                <w:sz w:val="17"/>
              </w:rPr>
              <w:t>Hāwera</w:t>
            </w:r>
          </w:p>
        </w:tc>
        <w:tc>
          <w:tcPr>
            <w:tcW w:type="dxa" w:w="1134"/>
          </w:tcPr>
          <w:p>
            <w:pPr>
              <w:spacing w:after="0" w:line="240" w:lineRule="auto"/>
              <w:jc w:val="right"/>
            </w:pPr>
            <w:r/>
            <w:r>
              <w:rPr>
                <w:b w:val="0"/>
                <w:i w:val="0"/>
                <w:sz w:val="17"/>
              </w:rPr>
              <w:t>71</w:t>
            </w:r>
          </w:p>
        </w:tc>
      </w:tr>
      <w:tr>
        <w:tc>
          <w:tcPr>
            <w:tcW w:type="dxa" w:w="3118"/>
            <w:shd w:val="clear" w:color="auto" w:fill="FAF9F6"/>
          </w:tcPr>
          <w:p>
            <w:pPr>
              <w:spacing w:after="0" w:line="240" w:lineRule="auto"/>
            </w:pPr>
            <w:r/>
            <w:r>
              <w:rPr>
                <w:b w:val="0"/>
                <w:i w:val="0"/>
                <w:sz w:val="17"/>
              </w:rPr>
              <w:t>Staghaven / Tims (Mangaehu Road)</w:t>
            </w:r>
          </w:p>
        </w:tc>
        <w:tc>
          <w:tcPr>
            <w:tcW w:type="dxa" w:w="3685"/>
            <w:shd w:val="clear" w:color="auto" w:fill="FAF9F6"/>
          </w:tcPr>
          <w:p>
            <w:pPr>
              <w:spacing w:after="0" w:line="240" w:lineRule="auto"/>
            </w:pPr>
            <w:r/>
            <w:r>
              <w:rPr>
                <w:b w:val="0"/>
                <w:i w:val="0"/>
                <w:sz w:val="17"/>
              </w:rPr>
              <w:t>New Plymouth</w:t>
            </w:r>
          </w:p>
        </w:tc>
        <w:tc>
          <w:tcPr>
            <w:tcW w:type="dxa" w:w="1134"/>
            <w:shd w:val="clear" w:color="auto" w:fill="FAF9F6"/>
          </w:tcPr>
          <w:p>
            <w:pPr>
              <w:spacing w:after="0" w:line="240" w:lineRule="auto"/>
              <w:jc w:val="right"/>
            </w:pPr>
            <w:r/>
            <w:r>
              <w:rPr>
                <w:b w:val="0"/>
                <w:i w:val="0"/>
                <w:sz w:val="17"/>
              </w:rPr>
              <w:t>79</w:t>
            </w:r>
          </w:p>
        </w:tc>
      </w:tr>
      <w:tr>
        <w:tc>
          <w:tcPr>
            <w:tcW w:type="dxa" w:w="3118"/>
          </w:tcPr>
          <w:p>
            <w:pPr>
              <w:spacing w:after="0" w:line="240" w:lineRule="auto"/>
            </w:pPr>
            <w:r/>
            <w:r>
              <w:rPr>
                <w:b w:val="0"/>
                <w:i w:val="0"/>
                <w:sz w:val="17"/>
              </w:rPr>
              <w:t>Staghaven / Tims (Mangaehu Road)</w:t>
            </w:r>
          </w:p>
        </w:tc>
        <w:tc>
          <w:tcPr>
            <w:tcW w:type="dxa" w:w="3685"/>
          </w:tcPr>
          <w:p>
            <w:pPr>
              <w:spacing w:after="0" w:line="240" w:lineRule="auto"/>
            </w:pPr>
            <w:r/>
            <w:r>
              <w:rPr>
                <w:b w:val="0"/>
                <w:i w:val="0"/>
                <w:sz w:val="17"/>
              </w:rPr>
              <w:t>Port Taranaki</w:t>
            </w:r>
          </w:p>
        </w:tc>
        <w:tc>
          <w:tcPr>
            <w:tcW w:type="dxa" w:w="1134"/>
          </w:tcPr>
          <w:p>
            <w:pPr>
              <w:spacing w:after="0" w:line="240" w:lineRule="auto"/>
              <w:jc w:val="right"/>
            </w:pPr>
            <w:r/>
            <w:r>
              <w:rPr>
                <w:b w:val="0"/>
                <w:i w:val="0"/>
                <w:sz w:val="17"/>
              </w:rPr>
              <w:t>84</w:t>
            </w:r>
          </w:p>
        </w:tc>
      </w:tr>
      <w:tr>
        <w:tc>
          <w:tcPr>
            <w:tcW w:type="dxa" w:w="3118"/>
            <w:shd w:val="clear" w:color="auto" w:fill="FAF9F6"/>
          </w:tcPr>
          <w:p>
            <w:pPr>
              <w:spacing w:after="0" w:line="240" w:lineRule="auto"/>
            </w:pPr>
            <w:r/>
            <w:r>
              <w:rPr>
                <w:b w:val="0"/>
                <w:i w:val="0"/>
                <w:sz w:val="17"/>
              </w:rPr>
              <w:t>Staghaven / Tims (Mangaehu Road)</w:t>
            </w:r>
          </w:p>
        </w:tc>
        <w:tc>
          <w:tcPr>
            <w:tcW w:type="dxa" w:w="3685"/>
            <w:shd w:val="clear" w:color="auto" w:fill="FAF9F6"/>
          </w:tcPr>
          <w:p>
            <w:pPr>
              <w:spacing w:after="0" w:line="240" w:lineRule="auto"/>
            </w:pPr>
            <w:r/>
            <w:r>
              <w:rPr>
                <w:b w:val="0"/>
                <w:i w:val="0"/>
                <w:sz w:val="17"/>
              </w:rPr>
              <w:t>Whanganui</w:t>
            </w:r>
          </w:p>
        </w:tc>
        <w:tc>
          <w:tcPr>
            <w:tcW w:type="dxa" w:w="1134"/>
            <w:shd w:val="clear" w:color="auto" w:fill="FAF9F6"/>
          </w:tcPr>
          <w:p>
            <w:pPr>
              <w:spacing w:after="0" w:line="240" w:lineRule="auto"/>
              <w:jc w:val="right"/>
            </w:pPr>
            <w:r/>
            <w:r>
              <w:rPr>
                <w:b w:val="0"/>
                <w:i w:val="0"/>
                <w:sz w:val="17"/>
              </w:rPr>
              <w:t>159</w:t>
            </w:r>
          </w:p>
        </w:tc>
      </w:tr>
    </w:tbl>
    <w:p>
      <w:pPr>
        <w:spacing w:after="40"/>
      </w:pPr>
    </w:p>
    <w:p>
      <w:pPr>
        <w:pStyle w:val="Heading2"/>
      </w:pPr>
      <w:r>
        <w:t>5.13  Whangamomona</w:t>
      </w:r>
    </w:p>
    <w:p>
      <w:pPr>
        <w:spacing w:after="120"/>
      </w:pPr>
      <w:r>
        <w:rPr>
          <w:b w:val="0"/>
          <w:i/>
          <w:color w:val="717D4A"/>
        </w:rPr>
        <w:t>Forestry (Pinus radiata) and carbon · native bush and mānuka</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Forestry (Pinus radiata) and carbon · native bush and mānuka</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Nirvana Farm Limited (In Receivership)</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45–105 Whangamomona Road, Whangamōmona</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738.94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Radiata / exotic 355 ha · Native bush 123 ha · Mānuka / kānuka 177 ha · Open grassland 84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 xml:space="preserve">355 ha planted · 139 ha adequately stocked at April 2026 · 194 ha replant + 22 ha blanking in 2026 · 355 ha adequately stocked after 2026 · 5.5 ha further plantable. Planting years: 2024 (355 ha) </w:t>
            </w:r>
            <w:r>
              <w:rPr>
                <w:b/>
                <w:i w:val="0"/>
                <w:color w:val="B01E1E"/>
                <w:sz w:val="17"/>
              </w:rPr>
              <w:t>[TBC – stand records]</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524 ha (71%); LUC 6: 214 ha (29%) (LRIS NZLRI 2021). Open land by slope: flat (0–7°) 4 ha · rolling (8–20°) 15 ha · medium hill (21–35°) 38 ha · steep (&gt;35°) 28 ha. Altitude 140–400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Registered: 17 CAAs, 308.6 ha, unit balance 928 NZUs (MPI land status reports, NFL 28 Sep 2026 / Makowhai Station Aug 2025). NFL as landowner – Averaging – 2024: 308.6 ha, 928 NZUs (17 CAAs).</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78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TNK4/628 – Lot 1-2 Deposited Plan 19775, Section 1 Survey Office Plan 4558, Section 31 Block IV Town of Whangamomona, Lot 1-2 Deposited Plan 6674, Section 29 Block I Mahoe Survey District, Defined On Survey Office Plan 4792, Section 1-2 Survey Office Plan 13206, Section 1-10 Survey Office Plan 13278, Part Section 1 Survey Office Plan 13279 and Section 1 Survey Office Plan 13296 (738.9428 hectares).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 xml:space="preserve">Registered forestry right(s) to Whanga Carbon Limited (registered 2018–2019) </w:t>
            </w:r>
            <w:r>
              <w:rPr>
                <w:b/>
                <w:i w:val="0"/>
                <w:color w:val="B01E1E"/>
                <w:sz w:val="17"/>
              </w:rPr>
              <w:t>[TBC – status, and whether these rights are to be surrendered before settlement]</w:t>
            </w:r>
            <w:r>
              <w:rPr>
                <w:b w:val="0"/>
                <w:i w:val="0"/>
                <w:sz w:val="17"/>
              </w:rPr>
              <w:t>; Conservation covenant under s77 Reserves Act 1977 (1991) over part; Notice of access rights under s83 Crown Minerals Act 1991 (2010); Section 27B State-Owned Enterprises Act 1986 memorial (Treaty resumption provision); Standard Crown mineral reservations (Petroleum, Mining, Coal Mines, Atomic Energy and Geothermal Energy Acts)</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Stratford District Plan 2014</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Stratford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 xml:space="preserve">Stratford DC assessment 1199138200 – Whangamomona Road RD 26 – composite unit for TNK4/628 </w:t>
            </w:r>
            <w:r>
              <w:rPr>
                <w:b/>
                <w:i w:val="0"/>
                <w:color w:val="B01E1E"/>
                <w:sz w:val="17"/>
              </w:rPr>
              <w:t>[TBC – database shows the first parcel only]</w:t>
            </w:r>
            <w:r>
              <w:rPr>
                <w:b w:val="0"/>
                <w:i w:val="0"/>
                <w:sz w:val="17"/>
              </w:rPr>
              <w:t xml:space="preserve"> (738.94 ha): land value $3,910,000, improvements $350,000, capital value $4,260,000; rates $33,341 p.a.</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Road frontage to Whangamomona Road (SH43 Forgotten World Highway). About $8,500 of maintenance tracking needed to restore access to parts of the block; aerial lifting into stand 2. Internal tracks about 4.6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Seven building outlines around the Whangamomona Road frontage, the largest about 625 m² (the old woolshed noted by Stand) with two buildings of about 160 m² that may be dwellings or cottages. </w:t>
            </w:r>
            <w:r>
              <w:rPr>
                <w:b/>
                <w:i w:val="0"/>
                <w:color w:val="B01E1E"/>
                <w:sz w:val="17"/>
              </w:rPr>
              <w:t>[TBC – description, condition and occupancy; the block includes the 46 and 105 Whangamomona Road addresses]</w:t>
            </w:r>
          </w:p>
        </w:tc>
      </w:tr>
    </w:tbl>
    <w:p>
      <w:pPr>
        <w:spacing w:after="40"/>
      </w:pPr>
    </w:p>
    <w:p>
      <w:pPr>
        <w:pStyle w:val="Heading3"/>
      </w:pPr>
      <w:r>
        <w:t>Description</w:t>
      </w:r>
    </w:p>
    <w:p>
      <w:r>
        <w:rPr>
          <w:b w:val="0"/>
          <w:i w:val="0"/>
        </w:rPr>
        <w:t>A single 739 ha title in 21 parcels wrapping around the Whangamomona township on the Forgotten World Highway. About 355 ha of radiata was planted in 2024, of which only 139 ha was adequately stocked at April 2026: stands 2.01 and 2.02 failed to heavy pest pressure before the culling programme and are programmed for 194 ha of replanting, with 22 ha of blanking elsewhere. Dothistroma needle blight is affecting about 150 ha of compartments 1.01 and 1.02 and treatment (about $15,000) was recommended. Stand note the replanted stands remain at high risk and that the 5.5 ha of unplanted ground behind the hotel and under the old power lines should be planted in priority. The remainder of the block is native bush and mānuka/kānuka with about 84 ha of open hill.</w:t>
      </w:r>
    </w:p>
    <w:p>
      <w:pPr>
        <w:pStyle w:val="Heading3"/>
      </w:pPr>
      <w:r>
        <w:t>Points to note</w:t>
      </w:r>
    </w:p>
    <w:p>
      <w:pPr>
        <w:pStyle w:val="ListBullet"/>
        <w:spacing w:after="40"/>
      </w:pPr>
      <w:r>
        <w:rPr>
          <w:b w:val="0"/>
          <w:i w:val="0"/>
        </w:rPr>
        <w:t>Repeated stock incursions have damaged trees; fencing and stock exclusion are needed. Constant pest control continues to keep the pressure on deer, goats and pigs on the replanted stands.</w:t>
      </w:r>
    </w:p>
    <w:p>
      <w:pPr>
        <w:pStyle w:val="ListBullet"/>
        <w:spacing w:after="40"/>
      </w:pPr>
      <w:r>
        <w:rPr>
          <w:b w:val="0"/>
          <w:i w:val="0"/>
        </w:rPr>
        <w:t>The block includes the 46 and 105 Whangamomona Road addresses.</w:t>
      </w:r>
    </w:p>
    <w:p>
      <w:pPr>
        <w:pStyle w:val="Heading3"/>
      </w:pPr>
      <w:r>
        <w:t>Items to confirm</w:t>
      </w:r>
    </w:p>
    <w:p>
      <w:pPr>
        <w:pStyle w:val="ListBullet"/>
        <w:spacing w:after="40"/>
      </w:pPr>
      <w:r>
        <w:rPr>
          <w:b/>
          <w:i w:val="0"/>
          <w:color w:val="B01E1E"/>
        </w:rPr>
        <w:t>[TBC]</w:t>
      </w:r>
      <w:r>
        <w:rPr>
          <w:b w:val="0"/>
          <w:i w:val="0"/>
        </w:rPr>
        <w:t xml:space="preserve"> Improvements (CBRE carried $250,000 – old woolshed and any dwelling) and occupancy.</w:t>
      </w:r>
    </w:p>
    <w:p>
      <w:pPr>
        <w:pStyle w:val="ListBullet"/>
        <w:spacing w:after="40"/>
      </w:pPr>
      <w:r>
        <w:rPr>
          <w:b/>
          <w:i w:val="0"/>
          <w:color w:val="B01E1E"/>
        </w:rPr>
        <w:t>[TBC]</w:t>
      </w:r>
      <w:r>
        <w:rPr>
          <w:b w:val="0"/>
          <w:i w:val="0"/>
        </w:rPr>
        <w:t xml:space="preserve"> Whether the 2026 replanting of stands 2.01/2.02 has been completed.</w:t>
      </w:r>
    </w:p>
    <w:p>
      <w:pPr>
        <w:sectPr>
          <w:pgSz w:w="11906" w:h="16838"/>
          <w:pgMar w:top="1134" w:right="1134" w:bottom="1020" w:left="1134" w:header="720" w:footer="720" w:gutter="0"/>
          <w:cols w:space="720"/>
          <w:docGrid w:linePitch="360"/>
        </w:sectPr>
      </w:pPr>
    </w:p>
    <w:p>
      <w:pPr>
        <w:spacing w:after="20"/>
      </w:pPr>
      <w:r>
        <w:rPr>
          <w:b/>
          <w:i w:val="0"/>
          <w:color w:val="37441D"/>
          <w:sz w:val="18"/>
        </w:rPr>
        <w:t>Whangamomona – property map</w:t>
      </w:r>
    </w:p>
    <w:p>
      <w:pPr>
        <w:jc w:val="center"/>
      </w:pPr>
      <w:r>
        <w:drawing>
          <wp:inline xmlns:a="http://schemas.openxmlformats.org/drawingml/2006/main" xmlns:pic="http://schemas.openxmlformats.org/drawingml/2006/picture">
            <wp:extent cx="8784000" cy="6214958"/>
            <wp:docPr id="19" name="Picture 19"/>
            <wp:cNvGraphicFramePr>
              <a:graphicFrameLocks noChangeAspect="1"/>
            </wp:cNvGraphicFramePr>
            <a:graphic>
              <a:graphicData uri="http://schemas.openxmlformats.org/drawingml/2006/picture">
                <pic:pic>
                  <pic:nvPicPr>
                    <pic:cNvPr id="0" name="map_whangamomona.jpg"/>
                    <pic:cNvPicPr/>
                  </pic:nvPicPr>
                  <pic:blipFill>
                    <a:blip r:embed="rId27"/>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5.14  Staghaven</w:t>
      </w:r>
    </w:p>
    <w:p>
      <w:pPr>
        <w:spacing w:after="120"/>
      </w:pPr>
      <w:r>
        <w:rPr>
          <w:b w:val="0"/>
          <w:i/>
          <w:color w:val="717D4A"/>
        </w:rPr>
        <w:t>Forestry (Pinus radiata) and carbon · native bush · rolling pasture</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Forestry (Pinus radiata) and carbon · native bush · rolling pasture</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Nirvana Farm Limited (In Receivership)</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694 Mangaehu Road, Puniwhakau</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295.55 ha (LINZ calculated 296.6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Radiata / exotic 132 ha · Native bush 88 ha · Mānuka / kānuka 12 ha · Open grassland 65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 xml:space="preserve">83 ha planted · 83 ha adequately stocked at April 2026 · 0 ha replant + 0 ha blanking in 2026 · 83 ha adequately stocked after 2026. Planting years: 2024 (83 ha); 2011 radiata (22 ha) under stock change; older exotic about 27 ha </w:t>
            </w:r>
            <w:r>
              <w:rPr>
                <w:b/>
                <w:i w:val="0"/>
                <w:color w:val="B01E1E"/>
                <w:sz w:val="17"/>
              </w:rPr>
              <w:t>[TBC – stand records]</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171 ha (58%); LUC 6: 80 ha (27%); LUC 4: 46 ha (15%) (LRIS NZLRI 2021). Open land by slope: flat (0–7°) 0 ha · rolling (8–20°) 20 ha · medium hill (21–35°) 45 ha · steep (&gt;35°) 0 ha. Altitude 140–440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Registered: 8 CAAs, 82.5 ha, unit balance 4,654 NZUs (MPI land status reports, NFL 28 Sep 2026 / Makowhai Station Aug 2025). NFL as landowner – Stock change – pine: 21.6 ha, 4,472 NZUs (5 CAAs); NFL as landowner – Averaging – 2024: 60.9 ha, 182 NZUs (3 CAAs).</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26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TNH4/186 – Section 2-3 and Section 5 Block III Omoana Survey District (242.8113 hectares); TN118/45 – Subdivision 1 Section 1 Block III Omona Survey District (44.7178 hectares); TNH4/183 – Section 11 Block III Omoana Survey District (8.0229 hectares).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 xml:space="preserve">Mortgage to Vitol Asia Pte Ltd (7 June 2023) – to be discharged at settlement; Registered forestry right(s) to Staghaven Carbon Limited (registered 2018–2019) </w:t>
            </w:r>
            <w:r>
              <w:rPr>
                <w:b/>
                <w:i w:val="0"/>
                <w:color w:val="B01E1E"/>
                <w:sz w:val="17"/>
              </w:rPr>
              <w:t>[TBC – status, and whether these rights are to be surrendered before settlement]</w:t>
            </w:r>
            <w:r>
              <w:rPr>
                <w:b w:val="0"/>
                <w:i w:val="0"/>
                <w:sz w:val="17"/>
              </w:rPr>
              <w:t xml:space="preserve"> (TNH4/186); Sustainable Forest Management permit under s67M Forests Act 1949 (indigenous timber, 2000–2002) (TNH4/186); Notice(s) under s195(2) Climate Change Response Act 2002 (ETS registration) (TN118/45, TNH4/183)</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Stratford District Plan 2014</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Stratford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 xml:space="preserve">Stratford DC assessment 1204110201 (SUIP A) – Mangaehu Road RD 22 – Sub 1 Sec 1, Secs 2, 3, 5, 11 Blk III Omoana SD (a 43 ha SUIP B in the same assessment is not in the sale titles </w:t>
            </w:r>
            <w:r>
              <w:rPr>
                <w:b/>
                <w:i w:val="0"/>
                <w:color w:val="B01E1E"/>
                <w:sz w:val="17"/>
              </w:rPr>
              <w:t>[TBC]</w:t>
            </w:r>
            <w:r>
              <w:rPr>
                <w:b w:val="0"/>
                <w:i w:val="0"/>
                <w:sz w:val="17"/>
              </w:rPr>
              <w:t>) (295.55 ha): land value $1,300,000, improvements $190,000, capital value $1,490,000; rates $5,760 p.a. (district $5,071 + regional $689)</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Road frontage to Mangaehu Road.</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One small building (about 20 m²); the Staghaven homestead sits on TNH4/170, which has been sold separately and is not included. </w:t>
            </w:r>
            <w:r>
              <w:rPr>
                <w:b/>
                <w:i w:val="0"/>
                <w:color w:val="B01E1E"/>
                <w:sz w:val="17"/>
              </w:rPr>
              <w:t>[TBC]</w:t>
            </w:r>
          </w:p>
        </w:tc>
      </w:tr>
    </w:tbl>
    <w:p>
      <w:pPr>
        <w:spacing w:after="40"/>
      </w:pPr>
    </w:p>
    <w:p>
      <w:pPr>
        <w:pStyle w:val="Heading3"/>
      </w:pPr>
      <w:r>
        <w:t>Description</w:t>
      </w:r>
    </w:p>
    <w:p>
      <w:r>
        <w:rPr>
          <w:b w:val="0"/>
          <w:i w:val="0"/>
        </w:rPr>
        <w:t>Three titles totalling 296 ha on Mangaehu Road east of Stratford. About 83 ha of radiata was planted in 2024 on top of some 49 ha of older exotic forest including 2011 stands registered in the ETS; Stand found near-100% survival and no remediation is required. The balance is native bush and about 65 ha of rolling to medium-hill pasture. The fourth Staghaven title (TNH4/170, 156 ha at 694 Mangaehu Road), which carries the homestead, was transferred to FR Waipuna Limited – the owner of Magons – and is not included in the receivership sale; it is available separately through Searle Forestry by negotiation with that owner.</w:t>
      </w:r>
    </w:p>
    <w:p>
      <w:pPr>
        <w:pStyle w:val="Heading3"/>
      </w:pPr>
      <w:r>
        <w:t>Points to note</w:t>
      </w:r>
    </w:p>
    <w:p>
      <w:pPr>
        <w:pStyle w:val="ListBullet"/>
        <w:spacing w:after="40"/>
      </w:pPr>
      <w:r>
        <w:rPr>
          <w:b w:val="0"/>
          <w:i w:val="0"/>
        </w:rPr>
        <w:t>The best-stocked young crop in the estate – no 2026 work required.</w:t>
      </w:r>
    </w:p>
    <w:p>
      <w:pPr>
        <w:pStyle w:val="ListBullet"/>
        <w:spacing w:after="40"/>
      </w:pPr>
      <w:r>
        <w:rPr>
          <w:b w:val="0"/>
          <w:i w:val="0"/>
        </w:rPr>
        <w:t>Financier security remains over these titles and will be released at settlement.</w:t>
      </w:r>
    </w:p>
    <w:p>
      <w:pPr>
        <w:pStyle w:val="ListBullet"/>
        <w:spacing w:after="40"/>
      </w:pPr>
      <w:r>
        <w:rPr>
          <w:b w:val="0"/>
          <w:i w:val="0"/>
        </w:rPr>
        <w:t>The homestead title TNH4/170 (FR Waipuna Limited) is available separately – see the Magons entry.</w:t>
      </w:r>
    </w:p>
    <w:p>
      <w:pPr>
        <w:pStyle w:val="Heading3"/>
      </w:pPr>
      <w:r>
        <w:t>Items to confirm</w:t>
      </w:r>
    </w:p>
    <w:p>
      <w:pPr>
        <w:pStyle w:val="ListBullet"/>
        <w:spacing w:after="40"/>
      </w:pPr>
      <w:r>
        <w:rPr>
          <w:b/>
          <w:i w:val="0"/>
          <w:color w:val="B01E1E"/>
        </w:rPr>
        <w:t>[TBC]</w:t>
      </w:r>
      <w:r>
        <w:rPr>
          <w:b w:val="0"/>
          <w:i w:val="0"/>
        </w:rPr>
        <w:t xml:space="preserve"> Stand records for the older exotic areas (about 49 ha) and their regime.</w:t>
      </w:r>
    </w:p>
    <w:p>
      <w:pPr>
        <w:pStyle w:val="ListBullet"/>
        <w:spacing w:after="40"/>
      </w:pPr>
      <w:r>
        <w:rPr>
          <w:b/>
          <w:i w:val="0"/>
          <w:color w:val="B01E1E"/>
        </w:rPr>
        <w:t>[TBC]</w:t>
      </w:r>
      <w:r>
        <w:rPr>
          <w:b w:val="0"/>
          <w:i w:val="0"/>
        </w:rPr>
        <w:t xml:space="preserve"> Access and any easements following the separate sale of TNH4/170.</w:t>
      </w:r>
    </w:p>
    <w:p>
      <w:pPr>
        <w:sectPr>
          <w:pgSz w:w="11906" w:h="16838"/>
          <w:pgMar w:top="1134" w:right="1134" w:bottom="1020" w:left="1134" w:header="720" w:footer="720" w:gutter="0"/>
          <w:cols w:space="720"/>
          <w:docGrid w:linePitch="360"/>
        </w:sectPr>
      </w:pPr>
    </w:p>
    <w:p>
      <w:pPr>
        <w:spacing w:after="20"/>
      </w:pPr>
      <w:r>
        <w:rPr>
          <w:b/>
          <w:i w:val="0"/>
          <w:color w:val="37441D"/>
          <w:sz w:val="18"/>
        </w:rPr>
        <w:t>Staghaven – property map</w:t>
      </w:r>
    </w:p>
    <w:p>
      <w:pPr>
        <w:jc w:val="center"/>
      </w:pPr>
      <w:r>
        <w:drawing>
          <wp:inline xmlns:a="http://schemas.openxmlformats.org/drawingml/2006/main" xmlns:pic="http://schemas.openxmlformats.org/drawingml/2006/picture">
            <wp:extent cx="8784000" cy="6214958"/>
            <wp:docPr id="20" name="Picture 20"/>
            <wp:cNvGraphicFramePr>
              <a:graphicFrameLocks noChangeAspect="1"/>
            </wp:cNvGraphicFramePr>
            <a:graphic>
              <a:graphicData uri="http://schemas.openxmlformats.org/drawingml/2006/picture">
                <pic:pic>
                  <pic:nvPicPr>
                    <pic:cNvPr id="0" name="map_staghaven.jpg"/>
                    <pic:cNvPicPr/>
                  </pic:nvPicPr>
                  <pic:blipFill>
                    <a:blip r:embed="rId28"/>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5.15  Tims</w:t>
      </w:r>
    </w:p>
    <w:p>
      <w:pPr>
        <w:spacing w:after="120"/>
      </w:pPr>
      <w:r>
        <w:rPr>
          <w:b w:val="0"/>
          <w:i/>
          <w:color w:val="717D4A"/>
        </w:rPr>
        <w:t>Native bush and scrub</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Native bush and scrub</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Nirvana Farm Limited (In Receivership)</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1210 Upper Mangaehu Road</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14.32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Native bush 5 ha · Mānuka / kānuka 9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No radiata crop</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14 ha (100%) (LRIS NZLRI 2021). Altitude 240–400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No carbon accounting areas registered on the block</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Negligible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646771 – Lot 1 Deposited Plan 473178 (14.3204 hectares).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Mortgage to Vitol Asia Pte Ltd (7 June 2023) – to be discharged at settlement; Sustainable Forest Management permit under s67M Forests Act 1949 (indigenous timber, 2000–2002)</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Stratford District Plan 2014</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Stratford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Stratford DC assessment 1204114400 – Upper Mangaehu Road RD 22 – Lot 1 DP 473178 (14.32 ha): land value $67,000, improvements $0, capital value $67,000; rates $1,371 p.a. (district $1,202 + regional $169)</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Road frontage to Upper Mangaehu Road.</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No buildings.</w:t>
            </w:r>
          </w:p>
        </w:tc>
      </w:tr>
    </w:tbl>
    <w:p>
      <w:pPr>
        <w:spacing w:after="40"/>
      </w:pPr>
    </w:p>
    <w:p>
      <w:pPr>
        <w:pStyle w:val="Heading3"/>
      </w:pPr>
      <w:r>
        <w:t>Description</w:t>
      </w:r>
    </w:p>
    <w:p>
      <w:r>
        <w:rPr>
          <w:b w:val="0"/>
          <w:i w:val="0"/>
        </w:rPr>
        <w:t>A 14 ha block of native and scrub on Upper Mangaehu Road, near Staghaven.</w:t>
      </w:r>
    </w:p>
    <w:p>
      <w:pPr>
        <w:sectPr>
          <w:pgSz w:w="11906" w:h="16838"/>
          <w:pgMar w:top="1134" w:right="1134" w:bottom="1020" w:left="1134" w:header="720" w:footer="720" w:gutter="0"/>
          <w:cols w:space="720"/>
          <w:docGrid w:linePitch="360"/>
        </w:sectPr>
      </w:pPr>
    </w:p>
    <w:p>
      <w:pPr>
        <w:spacing w:after="20"/>
      </w:pPr>
      <w:r>
        <w:rPr>
          <w:b/>
          <w:i w:val="0"/>
          <w:color w:val="37441D"/>
          <w:sz w:val="18"/>
        </w:rPr>
        <w:t>Tims – property map</w:t>
      </w:r>
    </w:p>
    <w:p>
      <w:pPr>
        <w:jc w:val="center"/>
      </w:pPr>
      <w:r>
        <w:drawing>
          <wp:inline xmlns:a="http://schemas.openxmlformats.org/drawingml/2006/main" xmlns:pic="http://schemas.openxmlformats.org/drawingml/2006/picture">
            <wp:extent cx="8784000" cy="6214958"/>
            <wp:docPr id="21" name="Picture 21"/>
            <wp:cNvGraphicFramePr>
              <a:graphicFrameLocks noChangeAspect="1"/>
            </wp:cNvGraphicFramePr>
            <a:graphic>
              <a:graphicData uri="http://schemas.openxmlformats.org/drawingml/2006/picture">
                <pic:pic>
                  <pic:nvPicPr>
                    <pic:cNvPr id="0" name="map_tims.jpg"/>
                    <pic:cNvPicPr/>
                  </pic:nvPicPr>
                  <pic:blipFill>
                    <a:blip r:embed="rId29"/>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5.16  Soldiers Road (forestry right) – forestry right</w:t>
      </w:r>
    </w:p>
    <w:p>
      <w:pPr>
        <w:spacing w:after="120"/>
      </w:pPr>
      <w:r>
        <w:rPr>
          <w:b w:val="0"/>
          <w:i/>
          <w:color w:val="717D4A"/>
        </w:rPr>
        <w:t>Forestry right only – Pinus radiata and carbon</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Forestry right only – Pinus radiata and carbon</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Forestry Right 12717687.19 held by Nirvana Farm Limited (In Receivership) – land owned by Land &amp; Bee's Limited (not included)</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202 Tuwharenikau Road (Tawhiwhi Settlement)</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362.19 ha – forestry right over the whole title; land not included</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Radiata / exotic 176 ha · Native bush 1 ha · Mānuka / kānuka 131 ha · Open grassland 53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 xml:space="preserve">176 ha planted · 50 ha adequately stocked at April 2026 · 88 ha replant + 38 ha blanking in 2026 · 176 ha adequately stocked after 2026. Planting years: 2023 (176 ha) </w:t>
            </w:r>
            <w:r>
              <w:rPr>
                <w:b/>
                <w:i w:val="0"/>
                <w:color w:val="B01E1E"/>
                <w:sz w:val="17"/>
              </w:rPr>
              <w:t>[TBC – stand records]</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 xml:space="preserve">Hill country at about 300–500 m; open land by slope: flat 5 ha · rolling 14 ha · medium hill 21 ha · steep 13 ha (July 2026 mapping). </w:t>
            </w:r>
            <w:r>
              <w:rPr>
                <w:b/>
                <w:i w:val="0"/>
                <w:color w:val="B01E1E"/>
                <w:sz w:val="17"/>
              </w:rPr>
              <w:t>[TBC – LUC]</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 xml:space="preserve">Four NFL CAAs (9.6 ha, 59 NZUs) registered over RT 153235 at 28 Sep 2026 – the forestry right describes a 160 ha carbon accounting area; registration of the balance of the 176 ha </w:t>
            </w:r>
            <w:r>
              <w:rPr>
                <w:b/>
                <w:i w:val="0"/>
                <w:color w:val="B01E1E"/>
                <w:sz w:val="17"/>
              </w:rPr>
              <w:t>[TBC]</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114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RT 153235 – Section 5S and Subdivision 2 Section 6S Tawhiwhi Settlement (362.19 ha), Taranaki Land District – Land &amp; Bee's Limited.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Registered forestry right (Forestry Rights Registration Act 1983) over the whole title – the freehold land is not included</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i w:val="0"/>
                <w:color w:val="B01E1E"/>
                <w:sz w:val="17"/>
              </w:rPr>
              <w:t>[TBC – forestry right instrument and any mortgage of it]</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Stratford District Plan 2014</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Stratford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Not applicable – the land (RT 153235) is rated to Land &amp; Bee's Limited.</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Forestry right only; no leases</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One internal track through the centre of the block; much of the planted area is reachable only by air, so pest control is carried out by aerial shooting. Aerial lifting budget $8,800 plus $3,300 for chemical.</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Not applicable – forestry right only.</w:t>
            </w:r>
          </w:p>
        </w:tc>
      </w:tr>
    </w:tbl>
    <w:p>
      <w:pPr>
        <w:spacing w:after="40"/>
      </w:pPr>
    </w:p>
    <w:p>
      <w:pPr>
        <w:pStyle w:val="Heading3"/>
      </w:pPr>
      <w:r>
        <w:t>Description</w:t>
      </w:r>
    </w:p>
    <w:p>
      <w:r>
        <w:rPr>
          <w:b w:val="0"/>
          <w:i w:val="0"/>
        </w:rPr>
        <w:t>Offered as a registered forestry right only. Forestry Right 12717687.19 was granted by Land &amp; Bee's Limited to Nirvana Farm Limited over the whole of title 153235 (362 ha) and covers about 176 ha of radiata planted in 2023. Stand found a large part of the crop had failed to pest damage – only 50 ha was adequately stocked – and programmed 88 ha of replanting and 38 ha of blanking for 2026, noting that the scattered fingers of planting among scrub need the regular aerial shooting that forms part of the ongoing pest-control programme. The land itself is retained by Land &amp; Bee's Limited.</w:t>
      </w:r>
    </w:p>
    <w:p>
      <w:pPr>
        <w:pStyle w:val="Heading3"/>
      </w:pPr>
      <w:r>
        <w:t>Points to note</w:t>
      </w:r>
    </w:p>
    <w:p>
      <w:pPr>
        <w:pStyle w:val="ListBullet"/>
        <w:spacing w:after="40"/>
      </w:pPr>
      <w:r>
        <w:rPr>
          <w:b w:val="0"/>
          <w:i w:val="0"/>
        </w:rPr>
        <w:t>Only the forestry right is for sale; the freehold land is not included.</w:t>
      </w:r>
    </w:p>
    <w:p>
      <w:pPr>
        <w:pStyle w:val="ListBullet"/>
        <w:spacing w:after="40"/>
      </w:pPr>
      <w:r>
        <w:rPr>
          <w:b w:val="0"/>
          <w:i w:val="0"/>
        </w:rPr>
        <w:t>The CBRE report records the 176 ha as ETS-registered with carbon pre-sold to year 14.</w:t>
      </w:r>
    </w:p>
    <w:p>
      <w:pPr>
        <w:pStyle w:val="Heading3"/>
      </w:pPr>
      <w:r>
        <w:t>Items to confirm</w:t>
      </w:r>
    </w:p>
    <w:p>
      <w:pPr>
        <w:pStyle w:val="ListBullet"/>
        <w:spacing w:after="40"/>
      </w:pPr>
      <w:r>
        <w:rPr>
          <w:b/>
          <w:i w:val="0"/>
          <w:color w:val="B01E1E"/>
        </w:rPr>
        <w:t>[TBC]</w:t>
      </w:r>
      <w:r>
        <w:rPr>
          <w:b w:val="0"/>
          <w:i w:val="0"/>
        </w:rPr>
        <w:t xml:space="preserve"> Copy of the forestry right (term, rent, harvest and carbon provisions, access rights).</w:t>
      </w:r>
    </w:p>
    <w:p>
      <w:pPr>
        <w:pStyle w:val="ListBullet"/>
        <w:spacing w:after="40"/>
      </w:pPr>
      <w:r>
        <w:rPr>
          <w:b/>
          <w:i w:val="0"/>
          <w:color w:val="B01E1E"/>
        </w:rPr>
        <w:t>[TBC]</w:t>
      </w:r>
      <w:r>
        <w:rPr>
          <w:b w:val="0"/>
          <w:i w:val="0"/>
        </w:rPr>
        <w:t xml:space="preserve"> Current ETS registration of the full planted area and the unit balance.</w:t>
      </w:r>
    </w:p>
    <w:p>
      <w:pPr>
        <w:pStyle w:val="ListBullet"/>
        <w:spacing w:after="40"/>
      </w:pPr>
      <w:r>
        <w:rPr>
          <w:b/>
          <w:i w:val="0"/>
          <w:color w:val="B01E1E"/>
        </w:rPr>
        <w:t>[TBC]</w:t>
      </w:r>
      <w:r>
        <w:rPr>
          <w:b w:val="0"/>
          <w:i w:val="0"/>
        </w:rPr>
        <w:t xml:space="preserve"> Status of the 2026 replanting.</w:t>
      </w:r>
    </w:p>
    <w:p>
      <w:pPr>
        <w:shd w:val="clear" w:color="auto" w:fill="F2F0EA"/>
        <w:spacing w:after="160"/>
        <w:ind w:left="113"/>
      </w:pPr>
      <w:r>
        <w:rPr>
          <w:b/>
          <w:color w:val="6B6B60"/>
          <w:sz w:val="18"/>
        </w:rPr>
        <w:t xml:space="preserve">Internal note – not for the IM: </w:t>
      </w:r>
      <w:r>
        <w:rPr>
          <w:b w:val="0"/>
          <w:i w:val="0"/>
          <w:color w:val="3A3A35"/>
          <w:sz w:val="18"/>
        </w:rPr>
        <w:t>Soldiers Road: no map sheet yet – the forestry-right area over RT 153235 will be added to the map set once the registered plan is on file.</w:t>
      </w:r>
    </w:p>
    <w:p>
      <w:r>
        <w:br w:type="page"/>
      </w:r>
    </w:p>
    <w:p>
      <w:pPr>
        <w:pStyle w:val="Heading2"/>
      </w:pPr>
      <w:r>
        <w:t>5.17  Magons – available separately</w:t>
      </w:r>
    </w:p>
    <w:p>
      <w:pPr>
        <w:spacing w:after="120"/>
      </w:pPr>
      <w:r>
        <w:rPr>
          <w:b w:val="0"/>
          <w:i/>
          <w:color w:val="717D4A"/>
        </w:rPr>
        <w:t>Forestry (Pinus radiata) and carbon · hill grazing – available separately</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Forestry (Pinus radiata) and carbon · hill grazing – available separately</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FR Waipuna Limited (registered owner) – not part of the receivership sale; available through Searle Forestry by separate negotiation</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172 Puniwhakau Road, Puniwhakau (east of Stratford)</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776.96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 xml:space="preserve">Not mapped – CBRE (Oct 2024) land classes: 86 ha easy / undulating (LUC I–III), 270 ha medium hill (LUC IV–V), 421 ha steep hill (LUC VI–VIII) </w:t>
            </w:r>
            <w:r>
              <w:rPr>
                <w:b/>
                <w:i w:val="0"/>
                <w:color w:val="B01E1E"/>
                <w:sz w:val="17"/>
              </w:rPr>
              <w:t>[TBC]</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 xml:space="preserve">About 311 ha of ETS-registered Pinus radiata (CBRE, Oct 2024) </w:t>
            </w:r>
            <w:r>
              <w:rPr>
                <w:b/>
                <w:i w:val="0"/>
                <w:color w:val="B01E1E"/>
                <w:sz w:val="17"/>
              </w:rPr>
              <w:t>[TBC – planting years, net stocked area and CAA detail from the owner]</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 xml:space="preserve">CBRE (Oct 2024) land classes: 86 ha easy / undulating (LUC I–III), 270 ha medium hill (LUC IV–V), 421 ha steep hill (LUC VI–VIII) </w:t>
            </w:r>
            <w:r>
              <w:rPr>
                <w:b/>
                <w:i w:val="0"/>
                <w:color w:val="B01E1E"/>
                <w:sz w:val="17"/>
              </w:rPr>
              <w:t>[TBC – altitude and LUC mapping]</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 xml:space="preserve">Carbon units to year 14 recorded by CBRE as pre-sold </w:t>
            </w:r>
            <w:r>
              <w:rPr>
                <w:b/>
                <w:i w:val="0"/>
                <w:color w:val="B01E1E"/>
                <w:sz w:val="17"/>
              </w:rPr>
              <w:t>[TBC – NZU position and forward-sale status with the owner]</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i w:val="0"/>
                <w:color w:val="B01E1E"/>
                <w:sz w:val="17"/>
              </w:rPr>
              <w:t>[TBC]</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TNB1/802 – Section 35 Block III Omoana Survey District (1.9905 ha); TNG1/745 – Sections 21 and 27 Block IV Omoana Survey District (87.0074 ha); TNG1/730 – Section 20 Block IV Omoana Survey District (80.9371 ha); TNG1/733 – Section 22 Block IV Omoana Survey District (80.9371 ha); TNG1/734 – Section 23 Block IV Omoana Survey District (80.9371 ha); TNE3/1365 – Sections 24–26 Block IV Omoana Survey District (283.2799 ha); TNL1/652 – Sections 20–21 Block III Omoana Survey District (161.8742 ha).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 xml:space="preserve">Fee simple (freehold) </w:t>
            </w:r>
            <w:r>
              <w:rPr>
                <w:b/>
                <w:i w:val="0"/>
                <w:color w:val="B01E1E"/>
                <w:sz w:val="17"/>
              </w:rPr>
              <w:t>[TBC – title searches]</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i w:val="0"/>
                <w:color w:val="B01E1E"/>
                <w:sz w:val="17"/>
              </w:rPr>
              <w:t>[TBC – title searches]</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Stratford District Plan 2014</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Stratford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 xml:space="preserve">Stratford DC assessment 1204109700 – Puniwhakau Road RD 22 – Secs 20–27 and 35 Blks III/IV Omoana SD </w:t>
            </w:r>
            <w:r>
              <w:rPr>
                <w:b/>
                <w:i w:val="0"/>
                <w:color w:val="B01E1E"/>
                <w:sz w:val="17"/>
              </w:rPr>
              <w:t>[TBC – database shows the first parcel only]</w:t>
            </w:r>
            <w:r>
              <w:rPr>
                <w:b w:val="0"/>
                <w:i w:val="0"/>
                <w:sz w:val="17"/>
              </w:rPr>
              <w:t xml:space="preserve"> (776.96 ha): land value $3,340,000, improvements $470,000, capital value $3,810,000; rates $31,472 p.a. (district $29,937 + regional $1,535)</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i w:val="0"/>
                <w:color w:val="B01E1E"/>
                <w:sz w:val="17"/>
              </w:rPr>
              <w:t>[TBC – owner]</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 xml:space="preserve">Road frontage to Puniwhakau Road </w:t>
            </w:r>
            <w:r>
              <w:rPr>
                <w:b/>
                <w:i w:val="0"/>
                <w:color w:val="B01E1E"/>
                <w:sz w:val="17"/>
              </w:rPr>
              <w:t>[TBC]</w:t>
            </w:r>
            <w:r>
              <w:rPr>
                <w:b w:val="0"/>
                <w:i w:val="0"/>
                <w:sz w:val="17"/>
              </w:rPr>
              <w:t>.</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About ten building outlines on the LINZ aerial layer around 172 Puniwhakau Road including a shed of about 570 m² and a building of about 250 m²; CBRE carried a dwelling and farm buildings. </w:t>
            </w:r>
            <w:r>
              <w:rPr>
                <w:b/>
                <w:i w:val="0"/>
                <w:color w:val="B01E1E"/>
                <w:sz w:val="17"/>
              </w:rPr>
              <w:t>[TBC – owner's schedule]</w:t>
            </w:r>
          </w:p>
        </w:tc>
      </w:tr>
    </w:tbl>
    <w:p>
      <w:pPr>
        <w:spacing w:after="40"/>
      </w:pPr>
    </w:p>
    <w:p>
      <w:pPr>
        <w:pStyle w:val="Heading3"/>
      </w:pPr>
      <w:r>
        <w:t>Description</w:t>
      </w:r>
    </w:p>
    <w:p>
      <w:r>
        <w:rPr>
          <w:b w:val="0"/>
          <w:i w:val="0"/>
        </w:rPr>
        <w:t xml:space="preserve">Magons is a 777 ha hill-country forestry property at 172 Puniwhakau Road, about 35 km east of Stratford, in the same Puniwhakau and Mangaehu Road country as Staghaven and Tims. It is owned by FR Waipuna Limited and does not form part of the receivership sale, but the owner has made it available for purchase through Searle Forestry alongside the Nirvana Farms estate. The same owner holds the fourth Staghaven title, TNH4/170 (156 ha at 694 Mangaehu Road, carrying the Staghaven homestead), which is also available separately. CBRE's October 2024 report recorded about 311 ha of ETS-registered Pinus radiata on Magons' easier and medium-hill country, with the balance in steep hill. A purchaser of the eastern Taranaki blocks could therefore assemble a holding of more than 1,200 ha across Magons, the two Staghaven holdings and Tims. Full property details, stand records and the carbon position will be provided on request </w:t>
      </w:r>
      <w:r>
        <w:rPr>
          <w:b/>
          <w:i w:val="0"/>
          <w:color w:val="B01E1E"/>
        </w:rPr>
        <w:t>[TBC – owner's information]</w:t>
      </w:r>
      <w:r>
        <w:rPr>
          <w:b w:val="0"/>
          <w:i w:val="0"/>
        </w:rPr>
        <w:t>.</w:t>
      </w:r>
    </w:p>
    <w:p>
      <w:pPr>
        <w:pStyle w:val="Heading3"/>
      </w:pPr>
      <w:r>
        <w:t>Points to note</w:t>
      </w:r>
    </w:p>
    <w:p>
      <w:pPr>
        <w:pStyle w:val="ListBullet"/>
        <w:spacing w:after="40"/>
      </w:pPr>
      <w:r>
        <w:rPr>
          <w:b w:val="0"/>
          <w:i w:val="0"/>
        </w:rPr>
        <w:t>Not part of the receivership sale – offered by FR Waipuna Limited through Searle Forestry by separate negotiation, together with Staghaven title TNH4/170.</w:t>
      </w:r>
    </w:p>
    <w:p>
      <w:pPr>
        <w:pStyle w:val="ListBullet"/>
        <w:spacing w:after="40"/>
      </w:pPr>
      <w:r>
        <w:rPr>
          <w:b w:val="0"/>
          <w:i w:val="0"/>
        </w:rPr>
        <w:t>Planted area, age classes and ETS registration are from CBRE (Oct 2024) and are to be verified with the owner.</w:t>
      </w:r>
    </w:p>
    <w:p>
      <w:pPr>
        <w:pStyle w:val="Heading3"/>
      </w:pPr>
      <w:r>
        <w:t>Items to confirm</w:t>
      </w:r>
    </w:p>
    <w:p>
      <w:pPr>
        <w:pStyle w:val="ListBullet"/>
        <w:spacing w:after="40"/>
      </w:pPr>
      <w:r>
        <w:rPr>
          <w:b/>
          <w:i w:val="0"/>
          <w:color w:val="B01E1E"/>
        </w:rPr>
        <w:t>[TBC]</w:t>
      </w:r>
      <w:r>
        <w:rPr>
          <w:b w:val="0"/>
          <w:i w:val="0"/>
        </w:rPr>
        <w:t xml:space="preserve"> Owner's authority and terms of sale for Magons and TNH4/170; title searches, interests and any security.</w:t>
      </w:r>
    </w:p>
    <w:p>
      <w:pPr>
        <w:pStyle w:val="ListBullet"/>
        <w:spacing w:after="40"/>
      </w:pPr>
      <w:r>
        <w:rPr>
          <w:b/>
          <w:i w:val="0"/>
          <w:color w:val="B01E1E"/>
        </w:rPr>
        <w:t>[TBC]</w:t>
      </w:r>
      <w:r>
        <w:rPr>
          <w:b w:val="0"/>
          <w:i w:val="0"/>
        </w:rPr>
        <w:t xml:space="preserve"> Stand records, net stocked area, ETS CAAs and NZU position; status of the carbon forward sale.</w:t>
      </w:r>
    </w:p>
    <w:p>
      <w:pPr>
        <w:pStyle w:val="ListBullet"/>
        <w:spacing w:after="40"/>
      </w:pPr>
      <w:r>
        <w:rPr>
          <w:b/>
          <w:i w:val="0"/>
          <w:color w:val="B01E1E"/>
        </w:rPr>
        <w:t>[TBC]</w:t>
      </w:r>
      <w:r>
        <w:rPr>
          <w:b w:val="0"/>
          <w:i w:val="0"/>
        </w:rPr>
        <w:t xml:space="preserve"> Description of the Staghaven homestead and improvements on TNH4/170; access between TNH4/170 and the sale titles.</w:t>
      </w:r>
    </w:p>
    <w:p>
      <w:pPr>
        <w:pStyle w:val="Heading3"/>
      </w:pPr>
      <w:r>
        <w:t>Staghaven homestead title TNH4/170 – available separately from the same owner</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Owner / basis</w:t>
            </w:r>
          </w:p>
        </w:tc>
        <w:tc>
          <w:tcPr>
            <w:tcW w:type="dxa" w:w="7200"/>
          </w:tcPr>
          <w:p>
            <w:pPr>
              <w:spacing w:after="0" w:line="240" w:lineRule="auto"/>
            </w:pPr>
            <w:r/>
            <w:r>
              <w:rPr>
                <w:b w:val="0"/>
                <w:i w:val="0"/>
                <w:sz w:val="17"/>
              </w:rPr>
              <w:t>FR Waipuna Limited – not part of the receivership sale; separate negotiation through Searle Forestry</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694 Mangaehu Road, Puniwhakau</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156.24 ha</w:t>
            </w:r>
          </w:p>
        </w:tc>
      </w:tr>
      <w:tr>
        <w:tc>
          <w:tcPr>
            <w:tcW w:type="dxa" w:w="2438"/>
            <w:shd w:val="clear" w:color="auto" w:fill="F2F0EA"/>
          </w:tcPr>
          <w:p>
            <w:pPr>
              <w:spacing w:after="0" w:line="240" w:lineRule="auto"/>
            </w:pPr>
            <w:r/>
            <w:r>
              <w:rPr>
                <w:b/>
                <w:i w:val="0"/>
                <w:sz w:val="17"/>
              </w:rPr>
              <w:t>Record of title and legal description</w:t>
            </w:r>
          </w:p>
        </w:tc>
        <w:tc>
          <w:tcPr>
            <w:tcW w:type="dxa" w:w="7200"/>
          </w:tcPr>
          <w:p>
            <w:pPr>
              <w:spacing w:after="0" w:line="240" w:lineRule="auto"/>
            </w:pPr>
            <w:r/>
            <w:r>
              <w:rPr>
                <w:b w:val="0"/>
                <w:i w:val="0"/>
                <w:sz w:val="17"/>
              </w:rPr>
              <w:t>TNH4/170 – Section 1 Survey Office Plan 13102 (156.2373 ha). Taranaki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 xml:space="preserve">Fee simple (freehold) </w:t>
            </w:r>
            <w:r>
              <w:rPr>
                <w:b/>
                <w:i w:val="0"/>
                <w:color w:val="B01E1E"/>
                <w:sz w:val="17"/>
              </w:rPr>
              <w:t>[TBC – title search and interests]</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Stratford District Plan 2014</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Stratford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Taranaki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Stratford DC assessment 1204110202 – 694 Mangaehu Road RD 22 – Section 1 SO 13102 (156.24 ha): land value $1,450,000, improvements $610,000, capital value $2,060,000; rates $17,551 p.a. (district $16,655 + regional $897)</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The Staghaven homestead and farm buildings </w:t>
            </w:r>
            <w:r>
              <w:rPr>
                <w:b/>
                <w:i w:val="0"/>
                <w:color w:val="B01E1E"/>
                <w:sz w:val="17"/>
              </w:rPr>
              <w:t>[TBC – owner's description]</w:t>
            </w:r>
          </w:p>
        </w:tc>
      </w:tr>
    </w:tbl>
    <w:p>
      <w:pPr>
        <w:spacing w:after="40"/>
      </w:pPr>
    </w:p>
    <w:p>
      <w:r>
        <w:rPr>
          <w:b w:val="0"/>
          <w:i w:val="0"/>
        </w:rPr>
        <w:t xml:space="preserve">The fourth Staghaven title, carrying the Staghaven homestead and farm buildings, was transferred to FR Waipuna Limited (the owner of Magons) before the receivership and is not part of the sale. It is available for purchase through Searle Forestry by separate negotiation with that owner, with or without Magons. </w:t>
      </w:r>
      <w:r>
        <w:rPr>
          <w:b/>
          <w:i w:val="0"/>
          <w:color w:val="B01E1E"/>
        </w:rPr>
        <w:t>[TBC – description of the homestead, land cover, any ETS registration and the owner's terms]</w:t>
      </w:r>
    </w:p>
    <w:p>
      <w:pPr>
        <w:sectPr>
          <w:pgSz w:w="11906" w:h="16838"/>
          <w:pgMar w:top="1134" w:right="1134" w:bottom="1020" w:left="1134" w:header="720" w:footer="720" w:gutter="0"/>
          <w:cols w:space="720"/>
          <w:docGrid w:linePitch="360"/>
        </w:sectPr>
      </w:pPr>
    </w:p>
    <w:p>
      <w:pPr>
        <w:spacing w:after="20"/>
      </w:pPr>
      <w:r>
        <w:rPr>
          <w:b/>
          <w:i w:val="0"/>
          <w:color w:val="37441D"/>
          <w:sz w:val="18"/>
        </w:rPr>
        <w:t>Magons – property map</w:t>
      </w:r>
    </w:p>
    <w:p>
      <w:pPr>
        <w:jc w:val="center"/>
      </w:pPr>
      <w:r>
        <w:drawing>
          <wp:inline xmlns:a="http://schemas.openxmlformats.org/drawingml/2006/main" xmlns:pic="http://schemas.openxmlformats.org/drawingml/2006/picture">
            <wp:extent cx="8784000" cy="6214958"/>
            <wp:docPr id="22" name="Picture 22"/>
            <wp:cNvGraphicFramePr>
              <a:graphicFrameLocks noChangeAspect="1"/>
            </wp:cNvGraphicFramePr>
            <a:graphic>
              <a:graphicData uri="http://schemas.openxmlformats.org/drawingml/2006/picture">
                <pic:pic>
                  <pic:nvPicPr>
                    <pic:cNvPr id="0" name="map_magons.jpg"/>
                    <pic:cNvPicPr/>
                  </pic:nvPicPr>
                  <pic:blipFill>
                    <a:blip r:embed="rId30"/>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2"/>
      </w:pPr>
      <w:r>
        <w:t>5D  Eastern Bay of Plenty – Toatoa – Ōpōtiki District</w:t>
      </w:r>
    </w:p>
    <w:p>
      <w:r>
        <w:rPr>
          <w:b w:val="0"/>
          <w:i w:val="0"/>
        </w:rPr>
        <w:t>Pakihi is the one outlying property: 446 ha of mānuka and native bush on Pakihi Road at Toatoa, about 21 km inland from Ōpōtiki in the eastern Bay of Plenty.</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3213"/>
        <w:gridCol w:w="3213"/>
        <w:gridCol w:w="3213"/>
      </w:tblGrid>
      <w:tr>
        <w:tc>
          <w:tcPr>
            <w:tcW w:type="dxa" w:w="3118"/>
            <w:shd w:val="clear" w:color="auto" w:fill="DBD2C3"/>
          </w:tcPr>
          <w:p>
            <w:pPr>
              <w:spacing w:after="0" w:line="240" w:lineRule="auto"/>
            </w:pPr>
            <w:r/>
            <w:r>
              <w:rPr>
                <w:b/>
                <w:i w:val="0"/>
                <w:sz w:val="17"/>
              </w:rPr>
              <w:t>From</w:t>
            </w:r>
          </w:p>
        </w:tc>
        <w:tc>
          <w:tcPr>
            <w:tcW w:type="dxa" w:w="3685"/>
            <w:shd w:val="clear" w:color="auto" w:fill="DBD2C3"/>
          </w:tcPr>
          <w:p>
            <w:pPr>
              <w:spacing w:after="0" w:line="240" w:lineRule="auto"/>
            </w:pPr>
            <w:r/>
            <w:r>
              <w:rPr>
                <w:b/>
                <w:i w:val="0"/>
                <w:sz w:val="17"/>
              </w:rPr>
              <w:t>Destination</w:t>
            </w:r>
          </w:p>
        </w:tc>
        <w:tc>
          <w:tcPr>
            <w:tcW w:type="dxa" w:w="1134"/>
            <w:shd w:val="clear" w:color="auto" w:fill="DBD2C3"/>
          </w:tcPr>
          <w:p>
            <w:pPr>
              <w:spacing w:after="0" w:line="240" w:lineRule="auto"/>
            </w:pPr>
            <w:r/>
            <w:r>
              <w:rPr>
                <w:b/>
                <w:i w:val="0"/>
                <w:sz w:val="17"/>
              </w:rPr>
              <w:t>km</w:t>
            </w:r>
          </w:p>
        </w:tc>
      </w:tr>
      <w:tr>
        <w:tc>
          <w:tcPr>
            <w:tcW w:type="dxa" w:w="3118"/>
          </w:tcPr>
          <w:p>
            <w:pPr>
              <w:spacing w:after="0" w:line="240" w:lineRule="auto"/>
            </w:pPr>
            <w:r/>
            <w:r>
              <w:rPr>
                <w:b w:val="0"/>
                <w:i w:val="0"/>
                <w:sz w:val="17"/>
              </w:rPr>
              <w:t>Pakihi (Toatoa)</w:t>
            </w:r>
          </w:p>
        </w:tc>
        <w:tc>
          <w:tcPr>
            <w:tcW w:type="dxa" w:w="3685"/>
          </w:tcPr>
          <w:p>
            <w:pPr>
              <w:spacing w:after="0" w:line="240" w:lineRule="auto"/>
            </w:pPr>
            <w:r/>
            <w:r>
              <w:rPr>
                <w:b w:val="0"/>
                <w:i w:val="0"/>
                <w:sz w:val="17"/>
              </w:rPr>
              <w:t>Ōpōtiki</w:t>
            </w:r>
          </w:p>
        </w:tc>
        <w:tc>
          <w:tcPr>
            <w:tcW w:type="dxa" w:w="1134"/>
          </w:tcPr>
          <w:p>
            <w:pPr>
              <w:spacing w:after="0" w:line="240" w:lineRule="auto"/>
              <w:jc w:val="right"/>
            </w:pPr>
            <w:r/>
            <w:r>
              <w:rPr>
                <w:b w:val="0"/>
                <w:i w:val="0"/>
                <w:sz w:val="17"/>
              </w:rPr>
              <w:t>21</w:t>
            </w:r>
          </w:p>
        </w:tc>
      </w:tr>
      <w:tr>
        <w:tc>
          <w:tcPr>
            <w:tcW w:type="dxa" w:w="3118"/>
            <w:shd w:val="clear" w:color="auto" w:fill="FAF9F6"/>
          </w:tcPr>
          <w:p>
            <w:pPr>
              <w:spacing w:after="0" w:line="240" w:lineRule="auto"/>
            </w:pPr>
            <w:r/>
            <w:r>
              <w:rPr>
                <w:b w:val="0"/>
                <w:i w:val="0"/>
                <w:sz w:val="17"/>
              </w:rPr>
              <w:t>Pakihi (Toatoa)</w:t>
            </w:r>
          </w:p>
        </w:tc>
        <w:tc>
          <w:tcPr>
            <w:tcW w:type="dxa" w:w="3685"/>
            <w:shd w:val="clear" w:color="auto" w:fill="FAF9F6"/>
          </w:tcPr>
          <w:p>
            <w:pPr>
              <w:spacing w:after="0" w:line="240" w:lineRule="auto"/>
            </w:pPr>
            <w:r/>
            <w:r>
              <w:rPr>
                <w:b w:val="0"/>
                <w:i w:val="0"/>
                <w:sz w:val="17"/>
              </w:rPr>
              <w:t>Whakatāne</w:t>
            </w:r>
          </w:p>
        </w:tc>
        <w:tc>
          <w:tcPr>
            <w:tcW w:type="dxa" w:w="1134"/>
            <w:shd w:val="clear" w:color="auto" w:fill="FAF9F6"/>
          </w:tcPr>
          <w:p>
            <w:pPr>
              <w:spacing w:after="0" w:line="240" w:lineRule="auto"/>
              <w:jc w:val="right"/>
            </w:pPr>
            <w:r/>
            <w:r>
              <w:rPr>
                <w:b w:val="0"/>
                <w:i w:val="0"/>
                <w:sz w:val="17"/>
              </w:rPr>
              <w:t>65</w:t>
            </w:r>
          </w:p>
        </w:tc>
      </w:tr>
      <w:tr>
        <w:tc>
          <w:tcPr>
            <w:tcW w:type="dxa" w:w="3118"/>
          </w:tcPr>
          <w:p>
            <w:pPr>
              <w:spacing w:after="0" w:line="240" w:lineRule="auto"/>
            </w:pPr>
            <w:r/>
            <w:r>
              <w:rPr>
                <w:b w:val="0"/>
                <w:i w:val="0"/>
                <w:sz w:val="17"/>
              </w:rPr>
              <w:t>Pakihi (Toatoa)</w:t>
            </w:r>
          </w:p>
        </w:tc>
        <w:tc>
          <w:tcPr>
            <w:tcW w:type="dxa" w:w="3685"/>
          </w:tcPr>
          <w:p>
            <w:pPr>
              <w:spacing w:after="0" w:line="240" w:lineRule="auto"/>
            </w:pPr>
            <w:r/>
            <w:r>
              <w:rPr>
                <w:b w:val="0"/>
                <w:i w:val="0"/>
                <w:sz w:val="17"/>
              </w:rPr>
              <w:t>Gisborne</w:t>
            </w:r>
          </w:p>
        </w:tc>
        <w:tc>
          <w:tcPr>
            <w:tcW w:type="dxa" w:w="1134"/>
          </w:tcPr>
          <w:p>
            <w:pPr>
              <w:spacing w:after="0" w:line="240" w:lineRule="auto"/>
              <w:jc w:val="right"/>
            </w:pPr>
            <w:r/>
            <w:r>
              <w:rPr>
                <w:b w:val="0"/>
                <w:i w:val="0"/>
                <w:sz w:val="17"/>
              </w:rPr>
              <w:t>158</w:t>
            </w:r>
          </w:p>
        </w:tc>
      </w:tr>
    </w:tbl>
    <w:p>
      <w:pPr>
        <w:spacing w:after="40"/>
      </w:pPr>
    </w:p>
    <w:p>
      <w:pPr>
        <w:pStyle w:val="Heading2"/>
      </w:pPr>
      <w:r>
        <w:t>5.18  Pakihi</w:t>
      </w:r>
    </w:p>
    <w:p>
      <w:pPr>
        <w:spacing w:after="120"/>
      </w:pPr>
      <w:r>
        <w:rPr>
          <w:b w:val="0"/>
          <w:i/>
          <w:color w:val="717D4A"/>
        </w:rPr>
        <w:t>Mānuka and native bush (honey)</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438"/>
            <w:shd w:val="clear" w:color="auto" w:fill="F2F0EA"/>
          </w:tcPr>
          <w:p>
            <w:pPr>
              <w:spacing w:after="0" w:line="240" w:lineRule="auto"/>
            </w:pPr>
            <w:r/>
            <w:r>
              <w:rPr>
                <w:b/>
                <w:i w:val="0"/>
                <w:sz w:val="17"/>
              </w:rPr>
              <w:t>Land use</w:t>
            </w:r>
          </w:p>
        </w:tc>
        <w:tc>
          <w:tcPr>
            <w:tcW w:type="dxa" w:w="7200"/>
          </w:tcPr>
          <w:p>
            <w:pPr>
              <w:spacing w:after="0" w:line="240" w:lineRule="auto"/>
            </w:pPr>
            <w:r/>
            <w:r>
              <w:rPr>
                <w:b w:val="0"/>
                <w:i w:val="0"/>
                <w:sz w:val="17"/>
              </w:rPr>
              <w:t>Mānuka and native bush (honey)</w:t>
            </w:r>
          </w:p>
        </w:tc>
      </w:tr>
      <w:tr>
        <w:tc>
          <w:tcPr>
            <w:tcW w:type="dxa" w:w="2438"/>
            <w:shd w:val="clear" w:color="auto" w:fill="F2F0EA"/>
          </w:tcPr>
          <w:p>
            <w:pPr>
              <w:spacing w:after="0" w:line="240" w:lineRule="auto"/>
            </w:pPr>
            <w:r/>
            <w:r>
              <w:rPr>
                <w:b/>
                <w:i w:val="0"/>
                <w:sz w:val="17"/>
              </w:rPr>
              <w:t>Vendor / interest</w:t>
            </w:r>
          </w:p>
        </w:tc>
        <w:tc>
          <w:tcPr>
            <w:tcW w:type="dxa" w:w="7200"/>
          </w:tcPr>
          <w:p>
            <w:pPr>
              <w:spacing w:after="0" w:line="240" w:lineRule="auto"/>
            </w:pPr>
            <w:r/>
            <w:r>
              <w:rPr>
                <w:b w:val="0"/>
                <w:i w:val="0"/>
                <w:sz w:val="17"/>
              </w:rPr>
              <w:t>Nirvana Farm Limited (In Receivership)</w:t>
            </w:r>
          </w:p>
        </w:tc>
      </w:tr>
      <w:tr>
        <w:tc>
          <w:tcPr>
            <w:tcW w:type="dxa" w:w="2438"/>
            <w:shd w:val="clear" w:color="auto" w:fill="F2F0EA"/>
          </w:tcPr>
          <w:p>
            <w:pPr>
              <w:spacing w:after="0" w:line="240" w:lineRule="auto"/>
            </w:pPr>
            <w:r/>
            <w:r>
              <w:rPr>
                <w:b/>
                <w:i w:val="0"/>
                <w:sz w:val="17"/>
              </w:rPr>
              <w:t>Location / address</w:t>
            </w:r>
          </w:p>
        </w:tc>
        <w:tc>
          <w:tcPr>
            <w:tcW w:type="dxa" w:w="7200"/>
          </w:tcPr>
          <w:p>
            <w:pPr>
              <w:spacing w:after="0" w:line="240" w:lineRule="auto"/>
            </w:pPr>
            <w:r/>
            <w:r>
              <w:rPr>
                <w:b w:val="0"/>
                <w:i w:val="0"/>
                <w:sz w:val="17"/>
              </w:rPr>
              <w:t>Pakihi Road, Toatoa (573 / 1016 Pakihi Road)</w:t>
            </w:r>
          </w:p>
        </w:tc>
      </w:tr>
      <w:tr>
        <w:tc>
          <w:tcPr>
            <w:tcW w:type="dxa" w:w="2438"/>
            <w:shd w:val="clear" w:color="auto" w:fill="F2F0EA"/>
          </w:tcPr>
          <w:p>
            <w:pPr>
              <w:spacing w:after="0" w:line="240" w:lineRule="auto"/>
            </w:pPr>
            <w:r/>
            <w:r>
              <w:rPr>
                <w:b/>
                <w:i w:val="0"/>
                <w:sz w:val="17"/>
              </w:rPr>
              <w:t>Total area</w:t>
            </w:r>
          </w:p>
        </w:tc>
        <w:tc>
          <w:tcPr>
            <w:tcW w:type="dxa" w:w="7200"/>
          </w:tcPr>
          <w:p>
            <w:pPr>
              <w:spacing w:after="0" w:line="240" w:lineRule="auto"/>
            </w:pPr>
            <w:r/>
            <w:r>
              <w:rPr>
                <w:b w:val="0"/>
                <w:i w:val="0"/>
                <w:sz w:val="17"/>
              </w:rPr>
              <w:t>445.60 ha (LINZ calculated 447.3 ha)</w:t>
            </w:r>
          </w:p>
        </w:tc>
      </w:tr>
      <w:tr>
        <w:tc>
          <w:tcPr>
            <w:tcW w:type="dxa" w:w="2438"/>
            <w:shd w:val="clear" w:color="auto" w:fill="F2F0EA"/>
          </w:tcPr>
          <w:p>
            <w:pPr>
              <w:spacing w:after="0" w:line="240" w:lineRule="auto"/>
            </w:pPr>
            <w:r/>
            <w:r>
              <w:rPr>
                <w:b/>
                <w:i w:val="0"/>
                <w:sz w:val="17"/>
              </w:rPr>
              <w:t>Land cover</w:t>
            </w:r>
          </w:p>
        </w:tc>
        <w:tc>
          <w:tcPr>
            <w:tcW w:type="dxa" w:w="7200"/>
          </w:tcPr>
          <w:p>
            <w:pPr>
              <w:spacing w:after="0" w:line="240" w:lineRule="auto"/>
            </w:pPr>
            <w:r/>
            <w:r>
              <w:rPr>
                <w:b w:val="0"/>
                <w:i w:val="0"/>
                <w:sz w:val="17"/>
              </w:rPr>
              <w:t>Radiata / exotic 0 ha · Native bush 244 ha · Mānuka / kānuka 199 ha · Open grassland 2 ha (July 2026 mapping)</w:t>
            </w:r>
          </w:p>
        </w:tc>
      </w:tr>
      <w:tr>
        <w:tc>
          <w:tcPr>
            <w:tcW w:type="dxa" w:w="2438"/>
            <w:shd w:val="clear" w:color="auto" w:fill="F2F0EA"/>
          </w:tcPr>
          <w:p>
            <w:pPr>
              <w:spacing w:after="0" w:line="240" w:lineRule="auto"/>
            </w:pPr>
            <w:r/>
            <w:r>
              <w:rPr>
                <w:b/>
                <w:i w:val="0"/>
                <w:sz w:val="17"/>
              </w:rPr>
              <w:t>Pinus radiata – net stocked area</w:t>
            </w:r>
          </w:p>
        </w:tc>
        <w:tc>
          <w:tcPr>
            <w:tcW w:type="dxa" w:w="7200"/>
          </w:tcPr>
          <w:p>
            <w:pPr>
              <w:spacing w:after="0" w:line="240" w:lineRule="auto"/>
            </w:pPr>
            <w:r/>
            <w:r>
              <w:rPr>
                <w:b w:val="0"/>
                <w:i w:val="0"/>
                <w:sz w:val="17"/>
              </w:rPr>
              <w:t>No radiata crop</w:t>
            </w:r>
          </w:p>
        </w:tc>
      </w:tr>
      <w:tr>
        <w:tc>
          <w:tcPr>
            <w:tcW w:type="dxa" w:w="2438"/>
            <w:shd w:val="clear" w:color="auto" w:fill="F2F0EA"/>
          </w:tcPr>
          <w:p>
            <w:pPr>
              <w:spacing w:after="0" w:line="240" w:lineRule="auto"/>
            </w:pPr>
            <w:r/>
            <w:r>
              <w:rPr>
                <w:b/>
                <w:i w:val="0"/>
                <w:sz w:val="17"/>
              </w:rPr>
              <w:t>Contour and land use capability</w:t>
            </w:r>
          </w:p>
        </w:tc>
        <w:tc>
          <w:tcPr>
            <w:tcW w:type="dxa" w:w="7200"/>
          </w:tcPr>
          <w:p>
            <w:pPr>
              <w:spacing w:after="0" w:line="240" w:lineRule="auto"/>
            </w:pPr>
            <w:r/>
            <w:r>
              <w:rPr>
                <w:b w:val="0"/>
                <w:i w:val="0"/>
                <w:sz w:val="17"/>
              </w:rPr>
              <w:t>Predominantly steep to very steep hill country. LUC 7: 444 ha (99%) (LRIS NZLRI 2021). Open land by slope: flat (0–7°) 0 ha · rolling (8–20°) 1 ha · medium hill (21–35°) 1 ha · steep (&gt;35°) 0 ha. Altitude 80–600 m above sea level.</w:t>
            </w:r>
          </w:p>
        </w:tc>
      </w:tr>
      <w:tr>
        <w:tc>
          <w:tcPr>
            <w:tcW w:type="dxa" w:w="2438"/>
            <w:shd w:val="clear" w:color="auto" w:fill="F2F0EA"/>
          </w:tcPr>
          <w:p>
            <w:pPr>
              <w:spacing w:after="0" w:line="240" w:lineRule="auto"/>
            </w:pPr>
            <w:r/>
            <w:r>
              <w:rPr>
                <w:b/>
                <w:i w:val="0"/>
                <w:sz w:val="17"/>
              </w:rPr>
              <w:t>ETS status</w:t>
            </w:r>
          </w:p>
        </w:tc>
        <w:tc>
          <w:tcPr>
            <w:tcW w:type="dxa" w:w="7200"/>
          </w:tcPr>
          <w:p>
            <w:pPr>
              <w:spacing w:after="0" w:line="240" w:lineRule="auto"/>
            </w:pPr>
            <w:r/>
            <w:r>
              <w:rPr>
                <w:b w:val="0"/>
                <w:i w:val="0"/>
                <w:sz w:val="17"/>
              </w:rPr>
              <w:t>No carbon accounting areas registered on the block</w:t>
            </w:r>
          </w:p>
        </w:tc>
      </w:tr>
      <w:tr>
        <w:tc>
          <w:tcPr>
            <w:tcW w:type="dxa" w:w="2438"/>
            <w:shd w:val="clear" w:color="auto" w:fill="F2F0EA"/>
          </w:tcPr>
          <w:p>
            <w:pPr>
              <w:spacing w:after="0" w:line="240" w:lineRule="auto"/>
            </w:pPr>
            <w:r/>
            <w:r>
              <w:rPr>
                <w:b/>
                <w:i w:val="0"/>
                <w:sz w:val="17"/>
              </w:rPr>
              <w:t>Indicatively ETS-eligible land</w:t>
            </w:r>
          </w:p>
        </w:tc>
        <w:tc>
          <w:tcPr>
            <w:tcW w:type="dxa" w:w="7200"/>
          </w:tcPr>
          <w:p>
            <w:pPr>
              <w:spacing w:after="0" w:line="240" w:lineRule="auto"/>
            </w:pPr>
            <w:r/>
            <w:r>
              <w:rPr>
                <w:b w:val="0"/>
                <w:i w:val="0"/>
                <w:sz w:val="17"/>
              </w:rPr>
              <w:t>about 1 ha of post-1989 grassland and scrub (indicative, MPI to determine)</w:t>
            </w:r>
          </w:p>
        </w:tc>
      </w:tr>
      <w:tr>
        <w:tc>
          <w:tcPr>
            <w:tcW w:type="dxa" w:w="2438"/>
            <w:shd w:val="clear" w:color="auto" w:fill="F2F0EA"/>
          </w:tcPr>
          <w:p>
            <w:pPr>
              <w:spacing w:after="0" w:line="240" w:lineRule="auto"/>
            </w:pPr>
            <w:r/>
            <w:r>
              <w:rPr>
                <w:b/>
                <w:i w:val="0"/>
                <w:sz w:val="17"/>
              </w:rPr>
              <w:t>Records of title and legal description</w:t>
            </w:r>
          </w:p>
        </w:tc>
        <w:tc>
          <w:tcPr>
            <w:tcW w:type="dxa" w:w="7200"/>
          </w:tcPr>
          <w:p>
            <w:pPr>
              <w:spacing w:after="0" w:line="240" w:lineRule="auto"/>
            </w:pPr>
            <w:r/>
            <w:r>
              <w:rPr>
                <w:b w:val="0"/>
                <w:i w:val="0"/>
                <w:sz w:val="17"/>
              </w:rPr>
              <w:t>GS5C/1448 – Section 20 and Section 22 Block XIII Waiaua Survey District (57.4906 hectares); GS6C/1378 – Lot 1 Deposited Plan 8364 (191.6400 hectares); GS6C/1379 – Lot 2 Deposited Plan 8364 (191.6200 hectares); GS6C/1380 – Section 23 Block XIII Waiaua Survey District (4.8461 hectares). Gisborne Land District.</w:t>
            </w:r>
          </w:p>
        </w:tc>
      </w:tr>
      <w:tr>
        <w:tc>
          <w:tcPr>
            <w:tcW w:type="dxa" w:w="2438"/>
            <w:shd w:val="clear" w:color="auto" w:fill="F2F0EA"/>
          </w:tcPr>
          <w:p>
            <w:pPr>
              <w:spacing w:after="0" w:line="240" w:lineRule="auto"/>
            </w:pPr>
            <w:r/>
            <w:r>
              <w:rPr>
                <w:b/>
                <w:i w:val="0"/>
                <w:sz w:val="17"/>
              </w:rPr>
              <w:t>Tenure</w:t>
            </w:r>
          </w:p>
        </w:tc>
        <w:tc>
          <w:tcPr>
            <w:tcW w:type="dxa" w:w="7200"/>
          </w:tcPr>
          <w:p>
            <w:pPr>
              <w:spacing w:after="0" w:line="240" w:lineRule="auto"/>
            </w:pPr>
            <w:r/>
            <w:r>
              <w:rPr>
                <w:b w:val="0"/>
                <w:i w:val="0"/>
                <w:sz w:val="17"/>
              </w:rPr>
              <w:t>Fee simple (freehold)</w:t>
            </w:r>
          </w:p>
        </w:tc>
      </w:tr>
      <w:tr>
        <w:tc>
          <w:tcPr>
            <w:tcW w:type="dxa" w:w="2438"/>
            <w:shd w:val="clear" w:color="auto" w:fill="F2F0EA"/>
          </w:tcPr>
          <w:p>
            <w:pPr>
              <w:spacing w:after="0" w:line="240" w:lineRule="auto"/>
            </w:pPr>
            <w:r/>
            <w:r>
              <w:rPr>
                <w:b/>
                <w:i w:val="0"/>
                <w:sz w:val="17"/>
              </w:rPr>
              <w:t>Title interests (Oct 2026 searches)</w:t>
            </w:r>
          </w:p>
        </w:tc>
        <w:tc>
          <w:tcPr>
            <w:tcW w:type="dxa" w:w="7200"/>
          </w:tcPr>
          <w:p>
            <w:pPr>
              <w:spacing w:after="0" w:line="240" w:lineRule="auto"/>
            </w:pPr>
            <w:r/>
            <w:r>
              <w:rPr>
                <w:b w:val="0"/>
                <w:i w:val="0"/>
                <w:sz w:val="17"/>
              </w:rPr>
              <w:t>Mortgage to Vitol Asia Pte Ltd (7 June 2023) – to be discharged at settlement; Subject to s59 Land Act 1948 (Crown mineral reservation)</w:t>
            </w:r>
          </w:p>
        </w:tc>
      </w:tr>
      <w:tr>
        <w:tc>
          <w:tcPr>
            <w:tcW w:type="dxa" w:w="2438"/>
            <w:shd w:val="clear" w:color="auto" w:fill="F2F0EA"/>
          </w:tcPr>
          <w:p>
            <w:pPr>
              <w:spacing w:after="0" w:line="240" w:lineRule="auto"/>
            </w:pPr>
            <w:r/>
            <w:r>
              <w:rPr>
                <w:b/>
                <w:i w:val="0"/>
                <w:sz w:val="17"/>
              </w:rPr>
              <w:t>Zoning</w:t>
            </w:r>
          </w:p>
        </w:tc>
        <w:tc>
          <w:tcPr>
            <w:tcW w:type="dxa" w:w="7200"/>
          </w:tcPr>
          <w:p>
            <w:pPr>
              <w:spacing w:after="0" w:line="240" w:lineRule="auto"/>
            </w:pPr>
            <w:r/>
            <w:r>
              <w:rPr>
                <w:b w:val="0"/>
                <w:i w:val="0"/>
                <w:sz w:val="17"/>
              </w:rPr>
              <w:t>Rural Zone – Operative Ōpōtiki District Plan 2021</w:t>
            </w:r>
          </w:p>
        </w:tc>
      </w:tr>
      <w:tr>
        <w:tc>
          <w:tcPr>
            <w:tcW w:type="dxa" w:w="2438"/>
            <w:shd w:val="clear" w:color="auto" w:fill="F2F0EA"/>
          </w:tcPr>
          <w:p>
            <w:pPr>
              <w:spacing w:after="0" w:line="240" w:lineRule="auto"/>
            </w:pPr>
            <w:r/>
            <w:r>
              <w:rPr>
                <w:b/>
                <w:i w:val="0"/>
                <w:sz w:val="17"/>
              </w:rPr>
              <w:t>Territorial authority</w:t>
            </w:r>
          </w:p>
        </w:tc>
        <w:tc>
          <w:tcPr>
            <w:tcW w:type="dxa" w:w="7200"/>
          </w:tcPr>
          <w:p>
            <w:pPr>
              <w:spacing w:after="0" w:line="240" w:lineRule="auto"/>
            </w:pPr>
            <w:r/>
            <w:r>
              <w:rPr>
                <w:b w:val="0"/>
                <w:i w:val="0"/>
                <w:sz w:val="17"/>
              </w:rPr>
              <w:t>Ōpōtiki District</w:t>
            </w:r>
          </w:p>
        </w:tc>
      </w:tr>
      <w:tr>
        <w:tc>
          <w:tcPr>
            <w:tcW w:type="dxa" w:w="2438"/>
            <w:shd w:val="clear" w:color="auto" w:fill="F2F0EA"/>
          </w:tcPr>
          <w:p>
            <w:pPr>
              <w:spacing w:after="0" w:line="240" w:lineRule="auto"/>
            </w:pPr>
            <w:r/>
            <w:r>
              <w:rPr>
                <w:b/>
                <w:i w:val="0"/>
                <w:sz w:val="17"/>
              </w:rPr>
              <w:t>Regional council</w:t>
            </w:r>
          </w:p>
        </w:tc>
        <w:tc>
          <w:tcPr>
            <w:tcW w:type="dxa" w:w="7200"/>
          </w:tcPr>
          <w:p>
            <w:pPr>
              <w:spacing w:after="0" w:line="240" w:lineRule="auto"/>
            </w:pPr>
            <w:r/>
            <w:r>
              <w:rPr>
                <w:b w:val="0"/>
                <w:i w:val="0"/>
                <w:sz w:val="17"/>
              </w:rPr>
              <w:t>Bay of Plenty Regional Council</w:t>
            </w:r>
          </w:p>
        </w:tc>
      </w:tr>
      <w:tr>
        <w:tc>
          <w:tcPr>
            <w:tcW w:type="dxa" w:w="2438"/>
            <w:shd w:val="clear" w:color="auto" w:fill="F2F0EA"/>
          </w:tcPr>
          <w:p>
            <w:pPr>
              <w:spacing w:after="0" w:line="240" w:lineRule="auto"/>
            </w:pPr>
            <w:r/>
            <w:r>
              <w:rPr>
                <w:b/>
                <w:i w:val="0"/>
                <w:sz w:val="17"/>
              </w:rPr>
              <w:t>Rating valuation and rates</w:t>
            </w:r>
          </w:p>
        </w:tc>
        <w:tc>
          <w:tcPr>
            <w:tcW w:type="dxa" w:w="7200"/>
          </w:tcPr>
          <w:p>
            <w:pPr>
              <w:spacing w:after="0" w:line="240" w:lineRule="auto"/>
            </w:pPr>
            <w:r/>
            <w:r>
              <w:rPr>
                <w:b w:val="0"/>
                <w:i w:val="0"/>
                <w:sz w:val="17"/>
              </w:rPr>
              <w:t xml:space="preserve">Ōpōtiki DC assessment 0763023200 – Pakihi Road, Pakihi – Secs 20, 22, 23 Blk XIII Waiaua SD, Lots 1–2 DP 8364 (valued 1 Jun 2025; improvements $70,000 per council) (445.28 ha): land value $890,000, improvements $70,000, capital value $960,000; rates $3,790 p.a. (Ōpōtiki DC 2026/27 levy incl. GST; Bay of Plenty Regional Council rates billed separately </w:t>
            </w:r>
            <w:r>
              <w:rPr>
                <w:b/>
                <w:i w:val="0"/>
                <w:color w:val="B01E1E"/>
                <w:sz w:val="17"/>
              </w:rPr>
              <w:t>[TBC]</w:t>
            </w:r>
            <w:r>
              <w:rPr>
                <w:b w:val="0"/>
                <w:i w:val="0"/>
                <w:sz w:val="17"/>
              </w:rPr>
              <w:t>)</w:t>
            </w:r>
          </w:p>
        </w:tc>
      </w:tr>
      <w:tr>
        <w:tc>
          <w:tcPr>
            <w:tcW w:type="dxa" w:w="2438"/>
            <w:shd w:val="clear" w:color="auto" w:fill="F2F0EA"/>
          </w:tcPr>
          <w:p>
            <w:pPr>
              <w:spacing w:after="0" w:line="240" w:lineRule="auto"/>
            </w:pPr>
            <w:r/>
            <w:r>
              <w:rPr>
                <w:b/>
                <w:i w:val="0"/>
                <w:sz w:val="17"/>
              </w:rPr>
              <w:t>Leases / occupation</w:t>
            </w:r>
          </w:p>
        </w:tc>
        <w:tc>
          <w:tcPr>
            <w:tcW w:type="dxa" w:w="7200"/>
          </w:tcPr>
          <w:p>
            <w:pPr>
              <w:spacing w:after="0" w:line="240" w:lineRule="auto"/>
            </w:pPr>
            <w:r/>
            <w:r>
              <w:rPr>
                <w:b w:val="0"/>
                <w:i w:val="0"/>
                <w:sz w:val="17"/>
              </w:rPr>
              <w:t xml:space="preserve">None known </w:t>
            </w:r>
            <w:r>
              <w:rPr>
                <w:b/>
                <w:i w:val="0"/>
                <w:color w:val="B01E1E"/>
                <w:sz w:val="17"/>
              </w:rPr>
              <w:t>[TBC]</w:t>
            </w:r>
          </w:p>
        </w:tc>
      </w:tr>
      <w:tr>
        <w:tc>
          <w:tcPr>
            <w:tcW w:type="dxa" w:w="2438"/>
            <w:shd w:val="clear" w:color="auto" w:fill="F2F0EA"/>
          </w:tcPr>
          <w:p>
            <w:pPr>
              <w:spacing w:after="0" w:line="240" w:lineRule="auto"/>
            </w:pPr>
            <w:r/>
            <w:r>
              <w:rPr>
                <w:b/>
                <w:i w:val="0"/>
                <w:sz w:val="17"/>
              </w:rPr>
              <w:t>Access</w:t>
            </w:r>
          </w:p>
        </w:tc>
        <w:tc>
          <w:tcPr>
            <w:tcW w:type="dxa" w:w="7200"/>
          </w:tcPr>
          <w:p>
            <w:pPr>
              <w:spacing w:after="0" w:line="240" w:lineRule="auto"/>
            </w:pPr>
            <w:r/>
            <w:r>
              <w:rPr>
                <w:b w:val="0"/>
                <w:i w:val="0"/>
                <w:sz w:val="17"/>
              </w:rPr>
              <w:t>Road frontage to Pakihi Road. Internal tracks about 2.6 km (Topo50).</w:t>
            </w:r>
          </w:p>
        </w:tc>
      </w:tr>
      <w:tr>
        <w:tc>
          <w:tcPr>
            <w:tcW w:type="dxa" w:w="2438"/>
            <w:shd w:val="clear" w:color="auto" w:fill="F2F0EA"/>
          </w:tcPr>
          <w:p>
            <w:pPr>
              <w:spacing w:after="0" w:line="240" w:lineRule="auto"/>
            </w:pPr>
            <w:r/>
            <w:r>
              <w:rPr>
                <w:b/>
                <w:i w:val="0"/>
                <w:sz w:val="17"/>
              </w:rPr>
              <w:t>Buildings and dwellings</w:t>
            </w:r>
          </w:p>
        </w:tc>
        <w:tc>
          <w:tcPr>
            <w:tcW w:type="dxa" w:w="7200"/>
          </w:tcPr>
          <w:p>
            <w:pPr>
              <w:spacing w:after="0" w:line="240" w:lineRule="auto"/>
            </w:pPr>
            <w:r/>
            <w:r>
              <w:rPr>
                <w:b w:val="0"/>
                <w:i w:val="0"/>
                <w:sz w:val="17"/>
              </w:rPr>
              <w:t xml:space="preserve">Four small buildings (about 115, 55, 18 and 17 m²) – hut / sheds; no dwelling recorded. </w:t>
            </w:r>
            <w:r>
              <w:rPr>
                <w:b/>
                <w:i w:val="0"/>
                <w:color w:val="B01E1E"/>
                <w:sz w:val="17"/>
              </w:rPr>
              <w:t>[TBC]</w:t>
            </w:r>
          </w:p>
        </w:tc>
      </w:tr>
    </w:tbl>
    <w:p>
      <w:pPr>
        <w:spacing w:after="40"/>
      </w:pPr>
    </w:p>
    <w:p>
      <w:pPr>
        <w:pStyle w:val="Heading3"/>
      </w:pPr>
      <w:r>
        <w:t>Description</w:t>
      </w:r>
    </w:p>
    <w:p>
      <w:r>
        <w:rPr>
          <w:b w:val="0"/>
          <w:i w:val="0"/>
        </w:rPr>
        <w:t>The one outlying block: 446 ha of mānuka and native bush on Pakihi Road inland from Ōpōtiki, about 21 km from the town. The appraisal mapping records 244 ha of native bush and 199 ha of mānuka/kānuka; CBRE's land classes (15 ha easy, 362 ha medium hill, 68 ha steep) describe it as a mānuka honey block. It is geographically separate from the Taranaki–Whanganui estate and could suit a separate purchaser.</w:t>
      </w:r>
    </w:p>
    <w:p>
      <w:pPr>
        <w:pStyle w:val="Heading3"/>
      </w:pPr>
      <w:r>
        <w:t>Points to note</w:t>
      </w:r>
    </w:p>
    <w:p>
      <w:pPr>
        <w:pStyle w:val="ListBullet"/>
        <w:spacing w:after="40"/>
      </w:pPr>
      <w:r>
        <w:rPr>
          <w:b w:val="0"/>
          <w:i w:val="0"/>
        </w:rPr>
        <w:t>No Pinus radiata on the block; almost none of the land is indicatively post-1989.</w:t>
      </w:r>
    </w:p>
    <w:p>
      <w:pPr>
        <w:pStyle w:val="Heading3"/>
      </w:pPr>
      <w:r>
        <w:t>Items to confirm</w:t>
      </w:r>
    </w:p>
    <w:p>
      <w:pPr>
        <w:pStyle w:val="ListBullet"/>
        <w:spacing w:after="40"/>
      </w:pPr>
      <w:r>
        <w:rPr>
          <w:b/>
          <w:i w:val="0"/>
          <w:color w:val="B01E1E"/>
        </w:rPr>
        <w:t>[TBC]</w:t>
      </w:r>
      <w:r>
        <w:rPr>
          <w:b w:val="0"/>
          <w:i w:val="0"/>
        </w:rPr>
        <w:t xml:space="preserve"> Land cover – the LCDB-based classification shows the block as open grassland, the 2023/24 imagery as bush and scrub.</w:t>
      </w:r>
    </w:p>
    <w:p>
      <w:pPr>
        <w:pStyle w:val="ListBullet"/>
        <w:spacing w:after="40"/>
      </w:pPr>
      <w:r>
        <w:rPr>
          <w:b/>
          <w:i w:val="0"/>
          <w:color w:val="B01E1E"/>
        </w:rPr>
        <w:t>[TBC]</w:t>
      </w:r>
      <w:r>
        <w:rPr>
          <w:b w:val="0"/>
          <w:i w:val="0"/>
        </w:rPr>
        <w:t xml:space="preserve"> Improvements (CBRE $100,000) and occupancy.</w:t>
      </w:r>
    </w:p>
    <w:p>
      <w:pPr>
        <w:sectPr>
          <w:pgSz w:w="11906" w:h="16838"/>
          <w:pgMar w:top="1134" w:right="1134" w:bottom="1020" w:left="1134" w:header="720" w:footer="720" w:gutter="0"/>
          <w:cols w:space="720"/>
          <w:docGrid w:linePitch="360"/>
        </w:sectPr>
      </w:pPr>
    </w:p>
    <w:p>
      <w:pPr>
        <w:spacing w:after="20"/>
      </w:pPr>
      <w:r>
        <w:rPr>
          <w:b/>
          <w:i w:val="0"/>
          <w:color w:val="37441D"/>
          <w:sz w:val="18"/>
        </w:rPr>
        <w:t>Pakihi – property map</w:t>
      </w:r>
    </w:p>
    <w:p>
      <w:pPr>
        <w:jc w:val="center"/>
      </w:pPr>
      <w:r>
        <w:drawing>
          <wp:inline xmlns:a="http://schemas.openxmlformats.org/drawingml/2006/main" xmlns:pic="http://schemas.openxmlformats.org/drawingml/2006/picture">
            <wp:extent cx="8784000" cy="6214958"/>
            <wp:docPr id="23" name="Picture 23"/>
            <wp:cNvGraphicFramePr>
              <a:graphicFrameLocks noChangeAspect="1"/>
            </wp:cNvGraphicFramePr>
            <a:graphic>
              <a:graphicData uri="http://schemas.openxmlformats.org/drawingml/2006/picture">
                <pic:pic>
                  <pic:nvPicPr>
                    <pic:cNvPr id="0" name="map_pakihi.jpg"/>
                    <pic:cNvPicPr/>
                  </pic:nvPicPr>
                  <pic:blipFill>
                    <a:blip r:embed="rId31"/>
                    <a:stretch>
                      <a:fillRect/>
                    </a:stretch>
                  </pic:blipFill>
                  <pic:spPr>
                    <a:xfrm>
                      <a:off x="0" y="0"/>
                      <a:ext cx="8784000" cy="6214958"/>
                    </a:xfrm>
                    <a:prstGeom prst="rect"/>
                  </pic:spPr>
                </pic:pic>
              </a:graphicData>
            </a:graphic>
          </wp:inline>
        </w:drawing>
      </w:r>
    </w:p>
    <w:p>
      <w:pPr>
        <w:spacing w:after="0"/>
        <w:jc w:val="center"/>
      </w:pPr>
      <w:r>
        <w:rPr>
          <w:b w:val="0"/>
          <w:i/>
          <w:color w:val="6B6B60"/>
          <w:sz w:val="15"/>
        </w:rPr>
        <w:t>Georeferenced sheet from the Nirvana Farms map set (LINZ cadastre, LINZ aerial imagery, MPI ETS data, Stand 2026 programme). The designer may substitute a styled version; the GeoPDF sheets are supplied in the IM/maps folder and the data room.</w:t>
      </w:r>
    </w:p>
    <w:p>
      <w:pPr>
        <w:sectPr>
          <w:pgSz w:w="16838" w:h="11906" w:orient="landscape"/>
          <w:pgMar w:top="567" w:right="567" w:bottom="680" w:left="567" w:header="720" w:footer="720" w:gutter="0"/>
          <w:cols w:space="720"/>
          <w:docGrid w:linePitch="360"/>
        </w:sectPr>
      </w:pPr>
    </w:p>
    <w:p>
      <w:pPr>
        <w:pStyle w:val="Heading1"/>
      </w:pPr>
      <w:r>
        <w:t>Appendix A  Schedule of titles and legal descriptions</w:t>
      </w:r>
    </w:p>
    <w:p>
      <w:r>
        <w:rPr>
          <w:b w:val="0"/>
          <w:i w:val="0"/>
        </w:rPr>
        <w:t>From the LINZ guaranteed title searches of October 2026. Areas are hectares; estate is fee simple unless stated.</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1928"/>
        <w:gridCol w:w="1928"/>
        <w:gridCol w:w="1928"/>
        <w:gridCol w:w="1928"/>
        <w:gridCol w:w="1928"/>
      </w:tblGrid>
      <w:tr>
        <w:tc>
          <w:tcPr>
            <w:tcW w:type="dxa" w:w="1474"/>
            <w:shd w:val="clear" w:color="auto" w:fill="DBD2C3"/>
          </w:tcPr>
          <w:p>
            <w:pPr>
              <w:spacing w:after="0" w:line="240" w:lineRule="auto"/>
            </w:pPr>
            <w:r/>
            <w:r>
              <w:rPr>
                <w:b/>
                <w:i w:val="0"/>
                <w:sz w:val="15"/>
              </w:rPr>
              <w:t>Property</w:t>
            </w:r>
          </w:p>
        </w:tc>
        <w:tc>
          <w:tcPr>
            <w:tcW w:type="dxa" w:w="1247"/>
            <w:shd w:val="clear" w:color="auto" w:fill="DBD2C3"/>
          </w:tcPr>
          <w:p>
            <w:pPr>
              <w:spacing w:after="0" w:line="240" w:lineRule="auto"/>
            </w:pPr>
            <w:r/>
            <w:r>
              <w:rPr>
                <w:b/>
                <w:i w:val="0"/>
                <w:sz w:val="15"/>
              </w:rPr>
              <w:t>Vendor</w:t>
            </w:r>
          </w:p>
        </w:tc>
        <w:tc>
          <w:tcPr>
            <w:tcW w:type="dxa" w:w="1474"/>
            <w:shd w:val="clear" w:color="auto" w:fill="DBD2C3"/>
          </w:tcPr>
          <w:p>
            <w:pPr>
              <w:spacing w:after="0" w:line="240" w:lineRule="auto"/>
            </w:pPr>
            <w:r/>
            <w:r>
              <w:rPr>
                <w:b/>
                <w:i w:val="0"/>
                <w:sz w:val="15"/>
              </w:rPr>
              <w:t>Record of title</w:t>
            </w:r>
          </w:p>
        </w:tc>
        <w:tc>
          <w:tcPr>
            <w:tcW w:type="dxa" w:w="4082"/>
            <w:shd w:val="clear" w:color="auto" w:fill="DBD2C3"/>
          </w:tcPr>
          <w:p>
            <w:pPr>
              <w:spacing w:after="0" w:line="240" w:lineRule="auto"/>
            </w:pPr>
            <w:r/>
            <w:r>
              <w:rPr>
                <w:b/>
                <w:i w:val="0"/>
                <w:sz w:val="15"/>
              </w:rPr>
              <w:t>Legal description</w:t>
            </w:r>
          </w:p>
        </w:tc>
        <w:tc>
          <w:tcPr>
            <w:tcW w:type="dxa" w:w="1361"/>
            <w:shd w:val="clear" w:color="auto" w:fill="DBD2C3"/>
          </w:tcPr>
          <w:p>
            <w:pPr>
              <w:spacing w:after="0" w:line="240" w:lineRule="auto"/>
            </w:pPr>
            <w:r/>
            <w:r>
              <w:rPr>
                <w:b/>
                <w:i w:val="0"/>
                <w:sz w:val="15"/>
              </w:rPr>
              <w:t>Area (ha)</w:t>
            </w:r>
          </w:p>
        </w:tc>
      </w:tr>
      <w:tr>
        <w:tc>
          <w:tcPr>
            <w:tcW w:type="dxa" w:w="1474"/>
          </w:tcPr>
          <w:p>
            <w:pPr>
              <w:spacing w:after="0" w:line="240" w:lineRule="auto"/>
            </w:pPr>
            <w:r/>
            <w:r>
              <w:rPr>
                <w:b w:val="0"/>
                <w:i w:val="0"/>
                <w:sz w:val="15"/>
              </w:rPr>
              <w:t>Longreach</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WN24B/478</w:t>
            </w:r>
          </w:p>
        </w:tc>
        <w:tc>
          <w:tcPr>
            <w:tcW w:type="dxa" w:w="4082"/>
          </w:tcPr>
          <w:p>
            <w:pPr>
              <w:spacing w:after="0" w:line="240" w:lineRule="auto"/>
            </w:pPr>
            <w:r/>
            <w:r>
              <w:rPr>
                <w:b w:val="0"/>
                <w:i w:val="0"/>
                <w:sz w:val="15"/>
              </w:rPr>
              <w:t>Part Maungaporau 1 Shown on Plan B/37 Block</w:t>
            </w:r>
          </w:p>
        </w:tc>
        <w:tc>
          <w:tcPr>
            <w:tcW w:type="dxa" w:w="1361"/>
          </w:tcPr>
          <w:p>
            <w:pPr>
              <w:spacing w:after="0" w:line="240" w:lineRule="auto"/>
              <w:jc w:val="right"/>
            </w:pPr>
            <w:r/>
            <w:r>
              <w:rPr>
                <w:b w:val="0"/>
                <w:i w:val="0"/>
                <w:sz w:val="15"/>
              </w:rPr>
              <w:t>1,605.3905</w:t>
            </w:r>
          </w:p>
        </w:tc>
      </w:tr>
      <w:tr>
        <w:tc>
          <w:tcPr>
            <w:tcW w:type="dxa" w:w="1474"/>
            <w:shd w:val="clear" w:color="auto" w:fill="FAF9F6"/>
          </w:tcPr>
          <w:p>
            <w:pPr>
              <w:spacing w:after="0" w:line="240" w:lineRule="auto"/>
            </w:pPr>
            <w:r/>
            <w:r>
              <w:rPr>
                <w:b w:val="0"/>
                <w:i w:val="0"/>
                <w:sz w:val="15"/>
              </w:rPr>
              <w:t>Longreach</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WN24B/479</w:t>
            </w:r>
          </w:p>
        </w:tc>
        <w:tc>
          <w:tcPr>
            <w:tcW w:type="dxa" w:w="4082"/>
            <w:shd w:val="clear" w:color="auto" w:fill="FAF9F6"/>
          </w:tcPr>
          <w:p>
            <w:pPr>
              <w:spacing w:after="0" w:line="240" w:lineRule="auto"/>
            </w:pPr>
            <w:r/>
            <w:r>
              <w:rPr>
                <w:b w:val="0"/>
                <w:i w:val="0"/>
                <w:sz w:val="15"/>
              </w:rPr>
              <w:t>Section 5 Block III Moumahaki Survey District</w:t>
            </w:r>
          </w:p>
        </w:tc>
        <w:tc>
          <w:tcPr>
            <w:tcW w:type="dxa" w:w="1361"/>
            <w:shd w:val="clear" w:color="auto" w:fill="FAF9F6"/>
          </w:tcPr>
          <w:p>
            <w:pPr>
              <w:spacing w:after="0" w:line="240" w:lineRule="auto"/>
              <w:jc w:val="right"/>
            </w:pPr>
            <w:r/>
            <w:r>
              <w:rPr>
                <w:b w:val="0"/>
                <w:i w:val="0"/>
                <w:sz w:val="15"/>
              </w:rPr>
              <w:t>16.1874</w:t>
            </w:r>
          </w:p>
        </w:tc>
      </w:tr>
      <w:tr>
        <w:tc>
          <w:tcPr>
            <w:tcW w:type="dxa" w:w="1474"/>
          </w:tcPr>
          <w:p>
            <w:pPr>
              <w:spacing w:after="0" w:line="240" w:lineRule="auto"/>
            </w:pPr>
            <w:r/>
            <w:r>
              <w:rPr>
                <w:b w:val="0"/>
                <w:i w:val="0"/>
                <w:sz w:val="15"/>
              </w:rPr>
              <w:t>Longreach</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WNB4/1119</w:t>
            </w:r>
          </w:p>
        </w:tc>
        <w:tc>
          <w:tcPr>
            <w:tcW w:type="dxa" w:w="4082"/>
          </w:tcPr>
          <w:p>
            <w:pPr>
              <w:spacing w:after="0" w:line="240" w:lineRule="auto"/>
            </w:pPr>
            <w:r/>
            <w:r>
              <w:rPr>
                <w:b w:val="0"/>
                <w:i w:val="0"/>
                <w:sz w:val="15"/>
              </w:rPr>
              <w:t>Lot 1 Deposited Plan 24709</w:t>
            </w:r>
          </w:p>
        </w:tc>
        <w:tc>
          <w:tcPr>
            <w:tcW w:type="dxa" w:w="1361"/>
          </w:tcPr>
          <w:p>
            <w:pPr>
              <w:spacing w:after="0" w:line="240" w:lineRule="auto"/>
              <w:jc w:val="right"/>
            </w:pPr>
            <w:r/>
            <w:r>
              <w:rPr>
                <w:b w:val="0"/>
                <w:i w:val="0"/>
                <w:sz w:val="15"/>
              </w:rPr>
              <w:t>2.4534</w:t>
            </w:r>
          </w:p>
        </w:tc>
      </w:tr>
      <w:tr>
        <w:tc>
          <w:tcPr>
            <w:tcW w:type="dxa" w:w="1474"/>
            <w:shd w:val="clear" w:color="auto" w:fill="FAF9F6"/>
          </w:tcPr>
          <w:p>
            <w:pPr>
              <w:spacing w:after="0" w:line="240" w:lineRule="auto"/>
            </w:pPr>
            <w:r/>
            <w:r>
              <w:rPr>
                <w:b w:val="0"/>
                <w:i w:val="0"/>
                <w:sz w:val="15"/>
              </w:rPr>
              <w:t>Longreach</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WNF2/815</w:t>
            </w:r>
          </w:p>
        </w:tc>
        <w:tc>
          <w:tcPr>
            <w:tcW w:type="dxa" w:w="4082"/>
            <w:shd w:val="clear" w:color="auto" w:fill="FAF9F6"/>
          </w:tcPr>
          <w:p>
            <w:pPr>
              <w:spacing w:after="0" w:line="240" w:lineRule="auto"/>
            </w:pPr>
            <w:r/>
            <w:r>
              <w:rPr>
                <w:b w:val="0"/>
                <w:i w:val="0"/>
                <w:sz w:val="15"/>
              </w:rPr>
              <w:t>Lot 1 Deposited Plan 27378</w:t>
            </w:r>
          </w:p>
        </w:tc>
        <w:tc>
          <w:tcPr>
            <w:tcW w:type="dxa" w:w="1361"/>
            <w:shd w:val="clear" w:color="auto" w:fill="FAF9F6"/>
          </w:tcPr>
          <w:p>
            <w:pPr>
              <w:spacing w:after="0" w:line="240" w:lineRule="auto"/>
              <w:jc w:val="right"/>
            </w:pPr>
            <w:r/>
            <w:r>
              <w:rPr>
                <w:b w:val="0"/>
                <w:i w:val="0"/>
                <w:sz w:val="15"/>
              </w:rPr>
              <w:t>99.1126</w:t>
            </w:r>
          </w:p>
        </w:tc>
      </w:tr>
      <w:tr>
        <w:tc>
          <w:tcPr>
            <w:tcW w:type="dxa" w:w="1474"/>
          </w:tcPr>
          <w:p>
            <w:pPr>
              <w:spacing w:after="0" w:line="240" w:lineRule="auto"/>
            </w:pPr>
            <w:r/>
            <w:r>
              <w:rPr>
                <w:b w:val="0"/>
                <w:i w:val="0"/>
                <w:sz w:val="15"/>
              </w:rPr>
              <w:t>Back Farm</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TNA3/681</w:t>
            </w:r>
          </w:p>
        </w:tc>
        <w:tc>
          <w:tcPr>
            <w:tcW w:type="dxa" w:w="4082"/>
          </w:tcPr>
          <w:p>
            <w:pPr>
              <w:spacing w:after="0" w:line="240" w:lineRule="auto"/>
            </w:pPr>
            <w:r/>
            <w:r>
              <w:rPr>
                <w:b w:val="0"/>
                <w:i w:val="0"/>
                <w:sz w:val="15"/>
              </w:rPr>
              <w:t>Section 2 and Section 4 Block IX Kapara Survey District</w:t>
            </w:r>
          </w:p>
        </w:tc>
        <w:tc>
          <w:tcPr>
            <w:tcW w:type="dxa" w:w="1361"/>
          </w:tcPr>
          <w:p>
            <w:pPr>
              <w:spacing w:after="0" w:line="240" w:lineRule="auto"/>
              <w:jc w:val="right"/>
            </w:pPr>
            <w:r/>
            <w:r>
              <w:rPr>
                <w:b w:val="0"/>
                <w:i w:val="0"/>
                <w:sz w:val="15"/>
              </w:rPr>
              <w:t>212.8646</w:t>
            </w:r>
          </w:p>
        </w:tc>
      </w:tr>
      <w:tr>
        <w:tc>
          <w:tcPr>
            <w:tcW w:type="dxa" w:w="1474"/>
            <w:shd w:val="clear" w:color="auto" w:fill="FAF9F6"/>
          </w:tcPr>
          <w:p>
            <w:pPr>
              <w:spacing w:after="0" w:line="240" w:lineRule="auto"/>
            </w:pPr>
            <w:r/>
            <w:r>
              <w:rPr>
                <w:b w:val="0"/>
                <w:i w:val="0"/>
                <w:sz w:val="15"/>
              </w:rPr>
              <w:t>Back Farm</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TNB4/1080</w:t>
            </w:r>
          </w:p>
        </w:tc>
        <w:tc>
          <w:tcPr>
            <w:tcW w:type="dxa" w:w="4082"/>
            <w:shd w:val="clear" w:color="auto" w:fill="FAF9F6"/>
          </w:tcPr>
          <w:p>
            <w:pPr>
              <w:spacing w:after="0" w:line="240" w:lineRule="auto"/>
            </w:pPr>
            <w:r/>
            <w:r>
              <w:rPr>
                <w:b w:val="0"/>
                <w:i w:val="0"/>
                <w:sz w:val="15"/>
              </w:rPr>
              <w:t>Section 1 Block IX Kapara Survey District</w:t>
            </w:r>
          </w:p>
        </w:tc>
        <w:tc>
          <w:tcPr>
            <w:tcW w:type="dxa" w:w="1361"/>
            <w:shd w:val="clear" w:color="auto" w:fill="FAF9F6"/>
          </w:tcPr>
          <w:p>
            <w:pPr>
              <w:spacing w:after="0" w:line="240" w:lineRule="auto"/>
              <w:jc w:val="right"/>
            </w:pPr>
            <w:r/>
            <w:r>
              <w:rPr>
                <w:b w:val="0"/>
                <w:i w:val="0"/>
                <w:sz w:val="15"/>
              </w:rPr>
              <w:t>121.4057</w:t>
            </w:r>
          </w:p>
        </w:tc>
      </w:tr>
      <w:tr>
        <w:tc>
          <w:tcPr>
            <w:tcW w:type="dxa" w:w="1474"/>
          </w:tcPr>
          <w:p>
            <w:pPr>
              <w:spacing w:after="0" w:line="240" w:lineRule="auto"/>
            </w:pPr>
            <w:r/>
            <w:r>
              <w:rPr>
                <w:b w:val="0"/>
                <w:i w:val="0"/>
                <w:sz w:val="15"/>
              </w:rPr>
              <w:t>Back Farm</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TNB4/1081</w:t>
            </w:r>
          </w:p>
        </w:tc>
        <w:tc>
          <w:tcPr>
            <w:tcW w:type="dxa" w:w="4082"/>
          </w:tcPr>
          <w:p>
            <w:pPr>
              <w:spacing w:after="0" w:line="240" w:lineRule="auto"/>
            </w:pPr>
            <w:r/>
            <w:r>
              <w:rPr>
                <w:b w:val="0"/>
                <w:i w:val="0"/>
                <w:sz w:val="15"/>
              </w:rPr>
              <w:t>Section 4 Block V Kapara Survey District</w:t>
            </w:r>
          </w:p>
        </w:tc>
        <w:tc>
          <w:tcPr>
            <w:tcW w:type="dxa" w:w="1361"/>
          </w:tcPr>
          <w:p>
            <w:pPr>
              <w:spacing w:after="0" w:line="240" w:lineRule="auto"/>
              <w:jc w:val="right"/>
            </w:pPr>
            <w:r/>
            <w:r>
              <w:rPr>
                <w:b w:val="0"/>
                <w:i w:val="0"/>
                <w:sz w:val="15"/>
              </w:rPr>
              <w:t>283.2799</w:t>
            </w:r>
          </w:p>
        </w:tc>
      </w:tr>
      <w:tr>
        <w:tc>
          <w:tcPr>
            <w:tcW w:type="dxa" w:w="1474"/>
            <w:shd w:val="clear" w:color="auto" w:fill="FAF9F6"/>
          </w:tcPr>
          <w:p>
            <w:pPr>
              <w:spacing w:after="0" w:line="240" w:lineRule="auto"/>
            </w:pPr>
            <w:r/>
            <w:r>
              <w:rPr>
                <w:b w:val="0"/>
                <w:i w:val="0"/>
                <w:sz w:val="15"/>
              </w:rPr>
              <w:t>Back Farm</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TNB4/1082</w:t>
            </w:r>
          </w:p>
        </w:tc>
        <w:tc>
          <w:tcPr>
            <w:tcW w:type="dxa" w:w="4082"/>
            <w:shd w:val="clear" w:color="auto" w:fill="FAF9F6"/>
          </w:tcPr>
          <w:p>
            <w:pPr>
              <w:spacing w:after="0" w:line="240" w:lineRule="auto"/>
            </w:pPr>
            <w:r/>
            <w:r>
              <w:rPr>
                <w:b w:val="0"/>
                <w:i w:val="0"/>
                <w:sz w:val="15"/>
              </w:rPr>
              <w:t>Section 5 Block V Kapara Survey District</w:t>
            </w:r>
          </w:p>
        </w:tc>
        <w:tc>
          <w:tcPr>
            <w:tcW w:type="dxa" w:w="1361"/>
            <w:shd w:val="clear" w:color="auto" w:fill="FAF9F6"/>
          </w:tcPr>
          <w:p>
            <w:pPr>
              <w:spacing w:after="0" w:line="240" w:lineRule="auto"/>
              <w:jc w:val="right"/>
            </w:pPr>
            <w:r/>
            <w:r>
              <w:rPr>
                <w:b w:val="0"/>
                <w:i w:val="0"/>
                <w:sz w:val="15"/>
              </w:rPr>
              <w:t>258.1894</w:t>
            </w:r>
          </w:p>
        </w:tc>
      </w:tr>
      <w:tr>
        <w:tc>
          <w:tcPr>
            <w:tcW w:type="dxa" w:w="1474"/>
          </w:tcPr>
          <w:p>
            <w:pPr>
              <w:spacing w:after="0" w:line="240" w:lineRule="auto"/>
            </w:pPr>
            <w:r/>
            <w:r>
              <w:rPr>
                <w:b w:val="0"/>
                <w:i w:val="0"/>
                <w:sz w:val="15"/>
              </w:rPr>
              <w:t>Back Farm</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TNB4/1083</w:t>
            </w:r>
          </w:p>
        </w:tc>
        <w:tc>
          <w:tcPr>
            <w:tcW w:type="dxa" w:w="4082"/>
          </w:tcPr>
          <w:p>
            <w:pPr>
              <w:spacing w:after="0" w:line="240" w:lineRule="auto"/>
            </w:pPr>
            <w:r/>
            <w:r>
              <w:rPr>
                <w:b w:val="0"/>
                <w:i w:val="0"/>
                <w:sz w:val="15"/>
              </w:rPr>
              <w:t>Section 3 Block IX Kapara Survey District</w:t>
            </w:r>
          </w:p>
        </w:tc>
        <w:tc>
          <w:tcPr>
            <w:tcW w:type="dxa" w:w="1361"/>
          </w:tcPr>
          <w:p>
            <w:pPr>
              <w:spacing w:after="0" w:line="240" w:lineRule="auto"/>
              <w:jc w:val="right"/>
            </w:pPr>
            <w:r/>
            <w:r>
              <w:rPr>
                <w:b w:val="0"/>
                <w:i w:val="0"/>
                <w:sz w:val="15"/>
              </w:rPr>
              <w:t>256.9754</w:t>
            </w:r>
          </w:p>
        </w:tc>
      </w:tr>
      <w:tr>
        <w:tc>
          <w:tcPr>
            <w:tcW w:type="dxa" w:w="1474"/>
            <w:shd w:val="clear" w:color="auto" w:fill="FAF9F6"/>
          </w:tcPr>
          <w:p>
            <w:pPr>
              <w:spacing w:after="0" w:line="240" w:lineRule="auto"/>
            </w:pPr>
            <w:r/>
            <w:r>
              <w:rPr>
                <w:b w:val="0"/>
                <w:i w:val="0"/>
                <w:sz w:val="15"/>
              </w:rPr>
              <w:t>Back Farm</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TNE4/125</w:t>
            </w:r>
          </w:p>
        </w:tc>
        <w:tc>
          <w:tcPr>
            <w:tcW w:type="dxa" w:w="4082"/>
            <w:shd w:val="clear" w:color="auto" w:fill="FAF9F6"/>
          </w:tcPr>
          <w:p>
            <w:pPr>
              <w:spacing w:after="0" w:line="240" w:lineRule="auto"/>
            </w:pPr>
            <w:r/>
            <w:r>
              <w:rPr>
                <w:b w:val="0"/>
                <w:i w:val="0"/>
                <w:sz w:val="15"/>
              </w:rPr>
              <w:t>Section 6 Block XII Opaku Survey District</w:t>
            </w:r>
          </w:p>
        </w:tc>
        <w:tc>
          <w:tcPr>
            <w:tcW w:type="dxa" w:w="1361"/>
            <w:shd w:val="clear" w:color="auto" w:fill="FAF9F6"/>
          </w:tcPr>
          <w:p>
            <w:pPr>
              <w:spacing w:after="0" w:line="240" w:lineRule="auto"/>
              <w:jc w:val="right"/>
            </w:pPr>
            <w:r/>
            <w:r>
              <w:rPr>
                <w:b w:val="0"/>
                <w:i w:val="0"/>
                <w:sz w:val="15"/>
              </w:rPr>
              <w:t>142.4493</w:t>
            </w:r>
          </w:p>
        </w:tc>
      </w:tr>
      <w:tr>
        <w:tc>
          <w:tcPr>
            <w:tcW w:type="dxa" w:w="1474"/>
          </w:tcPr>
          <w:p>
            <w:pPr>
              <w:spacing w:after="0" w:line="240" w:lineRule="auto"/>
            </w:pPr>
            <w:r/>
            <w:r>
              <w:rPr>
                <w:b w:val="0"/>
                <w:i w:val="0"/>
                <w:sz w:val="15"/>
              </w:rPr>
              <w:t>Back Farm</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TNF3/568</w:t>
            </w:r>
          </w:p>
        </w:tc>
        <w:tc>
          <w:tcPr>
            <w:tcW w:type="dxa" w:w="4082"/>
          </w:tcPr>
          <w:p>
            <w:pPr>
              <w:spacing w:after="0" w:line="240" w:lineRule="auto"/>
            </w:pPr>
            <w:r/>
            <w:r>
              <w:rPr>
                <w:b w:val="0"/>
                <w:i w:val="0"/>
                <w:sz w:val="15"/>
              </w:rPr>
              <w:t>Section 6 Block V Kapara Survey District</w:t>
            </w:r>
          </w:p>
        </w:tc>
        <w:tc>
          <w:tcPr>
            <w:tcW w:type="dxa" w:w="1361"/>
          </w:tcPr>
          <w:p>
            <w:pPr>
              <w:spacing w:after="0" w:line="240" w:lineRule="auto"/>
              <w:jc w:val="right"/>
            </w:pPr>
            <w:r/>
            <w:r>
              <w:rPr>
                <w:b w:val="0"/>
                <w:i w:val="0"/>
                <w:sz w:val="15"/>
              </w:rPr>
              <w:t>475.1009</w:t>
            </w:r>
          </w:p>
        </w:tc>
      </w:tr>
      <w:tr>
        <w:tc>
          <w:tcPr>
            <w:tcW w:type="dxa" w:w="1474"/>
            <w:shd w:val="clear" w:color="auto" w:fill="FAF9F6"/>
          </w:tcPr>
          <w:p>
            <w:pPr>
              <w:spacing w:after="0" w:line="240" w:lineRule="auto"/>
            </w:pPr>
            <w:r/>
            <w:r>
              <w:rPr>
                <w:b w:val="0"/>
                <w:i w:val="0"/>
                <w:sz w:val="15"/>
              </w:rPr>
              <w:t>Back Farm</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TNH1/1356</w:t>
            </w:r>
          </w:p>
        </w:tc>
        <w:tc>
          <w:tcPr>
            <w:tcW w:type="dxa" w:w="4082"/>
            <w:shd w:val="clear" w:color="auto" w:fill="FAF9F6"/>
          </w:tcPr>
          <w:p>
            <w:pPr>
              <w:spacing w:after="0" w:line="240" w:lineRule="auto"/>
            </w:pPr>
            <w:r/>
            <w:r>
              <w:rPr>
                <w:b w:val="0"/>
                <w:i w:val="0"/>
                <w:sz w:val="15"/>
              </w:rPr>
              <w:t>Section 8 Block VI Kapara Survey District</w:t>
            </w:r>
          </w:p>
        </w:tc>
        <w:tc>
          <w:tcPr>
            <w:tcW w:type="dxa" w:w="1361"/>
            <w:shd w:val="clear" w:color="auto" w:fill="FAF9F6"/>
          </w:tcPr>
          <w:p>
            <w:pPr>
              <w:spacing w:after="0" w:line="240" w:lineRule="auto"/>
              <w:jc w:val="right"/>
            </w:pPr>
            <w:r/>
            <w:r>
              <w:rPr>
                <w:b w:val="0"/>
                <w:i w:val="0"/>
                <w:sz w:val="15"/>
              </w:rPr>
              <w:t>354.0999</w:t>
            </w:r>
          </w:p>
        </w:tc>
      </w:tr>
      <w:tr>
        <w:tc>
          <w:tcPr>
            <w:tcW w:type="dxa" w:w="1474"/>
          </w:tcPr>
          <w:p>
            <w:pPr>
              <w:spacing w:after="0" w:line="240" w:lineRule="auto"/>
            </w:pPr>
            <w:r/>
            <w:r>
              <w:rPr>
                <w:b w:val="0"/>
                <w:i w:val="0"/>
                <w:sz w:val="15"/>
              </w:rPr>
              <w:t>Front Farm</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451953</w:t>
            </w:r>
          </w:p>
        </w:tc>
        <w:tc>
          <w:tcPr>
            <w:tcW w:type="dxa" w:w="4082"/>
          </w:tcPr>
          <w:p>
            <w:pPr>
              <w:spacing w:after="0" w:line="240" w:lineRule="auto"/>
            </w:pPr>
            <w:r/>
            <w:r>
              <w:rPr>
                <w:b w:val="0"/>
                <w:i w:val="0"/>
                <w:sz w:val="15"/>
              </w:rPr>
              <w:t>Lot 2 Deposited Plan 413240</w:t>
            </w:r>
          </w:p>
        </w:tc>
        <w:tc>
          <w:tcPr>
            <w:tcW w:type="dxa" w:w="1361"/>
          </w:tcPr>
          <w:p>
            <w:pPr>
              <w:spacing w:after="0" w:line="240" w:lineRule="auto"/>
              <w:jc w:val="right"/>
            </w:pPr>
            <w:r/>
            <w:r>
              <w:rPr>
                <w:b w:val="0"/>
                <w:i w:val="0"/>
                <w:sz w:val="15"/>
              </w:rPr>
              <w:t>338.5727</w:t>
            </w:r>
          </w:p>
        </w:tc>
      </w:tr>
      <w:tr>
        <w:tc>
          <w:tcPr>
            <w:tcW w:type="dxa" w:w="1474"/>
            <w:shd w:val="clear" w:color="auto" w:fill="FAF9F6"/>
          </w:tcPr>
          <w:p>
            <w:pPr>
              <w:spacing w:after="0" w:line="240" w:lineRule="auto"/>
            </w:pPr>
            <w:r/>
            <w:r>
              <w:rPr>
                <w:b w:val="0"/>
                <w:i w:val="0"/>
                <w:sz w:val="15"/>
              </w:rPr>
              <w:t>Front Farm</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TNF3/564</w:t>
            </w:r>
          </w:p>
        </w:tc>
        <w:tc>
          <w:tcPr>
            <w:tcW w:type="dxa" w:w="4082"/>
            <w:shd w:val="clear" w:color="auto" w:fill="FAF9F6"/>
          </w:tcPr>
          <w:p>
            <w:pPr>
              <w:spacing w:after="0" w:line="240" w:lineRule="auto"/>
            </w:pPr>
            <w:r/>
            <w:r>
              <w:rPr>
                <w:b w:val="0"/>
                <w:i w:val="0"/>
                <w:sz w:val="15"/>
              </w:rPr>
              <w:t>Section 25 Block VI Kapara Survey District</w:t>
            </w:r>
          </w:p>
        </w:tc>
        <w:tc>
          <w:tcPr>
            <w:tcW w:type="dxa" w:w="1361"/>
            <w:shd w:val="clear" w:color="auto" w:fill="FAF9F6"/>
          </w:tcPr>
          <w:p>
            <w:pPr>
              <w:spacing w:after="0" w:line="240" w:lineRule="auto"/>
              <w:jc w:val="right"/>
            </w:pPr>
            <w:r/>
            <w:r>
              <w:rPr>
                <w:b w:val="0"/>
                <w:i w:val="0"/>
                <w:sz w:val="15"/>
              </w:rPr>
              <w:t>40.4686</w:t>
            </w:r>
          </w:p>
        </w:tc>
      </w:tr>
      <w:tr>
        <w:tc>
          <w:tcPr>
            <w:tcW w:type="dxa" w:w="1474"/>
          </w:tcPr>
          <w:p>
            <w:pPr>
              <w:spacing w:after="0" w:line="240" w:lineRule="auto"/>
            </w:pPr>
            <w:r/>
            <w:r>
              <w:rPr>
                <w:b w:val="0"/>
                <w:i w:val="0"/>
                <w:sz w:val="15"/>
              </w:rPr>
              <w:t>Front Farm</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TNF3/565</w:t>
            </w:r>
          </w:p>
        </w:tc>
        <w:tc>
          <w:tcPr>
            <w:tcW w:type="dxa" w:w="4082"/>
          </w:tcPr>
          <w:p>
            <w:pPr>
              <w:spacing w:after="0" w:line="240" w:lineRule="auto"/>
            </w:pPr>
            <w:r/>
            <w:r>
              <w:rPr>
                <w:b w:val="0"/>
                <w:i w:val="0"/>
                <w:sz w:val="15"/>
              </w:rPr>
              <w:t>Section 24 Block VI Kapara Survey District</w:t>
            </w:r>
          </w:p>
        </w:tc>
        <w:tc>
          <w:tcPr>
            <w:tcW w:type="dxa" w:w="1361"/>
          </w:tcPr>
          <w:p>
            <w:pPr>
              <w:spacing w:after="0" w:line="240" w:lineRule="auto"/>
              <w:jc w:val="right"/>
            </w:pPr>
            <w:r/>
            <w:r>
              <w:rPr>
                <w:b w:val="0"/>
                <w:i w:val="0"/>
                <w:sz w:val="15"/>
              </w:rPr>
              <w:t>45.3248</w:t>
            </w:r>
          </w:p>
        </w:tc>
      </w:tr>
      <w:tr>
        <w:tc>
          <w:tcPr>
            <w:tcW w:type="dxa" w:w="1474"/>
            <w:shd w:val="clear" w:color="auto" w:fill="FAF9F6"/>
          </w:tcPr>
          <w:p>
            <w:pPr>
              <w:spacing w:after="0" w:line="240" w:lineRule="auto"/>
            </w:pPr>
            <w:r/>
            <w:r>
              <w:rPr>
                <w:b w:val="0"/>
                <w:i w:val="0"/>
                <w:sz w:val="15"/>
              </w:rPr>
              <w:t>Front Farm</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TNF3/566</w:t>
            </w:r>
          </w:p>
        </w:tc>
        <w:tc>
          <w:tcPr>
            <w:tcW w:type="dxa" w:w="4082"/>
            <w:shd w:val="clear" w:color="auto" w:fill="FAF9F6"/>
          </w:tcPr>
          <w:p>
            <w:pPr>
              <w:spacing w:after="0" w:line="240" w:lineRule="auto"/>
            </w:pPr>
            <w:r/>
            <w:r>
              <w:rPr>
                <w:b w:val="0"/>
                <w:i w:val="0"/>
                <w:sz w:val="15"/>
              </w:rPr>
              <w:t>Section 6 Block VI Kapara Survey District</w:t>
            </w:r>
          </w:p>
        </w:tc>
        <w:tc>
          <w:tcPr>
            <w:tcW w:type="dxa" w:w="1361"/>
            <w:shd w:val="clear" w:color="auto" w:fill="FAF9F6"/>
          </w:tcPr>
          <w:p>
            <w:pPr>
              <w:spacing w:after="0" w:line="240" w:lineRule="auto"/>
              <w:jc w:val="right"/>
            </w:pPr>
            <w:r/>
            <w:r>
              <w:rPr>
                <w:b w:val="0"/>
                <w:i w:val="0"/>
                <w:sz w:val="15"/>
              </w:rPr>
              <w:t>47.3482</w:t>
            </w:r>
          </w:p>
        </w:tc>
      </w:tr>
      <w:tr>
        <w:tc>
          <w:tcPr>
            <w:tcW w:type="dxa" w:w="1474"/>
          </w:tcPr>
          <w:p>
            <w:pPr>
              <w:spacing w:after="0" w:line="240" w:lineRule="auto"/>
            </w:pPr>
            <w:r/>
            <w:r>
              <w:rPr>
                <w:b w:val="0"/>
                <w:i w:val="0"/>
                <w:sz w:val="15"/>
              </w:rPr>
              <w:t>Front Farm</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TNF3/567</w:t>
            </w:r>
          </w:p>
        </w:tc>
        <w:tc>
          <w:tcPr>
            <w:tcW w:type="dxa" w:w="4082"/>
          </w:tcPr>
          <w:p>
            <w:pPr>
              <w:spacing w:after="0" w:line="240" w:lineRule="auto"/>
            </w:pPr>
            <w:r/>
            <w:r>
              <w:rPr>
                <w:b w:val="0"/>
                <w:i w:val="0"/>
                <w:sz w:val="15"/>
              </w:rPr>
              <w:t>Section 4 Block VI Kapara Survey District</w:t>
            </w:r>
          </w:p>
        </w:tc>
        <w:tc>
          <w:tcPr>
            <w:tcW w:type="dxa" w:w="1361"/>
          </w:tcPr>
          <w:p>
            <w:pPr>
              <w:spacing w:after="0" w:line="240" w:lineRule="auto"/>
              <w:jc w:val="right"/>
            </w:pPr>
            <w:r/>
            <w:r>
              <w:rPr>
                <w:b w:val="0"/>
                <w:i w:val="0"/>
                <w:sz w:val="15"/>
              </w:rPr>
              <w:t>30.3514</w:t>
            </w:r>
          </w:p>
        </w:tc>
      </w:tr>
      <w:tr>
        <w:tc>
          <w:tcPr>
            <w:tcW w:type="dxa" w:w="1474"/>
            <w:shd w:val="clear" w:color="auto" w:fill="FAF9F6"/>
          </w:tcPr>
          <w:p>
            <w:pPr>
              <w:spacing w:after="0" w:line="240" w:lineRule="auto"/>
            </w:pPr>
            <w:r/>
            <w:r>
              <w:rPr>
                <w:b w:val="0"/>
                <w:i w:val="0"/>
                <w:sz w:val="15"/>
              </w:rPr>
              <w:t>Eastern Block</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TNB4/1024</w:t>
            </w:r>
          </w:p>
        </w:tc>
        <w:tc>
          <w:tcPr>
            <w:tcW w:type="dxa" w:w="4082"/>
            <w:shd w:val="clear" w:color="auto" w:fill="FAF9F6"/>
          </w:tcPr>
          <w:p>
            <w:pPr>
              <w:spacing w:after="0" w:line="240" w:lineRule="auto"/>
            </w:pPr>
            <w:r/>
            <w:r>
              <w:rPr>
                <w:b w:val="0"/>
                <w:i w:val="0"/>
                <w:sz w:val="15"/>
              </w:rPr>
              <w:t>Makowhai 2 Block</w:t>
            </w:r>
          </w:p>
        </w:tc>
        <w:tc>
          <w:tcPr>
            <w:tcW w:type="dxa" w:w="1361"/>
            <w:shd w:val="clear" w:color="auto" w:fill="FAF9F6"/>
          </w:tcPr>
          <w:p>
            <w:pPr>
              <w:spacing w:after="0" w:line="240" w:lineRule="auto"/>
              <w:jc w:val="right"/>
            </w:pPr>
            <w:r/>
            <w:r>
              <w:rPr>
                <w:b w:val="0"/>
                <w:i w:val="0"/>
                <w:sz w:val="15"/>
              </w:rPr>
              <w:t>6.3232</w:t>
            </w:r>
          </w:p>
        </w:tc>
      </w:tr>
      <w:tr>
        <w:tc>
          <w:tcPr>
            <w:tcW w:type="dxa" w:w="1474"/>
          </w:tcPr>
          <w:p>
            <w:pPr>
              <w:spacing w:after="0" w:line="240" w:lineRule="auto"/>
            </w:pPr>
            <w:r/>
            <w:r>
              <w:rPr>
                <w:b w:val="0"/>
                <w:i w:val="0"/>
                <w:sz w:val="15"/>
              </w:rPr>
              <w:t>Eastern Block</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TNE3/648</w:t>
            </w:r>
          </w:p>
        </w:tc>
        <w:tc>
          <w:tcPr>
            <w:tcW w:type="dxa" w:w="4082"/>
          </w:tcPr>
          <w:p>
            <w:pPr>
              <w:spacing w:after="0" w:line="240" w:lineRule="auto"/>
            </w:pPr>
            <w:r/>
            <w:r>
              <w:rPr>
                <w:b w:val="0"/>
                <w:i w:val="0"/>
                <w:sz w:val="15"/>
              </w:rPr>
              <w:t>Makowhai 1A Block</w:t>
            </w:r>
          </w:p>
        </w:tc>
        <w:tc>
          <w:tcPr>
            <w:tcW w:type="dxa" w:w="1361"/>
          </w:tcPr>
          <w:p>
            <w:pPr>
              <w:spacing w:after="0" w:line="240" w:lineRule="auto"/>
              <w:jc w:val="right"/>
            </w:pPr>
            <w:r/>
            <w:r>
              <w:rPr>
                <w:b w:val="0"/>
                <w:i w:val="0"/>
                <w:sz w:val="15"/>
              </w:rPr>
              <w:t>28.0371</w:t>
            </w:r>
          </w:p>
        </w:tc>
      </w:tr>
      <w:tr>
        <w:tc>
          <w:tcPr>
            <w:tcW w:type="dxa" w:w="1474"/>
            <w:shd w:val="clear" w:color="auto" w:fill="FAF9F6"/>
          </w:tcPr>
          <w:p>
            <w:pPr>
              <w:spacing w:after="0" w:line="240" w:lineRule="auto"/>
            </w:pPr>
            <w:r/>
            <w:r>
              <w:rPr>
                <w:b w:val="0"/>
                <w:i w:val="0"/>
                <w:sz w:val="15"/>
              </w:rPr>
              <w:t>Eastern Block</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TNE3/649</w:t>
            </w:r>
          </w:p>
        </w:tc>
        <w:tc>
          <w:tcPr>
            <w:tcW w:type="dxa" w:w="4082"/>
            <w:shd w:val="clear" w:color="auto" w:fill="FAF9F6"/>
          </w:tcPr>
          <w:p>
            <w:pPr>
              <w:spacing w:after="0" w:line="240" w:lineRule="auto"/>
            </w:pPr>
            <w:r/>
            <w:r>
              <w:rPr>
                <w:b w:val="0"/>
                <w:i w:val="0"/>
                <w:sz w:val="15"/>
              </w:rPr>
              <w:t>Lot 2-3 Deposited Plan 179 and Makowhai 1B Block</w:t>
            </w:r>
          </w:p>
        </w:tc>
        <w:tc>
          <w:tcPr>
            <w:tcW w:type="dxa" w:w="1361"/>
            <w:shd w:val="clear" w:color="auto" w:fill="FAF9F6"/>
          </w:tcPr>
          <w:p>
            <w:pPr>
              <w:spacing w:after="0" w:line="240" w:lineRule="auto"/>
              <w:jc w:val="right"/>
            </w:pPr>
            <w:r/>
            <w:r>
              <w:rPr>
                <w:b w:val="0"/>
                <w:i w:val="0"/>
                <w:sz w:val="15"/>
              </w:rPr>
              <w:t>1,037.1081</w:t>
            </w:r>
          </w:p>
        </w:tc>
      </w:tr>
      <w:tr>
        <w:tc>
          <w:tcPr>
            <w:tcW w:type="dxa" w:w="1474"/>
          </w:tcPr>
          <w:p>
            <w:pPr>
              <w:spacing w:after="0" w:line="240" w:lineRule="auto"/>
            </w:pPr>
            <w:r/>
            <w:r>
              <w:rPr>
                <w:b w:val="0"/>
                <w:i w:val="0"/>
                <w:sz w:val="15"/>
              </w:rPr>
              <w:t>Home Block</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TN119/223</w:t>
            </w:r>
          </w:p>
        </w:tc>
        <w:tc>
          <w:tcPr>
            <w:tcW w:type="dxa" w:w="4082"/>
          </w:tcPr>
          <w:p>
            <w:pPr>
              <w:spacing w:after="0" w:line="240" w:lineRule="auto"/>
            </w:pPr>
            <w:r/>
            <w:r>
              <w:rPr>
                <w:b w:val="0"/>
                <w:i w:val="0"/>
                <w:sz w:val="15"/>
              </w:rPr>
              <w:t>Part Section 9 Block VI Kapara Survey District</w:t>
            </w:r>
          </w:p>
        </w:tc>
        <w:tc>
          <w:tcPr>
            <w:tcW w:type="dxa" w:w="1361"/>
          </w:tcPr>
          <w:p>
            <w:pPr>
              <w:spacing w:after="0" w:line="240" w:lineRule="auto"/>
              <w:jc w:val="right"/>
            </w:pPr>
            <w:r/>
            <w:r>
              <w:rPr>
                <w:b w:val="0"/>
                <w:i w:val="0"/>
                <w:sz w:val="15"/>
              </w:rPr>
              <w:t>687.6368</w:t>
            </w:r>
          </w:p>
        </w:tc>
      </w:tr>
      <w:tr>
        <w:tc>
          <w:tcPr>
            <w:tcW w:type="dxa" w:w="1474"/>
            <w:shd w:val="clear" w:color="auto" w:fill="FAF9F6"/>
          </w:tcPr>
          <w:p>
            <w:pPr>
              <w:spacing w:after="0" w:line="240" w:lineRule="auto"/>
            </w:pPr>
            <w:r/>
            <w:r>
              <w:rPr>
                <w:b w:val="0"/>
                <w:i w:val="0"/>
                <w:sz w:val="15"/>
              </w:rPr>
              <w:t>Home Block</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TNE3/650</w:t>
            </w:r>
          </w:p>
        </w:tc>
        <w:tc>
          <w:tcPr>
            <w:tcW w:type="dxa" w:w="4082"/>
            <w:shd w:val="clear" w:color="auto" w:fill="FAF9F6"/>
          </w:tcPr>
          <w:p>
            <w:pPr>
              <w:spacing w:after="0" w:line="240" w:lineRule="auto"/>
            </w:pPr>
            <w:r/>
            <w:r>
              <w:rPr>
                <w:b w:val="0"/>
                <w:i w:val="0"/>
                <w:sz w:val="15"/>
              </w:rPr>
              <w:t>Section 1 Block X Kapara Survey District</w:t>
            </w:r>
          </w:p>
        </w:tc>
        <w:tc>
          <w:tcPr>
            <w:tcW w:type="dxa" w:w="1361"/>
            <w:shd w:val="clear" w:color="auto" w:fill="FAF9F6"/>
          </w:tcPr>
          <w:p>
            <w:pPr>
              <w:spacing w:after="0" w:line="240" w:lineRule="auto"/>
              <w:jc w:val="right"/>
            </w:pPr>
            <w:r/>
            <w:r>
              <w:rPr>
                <w:b w:val="0"/>
                <w:i w:val="0"/>
                <w:sz w:val="15"/>
              </w:rPr>
              <w:t>477.5290</w:t>
            </w:r>
          </w:p>
        </w:tc>
      </w:tr>
      <w:tr>
        <w:tc>
          <w:tcPr>
            <w:tcW w:type="dxa" w:w="1474"/>
          </w:tcPr>
          <w:p>
            <w:pPr>
              <w:spacing w:after="0" w:line="240" w:lineRule="auto"/>
            </w:pPr>
            <w:r/>
            <w:r>
              <w:rPr>
                <w:b w:val="0"/>
                <w:i w:val="0"/>
                <w:sz w:val="15"/>
              </w:rPr>
              <w:t>Ernies</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421910</w:t>
            </w:r>
          </w:p>
        </w:tc>
        <w:tc>
          <w:tcPr>
            <w:tcW w:type="dxa" w:w="4082"/>
          </w:tcPr>
          <w:p>
            <w:pPr>
              <w:spacing w:after="0" w:line="240" w:lineRule="auto"/>
            </w:pPr>
            <w:r/>
            <w:r>
              <w:rPr>
                <w:b w:val="0"/>
                <w:i w:val="0"/>
                <w:sz w:val="15"/>
              </w:rPr>
              <w:t>Lot 2 Deposited Plan 406242 and Section 12 Block VIII Opaku Survey District</w:t>
            </w:r>
          </w:p>
        </w:tc>
        <w:tc>
          <w:tcPr>
            <w:tcW w:type="dxa" w:w="1361"/>
          </w:tcPr>
          <w:p>
            <w:pPr>
              <w:spacing w:after="0" w:line="240" w:lineRule="auto"/>
              <w:jc w:val="right"/>
            </w:pPr>
            <w:r/>
            <w:r>
              <w:rPr>
                <w:b w:val="0"/>
                <w:i w:val="0"/>
                <w:sz w:val="15"/>
              </w:rPr>
              <w:t>352.8488</w:t>
            </w:r>
          </w:p>
        </w:tc>
      </w:tr>
      <w:tr>
        <w:tc>
          <w:tcPr>
            <w:tcW w:type="dxa" w:w="1474"/>
            <w:shd w:val="clear" w:color="auto" w:fill="FAF9F6"/>
          </w:tcPr>
          <w:p>
            <w:pPr>
              <w:spacing w:after="0" w:line="240" w:lineRule="auto"/>
            </w:pPr>
            <w:r/>
            <w:r>
              <w:rPr>
                <w:b w:val="0"/>
                <w:i w:val="0"/>
                <w:sz w:val="15"/>
              </w:rPr>
              <w:t>Ernies</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TN175/43</w:t>
            </w:r>
          </w:p>
        </w:tc>
        <w:tc>
          <w:tcPr>
            <w:tcW w:type="dxa" w:w="4082"/>
            <w:shd w:val="clear" w:color="auto" w:fill="FAF9F6"/>
          </w:tcPr>
          <w:p>
            <w:pPr>
              <w:spacing w:after="0" w:line="240" w:lineRule="auto"/>
            </w:pPr>
            <w:r/>
            <w:r>
              <w:rPr>
                <w:b w:val="0"/>
                <w:i w:val="0"/>
                <w:sz w:val="15"/>
              </w:rPr>
              <w:t>Section 2 Block IV Opaku Survey District</w:t>
            </w:r>
          </w:p>
        </w:tc>
        <w:tc>
          <w:tcPr>
            <w:tcW w:type="dxa" w:w="1361"/>
            <w:shd w:val="clear" w:color="auto" w:fill="FAF9F6"/>
          </w:tcPr>
          <w:p>
            <w:pPr>
              <w:spacing w:after="0" w:line="240" w:lineRule="auto"/>
              <w:jc w:val="right"/>
            </w:pPr>
            <w:r/>
            <w:r>
              <w:rPr>
                <w:b w:val="0"/>
                <w:i w:val="0"/>
                <w:sz w:val="15"/>
              </w:rPr>
              <w:t>239.2704</w:t>
            </w:r>
          </w:p>
        </w:tc>
      </w:tr>
      <w:tr>
        <w:tc>
          <w:tcPr>
            <w:tcW w:type="dxa" w:w="1474"/>
          </w:tcPr>
          <w:p>
            <w:pPr>
              <w:spacing w:after="0" w:line="240" w:lineRule="auto"/>
            </w:pPr>
            <w:r/>
            <w:r>
              <w:rPr>
                <w:b w:val="0"/>
                <w:i w:val="0"/>
                <w:sz w:val="15"/>
              </w:rPr>
              <w:t>Ernies</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TN175/44</w:t>
            </w:r>
          </w:p>
        </w:tc>
        <w:tc>
          <w:tcPr>
            <w:tcW w:type="dxa" w:w="4082"/>
          </w:tcPr>
          <w:p>
            <w:pPr>
              <w:spacing w:after="0" w:line="240" w:lineRule="auto"/>
            </w:pPr>
            <w:r/>
            <w:r>
              <w:rPr>
                <w:b w:val="0"/>
                <w:i w:val="0"/>
                <w:sz w:val="15"/>
              </w:rPr>
              <w:t>Subdivision 1 Section 3 Block IV Opaku Survey District and Subdivision 1 Section 10 Block IV Opaku Survey District</w:t>
            </w:r>
          </w:p>
        </w:tc>
        <w:tc>
          <w:tcPr>
            <w:tcW w:type="dxa" w:w="1361"/>
          </w:tcPr>
          <w:p>
            <w:pPr>
              <w:spacing w:after="0" w:line="240" w:lineRule="auto"/>
              <w:jc w:val="right"/>
            </w:pPr>
            <w:r/>
            <w:r>
              <w:rPr>
                <w:b w:val="0"/>
                <w:i w:val="0"/>
                <w:sz w:val="15"/>
              </w:rPr>
              <w:t>216.0010</w:t>
            </w:r>
          </w:p>
        </w:tc>
      </w:tr>
      <w:tr>
        <w:tc>
          <w:tcPr>
            <w:tcW w:type="dxa" w:w="1474"/>
            <w:shd w:val="clear" w:color="auto" w:fill="FAF9F6"/>
          </w:tcPr>
          <w:p>
            <w:pPr>
              <w:spacing w:after="0" w:line="240" w:lineRule="auto"/>
            </w:pPr>
            <w:r/>
            <w:r>
              <w:rPr>
                <w:b w:val="0"/>
                <w:i w:val="0"/>
                <w:sz w:val="15"/>
              </w:rPr>
              <w:t>Ernies</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TNH4/190</w:t>
            </w:r>
          </w:p>
        </w:tc>
        <w:tc>
          <w:tcPr>
            <w:tcW w:type="dxa" w:w="4082"/>
            <w:shd w:val="clear" w:color="auto" w:fill="FAF9F6"/>
          </w:tcPr>
          <w:p>
            <w:pPr>
              <w:spacing w:after="0" w:line="240" w:lineRule="auto"/>
            </w:pPr>
            <w:r/>
            <w:r>
              <w:rPr>
                <w:b w:val="0"/>
                <w:i w:val="0"/>
                <w:sz w:val="15"/>
              </w:rPr>
              <w:t>Section 16-18 Block IV Opaku Survey District</w:t>
            </w:r>
          </w:p>
        </w:tc>
        <w:tc>
          <w:tcPr>
            <w:tcW w:type="dxa" w:w="1361"/>
            <w:shd w:val="clear" w:color="auto" w:fill="FAF9F6"/>
          </w:tcPr>
          <w:p>
            <w:pPr>
              <w:spacing w:after="0" w:line="240" w:lineRule="auto"/>
              <w:jc w:val="right"/>
            </w:pPr>
            <w:r/>
            <w:r>
              <w:rPr>
                <w:b w:val="0"/>
                <w:i w:val="0"/>
                <w:sz w:val="15"/>
              </w:rPr>
              <w:t>138.1466</w:t>
            </w:r>
          </w:p>
        </w:tc>
      </w:tr>
      <w:tr>
        <w:tc>
          <w:tcPr>
            <w:tcW w:type="dxa" w:w="1474"/>
          </w:tcPr>
          <w:p>
            <w:pPr>
              <w:spacing w:after="0" w:line="240" w:lineRule="auto"/>
            </w:pPr>
            <w:r/>
            <w:r>
              <w:rPr>
                <w:b w:val="0"/>
                <w:i w:val="0"/>
                <w:sz w:val="15"/>
              </w:rPr>
              <w:t>Ernies</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TNJ2/204</w:t>
            </w:r>
          </w:p>
        </w:tc>
        <w:tc>
          <w:tcPr>
            <w:tcW w:type="dxa" w:w="4082"/>
          </w:tcPr>
          <w:p>
            <w:pPr>
              <w:spacing w:after="0" w:line="240" w:lineRule="auto"/>
            </w:pPr>
            <w:r/>
            <w:r>
              <w:rPr>
                <w:b w:val="0"/>
                <w:i w:val="0"/>
                <w:sz w:val="15"/>
              </w:rPr>
              <w:t>Section 19-20 Block IV Opaku Survey District and Section 15 Block VIII Opaku Survey District</w:t>
            </w:r>
          </w:p>
        </w:tc>
        <w:tc>
          <w:tcPr>
            <w:tcW w:type="dxa" w:w="1361"/>
          </w:tcPr>
          <w:p>
            <w:pPr>
              <w:spacing w:after="0" w:line="240" w:lineRule="auto"/>
              <w:jc w:val="right"/>
            </w:pPr>
            <w:r/>
            <w:r>
              <w:rPr>
                <w:b w:val="0"/>
                <w:i w:val="0"/>
                <w:sz w:val="15"/>
              </w:rPr>
              <w:t>172.1916</w:t>
            </w:r>
          </w:p>
        </w:tc>
      </w:tr>
      <w:tr>
        <w:tc>
          <w:tcPr>
            <w:tcW w:type="dxa" w:w="1474"/>
            <w:shd w:val="clear" w:color="auto" w:fill="FAF9F6"/>
          </w:tcPr>
          <w:p>
            <w:pPr>
              <w:spacing w:after="0" w:line="240" w:lineRule="auto"/>
            </w:pPr>
            <w:r/>
            <w:r>
              <w:rPr>
                <w:b w:val="0"/>
                <w:i w:val="0"/>
                <w:sz w:val="15"/>
              </w:rPr>
              <w:t>Ernies</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TNJ2/714</w:t>
            </w:r>
          </w:p>
        </w:tc>
        <w:tc>
          <w:tcPr>
            <w:tcW w:type="dxa" w:w="4082"/>
            <w:shd w:val="clear" w:color="auto" w:fill="FAF9F6"/>
          </w:tcPr>
          <w:p>
            <w:pPr>
              <w:spacing w:after="0" w:line="240" w:lineRule="auto"/>
            </w:pPr>
            <w:r/>
            <w:r>
              <w:rPr>
                <w:b w:val="0"/>
                <w:i w:val="0"/>
                <w:sz w:val="15"/>
              </w:rPr>
              <w:t>Section 5, Section 12 and Section 14 Block IV Opaku Survey District</w:t>
            </w:r>
          </w:p>
        </w:tc>
        <w:tc>
          <w:tcPr>
            <w:tcW w:type="dxa" w:w="1361"/>
            <w:shd w:val="clear" w:color="auto" w:fill="FAF9F6"/>
          </w:tcPr>
          <w:p>
            <w:pPr>
              <w:spacing w:after="0" w:line="240" w:lineRule="auto"/>
              <w:jc w:val="right"/>
            </w:pPr>
            <w:r/>
            <w:r>
              <w:rPr>
                <w:b w:val="0"/>
                <w:i w:val="0"/>
                <w:sz w:val="15"/>
              </w:rPr>
              <w:t>507.9107</w:t>
            </w:r>
          </w:p>
        </w:tc>
      </w:tr>
      <w:tr>
        <w:tc>
          <w:tcPr>
            <w:tcW w:type="dxa" w:w="1474"/>
          </w:tcPr>
          <w:p>
            <w:pPr>
              <w:spacing w:after="0" w:line="240" w:lineRule="auto"/>
            </w:pPr>
            <w:r/>
            <w:r>
              <w:rPr>
                <w:b w:val="0"/>
                <w:i w:val="0"/>
                <w:sz w:val="15"/>
              </w:rPr>
              <w:t>Karapara</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TN227/30</w:t>
            </w:r>
          </w:p>
        </w:tc>
        <w:tc>
          <w:tcPr>
            <w:tcW w:type="dxa" w:w="4082"/>
          </w:tcPr>
          <w:p>
            <w:pPr>
              <w:spacing w:after="0" w:line="240" w:lineRule="auto"/>
            </w:pPr>
            <w:r/>
            <w:r>
              <w:rPr>
                <w:b w:val="0"/>
                <w:i w:val="0"/>
                <w:sz w:val="15"/>
              </w:rPr>
              <w:t>Section 1 Block I Kapara Survey District</w:t>
            </w:r>
          </w:p>
        </w:tc>
        <w:tc>
          <w:tcPr>
            <w:tcW w:type="dxa" w:w="1361"/>
          </w:tcPr>
          <w:p>
            <w:pPr>
              <w:spacing w:after="0" w:line="240" w:lineRule="auto"/>
              <w:jc w:val="right"/>
            </w:pPr>
            <w:r/>
            <w:r>
              <w:rPr>
                <w:b w:val="0"/>
                <w:i w:val="0"/>
                <w:sz w:val="15"/>
              </w:rPr>
              <w:t>765.3162</w:t>
            </w:r>
          </w:p>
        </w:tc>
      </w:tr>
      <w:tr>
        <w:tc>
          <w:tcPr>
            <w:tcW w:type="dxa" w:w="1474"/>
            <w:shd w:val="clear" w:color="auto" w:fill="FAF9F6"/>
          </w:tcPr>
          <w:p>
            <w:pPr>
              <w:spacing w:after="0" w:line="240" w:lineRule="auto"/>
            </w:pPr>
            <w:r/>
            <w:r>
              <w:rPr>
                <w:b w:val="0"/>
                <w:i w:val="0"/>
                <w:sz w:val="15"/>
              </w:rPr>
              <w:t>Karapara</w:t>
            </w:r>
          </w:p>
        </w:tc>
        <w:tc>
          <w:tcPr>
            <w:tcW w:type="dxa" w:w="1247"/>
            <w:shd w:val="clear" w:color="auto" w:fill="FAF9F6"/>
          </w:tcPr>
          <w:p>
            <w:pPr>
              <w:spacing w:after="0" w:line="240" w:lineRule="auto"/>
            </w:pPr>
            <w:r/>
            <w:r>
              <w:rPr>
                <w:b w:val="0"/>
                <w:i w:val="0"/>
                <w:sz w:val="15"/>
              </w:rPr>
              <w:t>Makowhai Trust</w:t>
            </w:r>
          </w:p>
        </w:tc>
        <w:tc>
          <w:tcPr>
            <w:tcW w:type="dxa" w:w="1474"/>
            <w:shd w:val="clear" w:color="auto" w:fill="FAF9F6"/>
          </w:tcPr>
          <w:p>
            <w:pPr>
              <w:spacing w:after="0" w:line="240" w:lineRule="auto"/>
            </w:pPr>
            <w:r/>
            <w:r>
              <w:rPr>
                <w:b w:val="0"/>
                <w:i w:val="0"/>
                <w:sz w:val="15"/>
              </w:rPr>
              <w:t>TN227/31</w:t>
            </w:r>
          </w:p>
        </w:tc>
        <w:tc>
          <w:tcPr>
            <w:tcW w:type="dxa" w:w="4082"/>
            <w:shd w:val="clear" w:color="auto" w:fill="FAF9F6"/>
          </w:tcPr>
          <w:p>
            <w:pPr>
              <w:spacing w:after="0" w:line="240" w:lineRule="auto"/>
            </w:pPr>
            <w:r/>
            <w:r>
              <w:rPr>
                <w:b w:val="0"/>
                <w:i w:val="0"/>
                <w:sz w:val="15"/>
              </w:rPr>
              <w:t>Section 3 Block I Kapara Survey District</w:t>
            </w:r>
          </w:p>
        </w:tc>
        <w:tc>
          <w:tcPr>
            <w:tcW w:type="dxa" w:w="1361"/>
            <w:shd w:val="clear" w:color="auto" w:fill="FAF9F6"/>
          </w:tcPr>
          <w:p>
            <w:pPr>
              <w:spacing w:after="0" w:line="240" w:lineRule="auto"/>
              <w:jc w:val="right"/>
            </w:pPr>
            <w:r/>
            <w:r>
              <w:rPr>
                <w:b w:val="0"/>
                <w:i w:val="0"/>
                <w:sz w:val="15"/>
              </w:rPr>
              <w:t>546.3256</w:t>
            </w:r>
          </w:p>
        </w:tc>
      </w:tr>
      <w:tr>
        <w:tc>
          <w:tcPr>
            <w:tcW w:type="dxa" w:w="1474"/>
          </w:tcPr>
          <w:p>
            <w:pPr>
              <w:spacing w:after="0" w:line="240" w:lineRule="auto"/>
            </w:pPr>
            <w:r/>
            <w:r>
              <w:rPr>
                <w:b w:val="0"/>
                <w:i w:val="0"/>
                <w:sz w:val="15"/>
              </w:rPr>
              <w:t>Karapara</w:t>
            </w:r>
          </w:p>
        </w:tc>
        <w:tc>
          <w:tcPr>
            <w:tcW w:type="dxa" w:w="1247"/>
          </w:tcPr>
          <w:p>
            <w:pPr>
              <w:spacing w:after="0" w:line="240" w:lineRule="auto"/>
            </w:pPr>
            <w:r/>
            <w:r>
              <w:rPr>
                <w:b w:val="0"/>
                <w:i w:val="0"/>
                <w:sz w:val="15"/>
              </w:rPr>
              <w:t>Makowhai Trust</w:t>
            </w:r>
          </w:p>
        </w:tc>
        <w:tc>
          <w:tcPr>
            <w:tcW w:type="dxa" w:w="1474"/>
          </w:tcPr>
          <w:p>
            <w:pPr>
              <w:spacing w:after="0" w:line="240" w:lineRule="auto"/>
            </w:pPr>
            <w:r/>
            <w:r>
              <w:rPr>
                <w:b w:val="0"/>
                <w:i w:val="0"/>
                <w:sz w:val="15"/>
              </w:rPr>
              <w:t>TN227/32</w:t>
            </w:r>
          </w:p>
        </w:tc>
        <w:tc>
          <w:tcPr>
            <w:tcW w:type="dxa" w:w="4082"/>
          </w:tcPr>
          <w:p>
            <w:pPr>
              <w:spacing w:after="0" w:line="240" w:lineRule="auto"/>
            </w:pPr>
            <w:r/>
            <w:r>
              <w:rPr>
                <w:b w:val="0"/>
                <w:i w:val="0"/>
                <w:sz w:val="15"/>
              </w:rPr>
              <w:t>Section 4A Block I Kapara Survey District</w:t>
            </w:r>
          </w:p>
        </w:tc>
        <w:tc>
          <w:tcPr>
            <w:tcW w:type="dxa" w:w="1361"/>
          </w:tcPr>
          <w:p>
            <w:pPr>
              <w:spacing w:after="0" w:line="240" w:lineRule="auto"/>
              <w:jc w:val="right"/>
            </w:pPr>
            <w:r/>
            <w:r>
              <w:rPr>
                <w:b w:val="0"/>
                <w:i w:val="0"/>
                <w:sz w:val="15"/>
              </w:rPr>
              <w:t>6.0703</w:t>
            </w:r>
          </w:p>
        </w:tc>
      </w:tr>
      <w:tr>
        <w:tc>
          <w:tcPr>
            <w:tcW w:type="dxa" w:w="1474"/>
            <w:shd w:val="clear" w:color="auto" w:fill="FAF9F6"/>
          </w:tcPr>
          <w:p>
            <w:pPr>
              <w:spacing w:after="0" w:line="240" w:lineRule="auto"/>
            </w:pPr>
            <w:r/>
            <w:r>
              <w:rPr>
                <w:b w:val="0"/>
                <w:i w:val="0"/>
                <w:sz w:val="15"/>
              </w:rPr>
              <w:t>Workers House</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TNE3/610</w:t>
            </w:r>
          </w:p>
        </w:tc>
        <w:tc>
          <w:tcPr>
            <w:tcW w:type="dxa" w:w="4082"/>
            <w:shd w:val="clear" w:color="auto" w:fill="FAF9F6"/>
          </w:tcPr>
          <w:p>
            <w:pPr>
              <w:spacing w:after="0" w:line="240" w:lineRule="auto"/>
            </w:pPr>
            <w:r/>
            <w:r>
              <w:rPr>
                <w:b w:val="0"/>
                <w:i w:val="0"/>
                <w:sz w:val="15"/>
              </w:rPr>
              <w:t>Section 26 Block VI Kapara Survey District</w:t>
            </w:r>
          </w:p>
        </w:tc>
        <w:tc>
          <w:tcPr>
            <w:tcW w:type="dxa" w:w="1361"/>
            <w:shd w:val="clear" w:color="auto" w:fill="FAF9F6"/>
          </w:tcPr>
          <w:p>
            <w:pPr>
              <w:spacing w:after="0" w:line="240" w:lineRule="auto"/>
              <w:jc w:val="right"/>
            </w:pPr>
            <w:r/>
            <w:r>
              <w:rPr>
                <w:b w:val="0"/>
                <w:i w:val="0"/>
                <w:sz w:val="15"/>
              </w:rPr>
              <w:t>0.6121</w:t>
            </w:r>
          </w:p>
        </w:tc>
      </w:tr>
      <w:tr>
        <w:tc>
          <w:tcPr>
            <w:tcW w:type="dxa" w:w="1474"/>
          </w:tcPr>
          <w:p>
            <w:pPr>
              <w:spacing w:after="0" w:line="240" w:lineRule="auto"/>
            </w:pPr>
            <w:r/>
            <w:r>
              <w:rPr>
                <w:b w:val="0"/>
                <w:i w:val="0"/>
                <w:sz w:val="15"/>
              </w:rPr>
              <w:t>Workers House</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TNE3/611</w:t>
            </w:r>
          </w:p>
        </w:tc>
        <w:tc>
          <w:tcPr>
            <w:tcW w:type="dxa" w:w="4082"/>
          </w:tcPr>
          <w:p>
            <w:pPr>
              <w:spacing w:after="0" w:line="240" w:lineRule="auto"/>
            </w:pPr>
            <w:r/>
            <w:r>
              <w:rPr>
                <w:b w:val="0"/>
                <w:i w:val="0"/>
                <w:sz w:val="15"/>
              </w:rPr>
              <w:t>Section 21 Block VI Kapara Survey District</w:t>
            </w:r>
          </w:p>
        </w:tc>
        <w:tc>
          <w:tcPr>
            <w:tcW w:type="dxa" w:w="1361"/>
          </w:tcPr>
          <w:p>
            <w:pPr>
              <w:spacing w:after="0" w:line="240" w:lineRule="auto"/>
              <w:jc w:val="right"/>
            </w:pPr>
            <w:r/>
            <w:r>
              <w:rPr>
                <w:b w:val="0"/>
                <w:i w:val="0"/>
                <w:sz w:val="15"/>
              </w:rPr>
              <w:t>1.1002</w:t>
            </w:r>
          </w:p>
        </w:tc>
      </w:tr>
      <w:tr>
        <w:tc>
          <w:tcPr>
            <w:tcW w:type="dxa" w:w="1474"/>
            <w:shd w:val="clear" w:color="auto" w:fill="FAF9F6"/>
          </w:tcPr>
          <w:p>
            <w:pPr>
              <w:spacing w:after="0" w:line="240" w:lineRule="auto"/>
            </w:pPr>
            <w:r/>
            <w:r>
              <w:rPr>
                <w:b w:val="0"/>
                <w:i w:val="0"/>
                <w:sz w:val="15"/>
              </w:rPr>
              <w:t>Patricks House</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690021</w:t>
            </w:r>
          </w:p>
        </w:tc>
        <w:tc>
          <w:tcPr>
            <w:tcW w:type="dxa" w:w="4082"/>
            <w:shd w:val="clear" w:color="auto" w:fill="FAF9F6"/>
          </w:tcPr>
          <w:p>
            <w:pPr>
              <w:spacing w:after="0" w:line="240" w:lineRule="auto"/>
            </w:pPr>
            <w:r/>
            <w:r>
              <w:rPr>
                <w:b w:val="0"/>
                <w:i w:val="0"/>
                <w:sz w:val="15"/>
              </w:rPr>
              <w:t>Lot 1 Deposited Plan 484884 and Lot 4 Deposited Plan 85385</w:t>
            </w:r>
          </w:p>
        </w:tc>
        <w:tc>
          <w:tcPr>
            <w:tcW w:type="dxa" w:w="1361"/>
            <w:shd w:val="clear" w:color="auto" w:fill="FAF9F6"/>
          </w:tcPr>
          <w:p>
            <w:pPr>
              <w:spacing w:after="0" w:line="240" w:lineRule="auto"/>
              <w:jc w:val="right"/>
            </w:pPr>
            <w:r/>
            <w:r>
              <w:rPr>
                <w:b w:val="0"/>
                <w:i w:val="0"/>
                <w:sz w:val="15"/>
              </w:rPr>
              <w:t>27.2445</w:t>
            </w:r>
          </w:p>
        </w:tc>
      </w:tr>
      <w:tr>
        <w:tc>
          <w:tcPr>
            <w:tcW w:type="dxa" w:w="1474"/>
          </w:tcPr>
          <w:p>
            <w:pPr>
              <w:spacing w:after="0" w:line="240" w:lineRule="auto"/>
            </w:pPr>
            <w:r/>
            <w:r>
              <w:rPr>
                <w:b w:val="0"/>
                <w:i w:val="0"/>
                <w:sz w:val="15"/>
              </w:rPr>
              <w:t>Patricks House</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WN53B/169</w:t>
            </w:r>
          </w:p>
        </w:tc>
        <w:tc>
          <w:tcPr>
            <w:tcW w:type="dxa" w:w="4082"/>
          </w:tcPr>
          <w:p>
            <w:pPr>
              <w:spacing w:after="0" w:line="240" w:lineRule="auto"/>
            </w:pPr>
            <w:r/>
            <w:r>
              <w:rPr>
                <w:b w:val="0"/>
                <w:i w:val="0"/>
                <w:sz w:val="15"/>
              </w:rPr>
              <w:t>Lot 1 Deposited Plan 85385</w:t>
            </w:r>
          </w:p>
        </w:tc>
        <w:tc>
          <w:tcPr>
            <w:tcW w:type="dxa" w:w="1361"/>
          </w:tcPr>
          <w:p>
            <w:pPr>
              <w:spacing w:after="0" w:line="240" w:lineRule="auto"/>
              <w:jc w:val="right"/>
            </w:pPr>
            <w:r/>
            <w:r>
              <w:rPr>
                <w:b w:val="0"/>
                <w:i w:val="0"/>
                <w:sz w:val="15"/>
              </w:rPr>
              <w:t>0.2079</w:t>
            </w:r>
          </w:p>
        </w:tc>
      </w:tr>
      <w:tr>
        <w:tc>
          <w:tcPr>
            <w:tcW w:type="dxa" w:w="1474"/>
            <w:shd w:val="clear" w:color="auto" w:fill="FAF9F6"/>
          </w:tcPr>
          <w:p>
            <w:pPr>
              <w:spacing w:after="0" w:line="240" w:lineRule="auto"/>
            </w:pPr>
            <w:r/>
            <w:r>
              <w:rPr>
                <w:b w:val="0"/>
                <w:i w:val="0"/>
                <w:sz w:val="15"/>
              </w:rPr>
              <w:t>Patricks House</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WN53B/170</w:t>
            </w:r>
          </w:p>
        </w:tc>
        <w:tc>
          <w:tcPr>
            <w:tcW w:type="dxa" w:w="4082"/>
            <w:shd w:val="clear" w:color="auto" w:fill="FAF9F6"/>
          </w:tcPr>
          <w:p>
            <w:pPr>
              <w:spacing w:after="0" w:line="240" w:lineRule="auto"/>
            </w:pPr>
            <w:r/>
            <w:r>
              <w:rPr>
                <w:b w:val="0"/>
                <w:i w:val="0"/>
                <w:sz w:val="15"/>
              </w:rPr>
              <w:t>Lot 2 Deposited Plan 85385</w:t>
            </w:r>
          </w:p>
        </w:tc>
        <w:tc>
          <w:tcPr>
            <w:tcW w:type="dxa" w:w="1361"/>
            <w:shd w:val="clear" w:color="auto" w:fill="FAF9F6"/>
          </w:tcPr>
          <w:p>
            <w:pPr>
              <w:spacing w:after="0" w:line="240" w:lineRule="auto"/>
              <w:jc w:val="right"/>
            </w:pPr>
            <w:r/>
            <w:r>
              <w:rPr>
                <w:b w:val="0"/>
                <w:i w:val="0"/>
                <w:sz w:val="15"/>
              </w:rPr>
              <w:t>0.2083</w:t>
            </w:r>
          </w:p>
        </w:tc>
      </w:tr>
      <w:tr>
        <w:tc>
          <w:tcPr>
            <w:tcW w:type="dxa" w:w="1474"/>
          </w:tcPr>
          <w:p>
            <w:pPr>
              <w:spacing w:after="0" w:line="240" w:lineRule="auto"/>
            </w:pPr>
            <w:r/>
            <w:r>
              <w:rPr>
                <w:b w:val="0"/>
                <w:i w:val="0"/>
                <w:sz w:val="15"/>
              </w:rPr>
              <w:t>Puau Road</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948076 (Crown lease)</w:t>
            </w:r>
          </w:p>
        </w:tc>
        <w:tc>
          <w:tcPr>
            <w:tcW w:type="dxa" w:w="4082"/>
          </w:tcPr>
          <w:p>
            <w:pPr>
              <w:spacing w:after="0" w:line="240" w:lineRule="auto"/>
            </w:pPr>
            <w:r/>
            <w:r>
              <w:rPr>
                <w:b w:val="0"/>
                <w:i w:val="0"/>
                <w:sz w:val="15"/>
              </w:rPr>
              <w:t>Section 1B Block I Nukumaru Survey District</w:t>
            </w:r>
          </w:p>
        </w:tc>
        <w:tc>
          <w:tcPr>
            <w:tcW w:type="dxa" w:w="1361"/>
          </w:tcPr>
          <w:p>
            <w:pPr>
              <w:spacing w:after="0" w:line="240" w:lineRule="auto"/>
              <w:jc w:val="right"/>
            </w:pPr>
            <w:r/>
            <w:r>
              <w:rPr>
                <w:b w:val="0"/>
                <w:i w:val="0"/>
                <w:sz w:val="15"/>
              </w:rPr>
              <w:t>720.3404</w:t>
            </w:r>
          </w:p>
        </w:tc>
      </w:tr>
      <w:tr>
        <w:tc>
          <w:tcPr>
            <w:tcW w:type="dxa" w:w="1474"/>
            <w:shd w:val="clear" w:color="auto" w:fill="FAF9F6"/>
          </w:tcPr>
          <w:p>
            <w:pPr>
              <w:spacing w:after="0" w:line="240" w:lineRule="auto"/>
            </w:pPr>
            <w:r/>
            <w:r>
              <w:rPr>
                <w:b w:val="0"/>
                <w:i w:val="0"/>
                <w:sz w:val="15"/>
              </w:rPr>
              <w:t>Puau Road</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948077 (Crown lease)</w:t>
            </w:r>
          </w:p>
        </w:tc>
        <w:tc>
          <w:tcPr>
            <w:tcW w:type="dxa" w:w="4082"/>
            <w:shd w:val="clear" w:color="auto" w:fill="FAF9F6"/>
          </w:tcPr>
          <w:p>
            <w:pPr>
              <w:spacing w:after="0" w:line="240" w:lineRule="auto"/>
            </w:pPr>
            <w:r/>
            <w:r>
              <w:rPr>
                <w:b w:val="0"/>
                <w:i w:val="0"/>
                <w:sz w:val="15"/>
              </w:rPr>
              <w:t>Section 1 Block I Nukumaru Survey District</w:t>
            </w:r>
          </w:p>
        </w:tc>
        <w:tc>
          <w:tcPr>
            <w:tcW w:type="dxa" w:w="1361"/>
            <w:shd w:val="clear" w:color="auto" w:fill="FAF9F6"/>
          </w:tcPr>
          <w:p>
            <w:pPr>
              <w:spacing w:after="0" w:line="240" w:lineRule="auto"/>
              <w:jc w:val="right"/>
            </w:pPr>
            <w:r/>
            <w:r>
              <w:rPr>
                <w:b w:val="0"/>
                <w:i w:val="0"/>
                <w:sz w:val="15"/>
              </w:rPr>
              <w:t>884.2381</w:t>
            </w:r>
          </w:p>
        </w:tc>
      </w:tr>
      <w:tr>
        <w:tc>
          <w:tcPr>
            <w:tcW w:type="dxa" w:w="1474"/>
          </w:tcPr>
          <w:p>
            <w:pPr>
              <w:spacing w:after="0" w:line="240" w:lineRule="auto"/>
            </w:pPr>
            <w:r/>
            <w:r>
              <w:rPr>
                <w:b w:val="0"/>
                <w:i w:val="0"/>
                <w:sz w:val="15"/>
              </w:rPr>
              <w:t>Puau Road</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WN115/77</w:t>
            </w:r>
          </w:p>
        </w:tc>
        <w:tc>
          <w:tcPr>
            <w:tcW w:type="dxa" w:w="4082"/>
          </w:tcPr>
          <w:p>
            <w:pPr>
              <w:spacing w:after="0" w:line="240" w:lineRule="auto"/>
            </w:pPr>
            <w:r/>
            <w:r>
              <w:rPr>
                <w:b w:val="0"/>
                <w:i w:val="0"/>
                <w:sz w:val="15"/>
              </w:rPr>
              <w:t>Section 4 Block I Nukumaru Survey District</w:t>
            </w:r>
          </w:p>
        </w:tc>
        <w:tc>
          <w:tcPr>
            <w:tcW w:type="dxa" w:w="1361"/>
          </w:tcPr>
          <w:p>
            <w:pPr>
              <w:spacing w:after="0" w:line="240" w:lineRule="auto"/>
              <w:jc w:val="right"/>
            </w:pPr>
            <w:r/>
            <w:r>
              <w:rPr>
                <w:b w:val="0"/>
                <w:i w:val="0"/>
                <w:sz w:val="15"/>
              </w:rPr>
              <w:t>259.4035</w:t>
            </w:r>
          </w:p>
        </w:tc>
      </w:tr>
      <w:tr>
        <w:tc>
          <w:tcPr>
            <w:tcW w:type="dxa" w:w="1474"/>
            <w:shd w:val="clear" w:color="auto" w:fill="FAF9F6"/>
          </w:tcPr>
          <w:p>
            <w:pPr>
              <w:spacing w:after="0" w:line="240" w:lineRule="auto"/>
            </w:pPr>
            <w:r/>
            <w:r>
              <w:rPr>
                <w:b w:val="0"/>
                <w:i w:val="0"/>
                <w:sz w:val="15"/>
              </w:rPr>
              <w:t>Puau Road</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WN24A/444</w:t>
            </w:r>
          </w:p>
        </w:tc>
        <w:tc>
          <w:tcPr>
            <w:tcW w:type="dxa" w:w="4082"/>
            <w:shd w:val="clear" w:color="auto" w:fill="FAF9F6"/>
          </w:tcPr>
          <w:p>
            <w:pPr>
              <w:spacing w:after="0" w:line="240" w:lineRule="auto"/>
            </w:pPr>
            <w:r/>
            <w:r>
              <w:rPr>
                <w:b w:val="0"/>
                <w:i w:val="0"/>
                <w:sz w:val="15"/>
              </w:rPr>
              <w:t>Puau 1 Block</w:t>
            </w:r>
          </w:p>
        </w:tc>
        <w:tc>
          <w:tcPr>
            <w:tcW w:type="dxa" w:w="1361"/>
            <w:shd w:val="clear" w:color="auto" w:fill="FAF9F6"/>
          </w:tcPr>
          <w:p>
            <w:pPr>
              <w:spacing w:after="0" w:line="240" w:lineRule="auto"/>
              <w:jc w:val="right"/>
            </w:pPr>
            <w:r/>
            <w:r>
              <w:rPr>
                <w:b w:val="0"/>
                <w:i w:val="0"/>
                <w:sz w:val="15"/>
              </w:rPr>
              <w:t>7.7016</w:t>
            </w:r>
          </w:p>
        </w:tc>
      </w:tr>
      <w:tr>
        <w:tc>
          <w:tcPr>
            <w:tcW w:type="dxa" w:w="1474"/>
          </w:tcPr>
          <w:p>
            <w:pPr>
              <w:spacing w:after="0" w:line="240" w:lineRule="auto"/>
            </w:pPr>
            <w:r/>
            <w:r>
              <w:rPr>
                <w:b w:val="0"/>
                <w:i w:val="0"/>
                <w:sz w:val="15"/>
              </w:rPr>
              <w:t>Moonys</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WN110/44</w:t>
            </w:r>
          </w:p>
        </w:tc>
        <w:tc>
          <w:tcPr>
            <w:tcW w:type="dxa" w:w="4082"/>
          </w:tcPr>
          <w:p>
            <w:pPr>
              <w:spacing w:after="0" w:line="240" w:lineRule="auto"/>
            </w:pPr>
            <w:r/>
            <w:r>
              <w:rPr>
                <w:b w:val="0"/>
                <w:i w:val="0"/>
                <w:sz w:val="15"/>
              </w:rPr>
              <w:t>Section 19 Block V Omahine Survey District</w:t>
            </w:r>
          </w:p>
        </w:tc>
        <w:tc>
          <w:tcPr>
            <w:tcW w:type="dxa" w:w="1361"/>
          </w:tcPr>
          <w:p>
            <w:pPr>
              <w:spacing w:after="0" w:line="240" w:lineRule="auto"/>
              <w:jc w:val="right"/>
            </w:pPr>
            <w:r/>
            <w:r>
              <w:rPr>
                <w:b w:val="0"/>
                <w:i w:val="0"/>
                <w:sz w:val="15"/>
              </w:rPr>
              <w:t>80.9371</w:t>
            </w:r>
          </w:p>
        </w:tc>
      </w:tr>
      <w:tr>
        <w:tc>
          <w:tcPr>
            <w:tcW w:type="dxa" w:w="1474"/>
            <w:shd w:val="clear" w:color="auto" w:fill="FAF9F6"/>
          </w:tcPr>
          <w:p>
            <w:pPr>
              <w:spacing w:after="0" w:line="240" w:lineRule="auto"/>
            </w:pPr>
            <w:r/>
            <w:r>
              <w:rPr>
                <w:b w:val="0"/>
                <w:i w:val="0"/>
                <w:sz w:val="15"/>
              </w:rPr>
              <w:t>Moonys</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WN181/222</w:t>
            </w:r>
          </w:p>
        </w:tc>
        <w:tc>
          <w:tcPr>
            <w:tcW w:type="dxa" w:w="4082"/>
            <w:shd w:val="clear" w:color="auto" w:fill="FAF9F6"/>
          </w:tcPr>
          <w:p>
            <w:pPr>
              <w:spacing w:after="0" w:line="240" w:lineRule="auto"/>
            </w:pPr>
            <w:r/>
            <w:r>
              <w:rPr>
                <w:b w:val="0"/>
                <w:i w:val="0"/>
                <w:sz w:val="15"/>
              </w:rPr>
              <w:t>Section 15 and Part Section 19 Block IV Wairoa Survey District</w:t>
            </w:r>
          </w:p>
        </w:tc>
        <w:tc>
          <w:tcPr>
            <w:tcW w:type="dxa" w:w="1361"/>
            <w:shd w:val="clear" w:color="auto" w:fill="FAF9F6"/>
          </w:tcPr>
          <w:p>
            <w:pPr>
              <w:spacing w:after="0" w:line="240" w:lineRule="auto"/>
              <w:jc w:val="right"/>
            </w:pPr>
            <w:r/>
            <w:r>
              <w:rPr>
                <w:b w:val="0"/>
                <w:i w:val="0"/>
                <w:sz w:val="15"/>
              </w:rPr>
              <w:t>432.0449</w:t>
            </w:r>
          </w:p>
        </w:tc>
      </w:tr>
      <w:tr>
        <w:tc>
          <w:tcPr>
            <w:tcW w:type="dxa" w:w="1474"/>
          </w:tcPr>
          <w:p>
            <w:pPr>
              <w:spacing w:after="0" w:line="240" w:lineRule="auto"/>
            </w:pPr>
            <w:r/>
            <w:r>
              <w:rPr>
                <w:b w:val="0"/>
                <w:i w:val="0"/>
                <w:sz w:val="15"/>
              </w:rPr>
              <w:t>Moonys</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WN23A/665</w:t>
            </w:r>
          </w:p>
        </w:tc>
        <w:tc>
          <w:tcPr>
            <w:tcW w:type="dxa" w:w="4082"/>
          </w:tcPr>
          <w:p>
            <w:pPr>
              <w:spacing w:after="0" w:line="240" w:lineRule="auto"/>
            </w:pPr>
            <w:r/>
            <w:r>
              <w:rPr>
                <w:b w:val="0"/>
                <w:i w:val="0"/>
                <w:sz w:val="15"/>
              </w:rPr>
              <w:t>Part Section 12 Block V Omahine Survey District</w:t>
            </w:r>
          </w:p>
        </w:tc>
        <w:tc>
          <w:tcPr>
            <w:tcW w:type="dxa" w:w="1361"/>
          </w:tcPr>
          <w:p>
            <w:pPr>
              <w:spacing w:after="0" w:line="240" w:lineRule="auto"/>
              <w:jc w:val="right"/>
            </w:pPr>
            <w:r/>
            <w:r>
              <w:rPr>
                <w:b w:val="0"/>
                <w:i w:val="0"/>
                <w:sz w:val="15"/>
              </w:rPr>
              <w:t>46.4594</w:t>
            </w:r>
          </w:p>
        </w:tc>
      </w:tr>
      <w:tr>
        <w:tc>
          <w:tcPr>
            <w:tcW w:type="dxa" w:w="1474"/>
            <w:shd w:val="clear" w:color="auto" w:fill="FAF9F6"/>
          </w:tcPr>
          <w:p>
            <w:pPr>
              <w:spacing w:after="0" w:line="240" w:lineRule="auto"/>
            </w:pPr>
            <w:r/>
            <w:r>
              <w:rPr>
                <w:b w:val="0"/>
                <w:i w:val="0"/>
                <w:sz w:val="15"/>
              </w:rPr>
              <w:t>Moonys</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WN476/64</w:t>
            </w:r>
          </w:p>
        </w:tc>
        <w:tc>
          <w:tcPr>
            <w:tcW w:type="dxa" w:w="4082"/>
            <w:shd w:val="clear" w:color="auto" w:fill="FAF9F6"/>
          </w:tcPr>
          <w:p>
            <w:pPr>
              <w:spacing w:after="0" w:line="240" w:lineRule="auto"/>
            </w:pPr>
            <w:r/>
            <w:r>
              <w:rPr>
                <w:b w:val="0"/>
                <w:i w:val="0"/>
                <w:sz w:val="15"/>
              </w:rPr>
              <w:t>Section 13 Block V Omahine Survey District</w:t>
            </w:r>
          </w:p>
        </w:tc>
        <w:tc>
          <w:tcPr>
            <w:tcW w:type="dxa" w:w="1361"/>
            <w:shd w:val="clear" w:color="auto" w:fill="FAF9F6"/>
          </w:tcPr>
          <w:p>
            <w:pPr>
              <w:spacing w:after="0" w:line="240" w:lineRule="auto"/>
              <w:jc w:val="right"/>
            </w:pPr>
            <w:r/>
            <w:r>
              <w:rPr>
                <w:b w:val="0"/>
                <w:i w:val="0"/>
                <w:sz w:val="15"/>
              </w:rPr>
              <w:t>84.1746</w:t>
            </w:r>
          </w:p>
        </w:tc>
      </w:tr>
      <w:tr>
        <w:tc>
          <w:tcPr>
            <w:tcW w:type="dxa" w:w="1474"/>
          </w:tcPr>
          <w:p>
            <w:pPr>
              <w:spacing w:after="0" w:line="240" w:lineRule="auto"/>
            </w:pPr>
            <w:r/>
            <w:r>
              <w:rPr>
                <w:b w:val="0"/>
                <w:i w:val="0"/>
                <w:sz w:val="15"/>
              </w:rPr>
              <w:t>Ridge Road</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753569</w:t>
            </w:r>
          </w:p>
        </w:tc>
        <w:tc>
          <w:tcPr>
            <w:tcW w:type="dxa" w:w="4082"/>
          </w:tcPr>
          <w:p>
            <w:pPr>
              <w:spacing w:after="0" w:line="240" w:lineRule="auto"/>
            </w:pPr>
            <w:r/>
            <w:r>
              <w:rPr>
                <w:b w:val="0"/>
                <w:i w:val="0"/>
                <w:sz w:val="15"/>
              </w:rPr>
              <w:t>Lot 2-3 Deposited Plan 500597</w:t>
            </w:r>
          </w:p>
        </w:tc>
        <w:tc>
          <w:tcPr>
            <w:tcW w:type="dxa" w:w="1361"/>
          </w:tcPr>
          <w:p>
            <w:pPr>
              <w:spacing w:after="0" w:line="240" w:lineRule="auto"/>
              <w:jc w:val="right"/>
            </w:pPr>
            <w:r/>
            <w:r>
              <w:rPr>
                <w:b w:val="0"/>
                <w:i w:val="0"/>
                <w:sz w:val="15"/>
              </w:rPr>
              <w:t>89.7128</w:t>
            </w:r>
          </w:p>
        </w:tc>
      </w:tr>
      <w:tr>
        <w:tc>
          <w:tcPr>
            <w:tcW w:type="dxa" w:w="1474"/>
            <w:shd w:val="clear" w:color="auto" w:fill="FAF9F6"/>
          </w:tcPr>
          <w:p>
            <w:pPr>
              <w:spacing w:after="0" w:line="240" w:lineRule="auto"/>
            </w:pPr>
            <w:r/>
            <w:r>
              <w:rPr>
                <w:b w:val="0"/>
                <w:i w:val="0"/>
                <w:sz w:val="15"/>
              </w:rPr>
              <w:t>Ridge Road</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WN526/225</w:t>
            </w:r>
          </w:p>
        </w:tc>
        <w:tc>
          <w:tcPr>
            <w:tcW w:type="dxa" w:w="4082"/>
            <w:shd w:val="clear" w:color="auto" w:fill="FAF9F6"/>
          </w:tcPr>
          <w:p>
            <w:pPr>
              <w:spacing w:after="0" w:line="240" w:lineRule="auto"/>
            </w:pPr>
            <w:r/>
            <w:r>
              <w:rPr>
                <w:b w:val="0"/>
                <w:i w:val="0"/>
                <w:sz w:val="15"/>
              </w:rPr>
              <w:t>Part Section 6 Block IV Wairoa Survey District and Defined On Survey Office Plan 14533</w:t>
            </w:r>
          </w:p>
        </w:tc>
        <w:tc>
          <w:tcPr>
            <w:tcW w:type="dxa" w:w="1361"/>
            <w:shd w:val="clear" w:color="auto" w:fill="FAF9F6"/>
          </w:tcPr>
          <w:p>
            <w:pPr>
              <w:spacing w:after="0" w:line="240" w:lineRule="auto"/>
              <w:jc w:val="right"/>
            </w:pPr>
            <w:r/>
            <w:r>
              <w:rPr>
                <w:b w:val="0"/>
                <w:i w:val="0"/>
                <w:sz w:val="15"/>
              </w:rPr>
              <w:t>6.9201</w:t>
            </w:r>
          </w:p>
        </w:tc>
      </w:tr>
      <w:tr>
        <w:tc>
          <w:tcPr>
            <w:tcW w:type="dxa" w:w="1474"/>
          </w:tcPr>
          <w:p>
            <w:pPr>
              <w:spacing w:after="0" w:line="240" w:lineRule="auto"/>
            </w:pPr>
            <w:r/>
            <w:r>
              <w:rPr>
                <w:b w:val="0"/>
                <w:i w:val="0"/>
                <w:sz w:val="15"/>
              </w:rPr>
              <w:t>Ridge Road</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WN8C/173</w:t>
            </w:r>
          </w:p>
        </w:tc>
        <w:tc>
          <w:tcPr>
            <w:tcW w:type="dxa" w:w="4082"/>
          </w:tcPr>
          <w:p>
            <w:pPr>
              <w:spacing w:after="0" w:line="240" w:lineRule="auto"/>
            </w:pPr>
            <w:r/>
            <w:r>
              <w:rPr>
                <w:b w:val="0"/>
                <w:i w:val="0"/>
                <w:sz w:val="15"/>
              </w:rPr>
              <w:t>Lot 1-2 Deposited Plan 1512</w:t>
            </w:r>
          </w:p>
        </w:tc>
        <w:tc>
          <w:tcPr>
            <w:tcW w:type="dxa" w:w="1361"/>
          </w:tcPr>
          <w:p>
            <w:pPr>
              <w:spacing w:after="0" w:line="240" w:lineRule="auto"/>
              <w:jc w:val="right"/>
            </w:pPr>
            <w:r/>
            <w:r>
              <w:rPr>
                <w:b w:val="0"/>
                <w:i w:val="0"/>
                <w:sz w:val="15"/>
              </w:rPr>
              <w:t>185.9531</w:t>
            </w:r>
          </w:p>
        </w:tc>
      </w:tr>
      <w:tr>
        <w:tc>
          <w:tcPr>
            <w:tcW w:type="dxa" w:w="1474"/>
            <w:shd w:val="clear" w:color="auto" w:fill="FAF9F6"/>
          </w:tcPr>
          <w:p>
            <w:pPr>
              <w:spacing w:after="0" w:line="240" w:lineRule="auto"/>
            </w:pPr>
            <w:r/>
            <w:r>
              <w:rPr>
                <w:b w:val="0"/>
                <w:i w:val="0"/>
                <w:sz w:val="15"/>
              </w:rPr>
              <w:t>Whangamomona</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TNK4/628</w:t>
            </w:r>
          </w:p>
        </w:tc>
        <w:tc>
          <w:tcPr>
            <w:tcW w:type="dxa" w:w="4082"/>
            <w:shd w:val="clear" w:color="auto" w:fill="FAF9F6"/>
          </w:tcPr>
          <w:p>
            <w:pPr>
              <w:spacing w:after="0" w:line="240" w:lineRule="auto"/>
            </w:pPr>
            <w:r/>
            <w:r>
              <w:rPr>
                <w:b w:val="0"/>
                <w:i w:val="0"/>
                <w:sz w:val="15"/>
              </w:rPr>
              <w:t>Lot 1-2 Deposited Plan 19775, Section 1 Survey Office Plan 4558, Section 31 Block IV Town of Whangamomona, Lot 1-2 Deposited Plan 6674, Section 29 Block I Mahoe Survey District, Defined On Survey Office Plan 4792, Section 1-2 Survey Office Plan 13206, Section 1-10 Survey Office Plan 13278, Part Section 1 Survey Office Plan 13279 and Section 1 Survey Office Plan 13296</w:t>
            </w:r>
          </w:p>
        </w:tc>
        <w:tc>
          <w:tcPr>
            <w:tcW w:type="dxa" w:w="1361"/>
            <w:shd w:val="clear" w:color="auto" w:fill="FAF9F6"/>
          </w:tcPr>
          <w:p>
            <w:pPr>
              <w:spacing w:after="0" w:line="240" w:lineRule="auto"/>
              <w:jc w:val="right"/>
            </w:pPr>
            <w:r/>
            <w:r>
              <w:rPr>
                <w:b w:val="0"/>
                <w:i w:val="0"/>
                <w:sz w:val="15"/>
              </w:rPr>
              <w:t>738.9428</w:t>
            </w:r>
          </w:p>
        </w:tc>
      </w:tr>
      <w:tr>
        <w:tc>
          <w:tcPr>
            <w:tcW w:type="dxa" w:w="1474"/>
          </w:tcPr>
          <w:p>
            <w:pPr>
              <w:spacing w:after="0" w:line="240" w:lineRule="auto"/>
            </w:pPr>
            <w:r/>
            <w:r>
              <w:rPr>
                <w:b w:val="0"/>
                <w:i w:val="0"/>
                <w:sz w:val="15"/>
              </w:rPr>
              <w:t>Staghaven</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TNH4/186</w:t>
            </w:r>
          </w:p>
        </w:tc>
        <w:tc>
          <w:tcPr>
            <w:tcW w:type="dxa" w:w="4082"/>
          </w:tcPr>
          <w:p>
            <w:pPr>
              <w:spacing w:after="0" w:line="240" w:lineRule="auto"/>
            </w:pPr>
            <w:r/>
            <w:r>
              <w:rPr>
                <w:b w:val="0"/>
                <w:i w:val="0"/>
                <w:sz w:val="15"/>
              </w:rPr>
              <w:t>Section 2-3 and Section 5 Block III Omoana Survey District</w:t>
            </w:r>
          </w:p>
        </w:tc>
        <w:tc>
          <w:tcPr>
            <w:tcW w:type="dxa" w:w="1361"/>
          </w:tcPr>
          <w:p>
            <w:pPr>
              <w:spacing w:after="0" w:line="240" w:lineRule="auto"/>
              <w:jc w:val="right"/>
            </w:pPr>
            <w:r/>
            <w:r>
              <w:rPr>
                <w:b w:val="0"/>
                <w:i w:val="0"/>
                <w:sz w:val="15"/>
              </w:rPr>
              <w:t>242.8113</w:t>
            </w:r>
          </w:p>
        </w:tc>
      </w:tr>
      <w:tr>
        <w:tc>
          <w:tcPr>
            <w:tcW w:type="dxa" w:w="1474"/>
            <w:shd w:val="clear" w:color="auto" w:fill="FAF9F6"/>
          </w:tcPr>
          <w:p>
            <w:pPr>
              <w:spacing w:after="0" w:line="240" w:lineRule="auto"/>
            </w:pPr>
            <w:r/>
            <w:r>
              <w:rPr>
                <w:b w:val="0"/>
                <w:i w:val="0"/>
                <w:sz w:val="15"/>
              </w:rPr>
              <w:t>Staghaven</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TN118/45</w:t>
            </w:r>
          </w:p>
        </w:tc>
        <w:tc>
          <w:tcPr>
            <w:tcW w:type="dxa" w:w="4082"/>
            <w:shd w:val="clear" w:color="auto" w:fill="FAF9F6"/>
          </w:tcPr>
          <w:p>
            <w:pPr>
              <w:spacing w:after="0" w:line="240" w:lineRule="auto"/>
            </w:pPr>
            <w:r/>
            <w:r>
              <w:rPr>
                <w:b w:val="0"/>
                <w:i w:val="0"/>
                <w:sz w:val="15"/>
              </w:rPr>
              <w:t>Subdivision 1 Section 1 Block III Omona Survey District</w:t>
            </w:r>
          </w:p>
        </w:tc>
        <w:tc>
          <w:tcPr>
            <w:tcW w:type="dxa" w:w="1361"/>
            <w:shd w:val="clear" w:color="auto" w:fill="FAF9F6"/>
          </w:tcPr>
          <w:p>
            <w:pPr>
              <w:spacing w:after="0" w:line="240" w:lineRule="auto"/>
              <w:jc w:val="right"/>
            </w:pPr>
            <w:r/>
            <w:r>
              <w:rPr>
                <w:b w:val="0"/>
                <w:i w:val="0"/>
                <w:sz w:val="15"/>
              </w:rPr>
              <w:t>44.7178</w:t>
            </w:r>
          </w:p>
        </w:tc>
      </w:tr>
      <w:tr>
        <w:tc>
          <w:tcPr>
            <w:tcW w:type="dxa" w:w="1474"/>
          </w:tcPr>
          <w:p>
            <w:pPr>
              <w:spacing w:after="0" w:line="240" w:lineRule="auto"/>
            </w:pPr>
            <w:r/>
            <w:r>
              <w:rPr>
                <w:b w:val="0"/>
                <w:i w:val="0"/>
                <w:sz w:val="15"/>
              </w:rPr>
              <w:t>Staghaven</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TNH4/183</w:t>
            </w:r>
          </w:p>
        </w:tc>
        <w:tc>
          <w:tcPr>
            <w:tcW w:type="dxa" w:w="4082"/>
          </w:tcPr>
          <w:p>
            <w:pPr>
              <w:spacing w:after="0" w:line="240" w:lineRule="auto"/>
            </w:pPr>
            <w:r/>
            <w:r>
              <w:rPr>
                <w:b w:val="0"/>
                <w:i w:val="0"/>
                <w:sz w:val="15"/>
              </w:rPr>
              <w:t>Section 11 Block III Omoana Survey District</w:t>
            </w:r>
          </w:p>
        </w:tc>
        <w:tc>
          <w:tcPr>
            <w:tcW w:type="dxa" w:w="1361"/>
          </w:tcPr>
          <w:p>
            <w:pPr>
              <w:spacing w:after="0" w:line="240" w:lineRule="auto"/>
              <w:jc w:val="right"/>
            </w:pPr>
            <w:r/>
            <w:r>
              <w:rPr>
                <w:b w:val="0"/>
                <w:i w:val="0"/>
                <w:sz w:val="15"/>
              </w:rPr>
              <w:t>8.0229</w:t>
            </w:r>
          </w:p>
        </w:tc>
      </w:tr>
      <w:tr>
        <w:tc>
          <w:tcPr>
            <w:tcW w:type="dxa" w:w="1474"/>
            <w:shd w:val="clear" w:color="auto" w:fill="FAF9F6"/>
          </w:tcPr>
          <w:p>
            <w:pPr>
              <w:spacing w:after="0" w:line="240" w:lineRule="auto"/>
            </w:pPr>
            <w:r/>
            <w:r>
              <w:rPr>
                <w:b w:val="0"/>
                <w:i w:val="0"/>
                <w:sz w:val="15"/>
              </w:rPr>
              <w:t>Tims</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646771</w:t>
            </w:r>
          </w:p>
        </w:tc>
        <w:tc>
          <w:tcPr>
            <w:tcW w:type="dxa" w:w="4082"/>
            <w:shd w:val="clear" w:color="auto" w:fill="FAF9F6"/>
          </w:tcPr>
          <w:p>
            <w:pPr>
              <w:spacing w:after="0" w:line="240" w:lineRule="auto"/>
            </w:pPr>
            <w:r/>
            <w:r>
              <w:rPr>
                <w:b w:val="0"/>
                <w:i w:val="0"/>
                <w:sz w:val="15"/>
              </w:rPr>
              <w:t>Lot 1 Deposited Plan 473178</w:t>
            </w:r>
          </w:p>
        </w:tc>
        <w:tc>
          <w:tcPr>
            <w:tcW w:type="dxa" w:w="1361"/>
            <w:shd w:val="clear" w:color="auto" w:fill="FAF9F6"/>
          </w:tcPr>
          <w:p>
            <w:pPr>
              <w:spacing w:after="0" w:line="240" w:lineRule="auto"/>
              <w:jc w:val="right"/>
            </w:pPr>
            <w:r/>
            <w:r>
              <w:rPr>
                <w:b w:val="0"/>
                <w:i w:val="0"/>
                <w:sz w:val="15"/>
              </w:rPr>
              <w:t>14.3204</w:t>
            </w:r>
          </w:p>
        </w:tc>
      </w:tr>
      <w:tr>
        <w:tc>
          <w:tcPr>
            <w:tcW w:type="dxa" w:w="1474"/>
          </w:tcPr>
          <w:p>
            <w:pPr>
              <w:spacing w:after="0" w:line="240" w:lineRule="auto"/>
            </w:pPr>
            <w:r/>
            <w:r>
              <w:rPr>
                <w:b w:val="0"/>
                <w:i w:val="0"/>
                <w:sz w:val="15"/>
              </w:rPr>
              <w:t>Pakihi</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GS5C/1448</w:t>
            </w:r>
          </w:p>
        </w:tc>
        <w:tc>
          <w:tcPr>
            <w:tcW w:type="dxa" w:w="4082"/>
          </w:tcPr>
          <w:p>
            <w:pPr>
              <w:spacing w:after="0" w:line="240" w:lineRule="auto"/>
            </w:pPr>
            <w:r/>
            <w:r>
              <w:rPr>
                <w:b w:val="0"/>
                <w:i w:val="0"/>
                <w:sz w:val="15"/>
              </w:rPr>
              <w:t>Section 20 and Section 22 Block XIII Waiaua Survey District</w:t>
            </w:r>
          </w:p>
        </w:tc>
        <w:tc>
          <w:tcPr>
            <w:tcW w:type="dxa" w:w="1361"/>
          </w:tcPr>
          <w:p>
            <w:pPr>
              <w:spacing w:after="0" w:line="240" w:lineRule="auto"/>
              <w:jc w:val="right"/>
            </w:pPr>
            <w:r/>
            <w:r>
              <w:rPr>
                <w:b w:val="0"/>
                <w:i w:val="0"/>
                <w:sz w:val="15"/>
              </w:rPr>
              <w:t>57.4906</w:t>
            </w:r>
          </w:p>
        </w:tc>
      </w:tr>
      <w:tr>
        <w:tc>
          <w:tcPr>
            <w:tcW w:type="dxa" w:w="1474"/>
            <w:shd w:val="clear" w:color="auto" w:fill="FAF9F6"/>
          </w:tcPr>
          <w:p>
            <w:pPr>
              <w:spacing w:after="0" w:line="240" w:lineRule="auto"/>
            </w:pPr>
            <w:r/>
            <w:r>
              <w:rPr>
                <w:b w:val="0"/>
                <w:i w:val="0"/>
                <w:sz w:val="15"/>
              </w:rPr>
              <w:t>Pakihi</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GS6C/1378</w:t>
            </w:r>
          </w:p>
        </w:tc>
        <w:tc>
          <w:tcPr>
            <w:tcW w:type="dxa" w:w="4082"/>
            <w:shd w:val="clear" w:color="auto" w:fill="FAF9F6"/>
          </w:tcPr>
          <w:p>
            <w:pPr>
              <w:spacing w:after="0" w:line="240" w:lineRule="auto"/>
            </w:pPr>
            <w:r/>
            <w:r>
              <w:rPr>
                <w:b w:val="0"/>
                <w:i w:val="0"/>
                <w:sz w:val="15"/>
              </w:rPr>
              <w:t>Lot 1 Deposited Plan 8364</w:t>
            </w:r>
          </w:p>
        </w:tc>
        <w:tc>
          <w:tcPr>
            <w:tcW w:type="dxa" w:w="1361"/>
            <w:shd w:val="clear" w:color="auto" w:fill="FAF9F6"/>
          </w:tcPr>
          <w:p>
            <w:pPr>
              <w:spacing w:after="0" w:line="240" w:lineRule="auto"/>
              <w:jc w:val="right"/>
            </w:pPr>
            <w:r/>
            <w:r>
              <w:rPr>
                <w:b w:val="0"/>
                <w:i w:val="0"/>
                <w:sz w:val="15"/>
              </w:rPr>
              <w:t>191.6400</w:t>
            </w:r>
          </w:p>
        </w:tc>
      </w:tr>
      <w:tr>
        <w:tc>
          <w:tcPr>
            <w:tcW w:type="dxa" w:w="1474"/>
          </w:tcPr>
          <w:p>
            <w:pPr>
              <w:spacing w:after="0" w:line="240" w:lineRule="auto"/>
            </w:pPr>
            <w:r/>
            <w:r>
              <w:rPr>
                <w:b w:val="0"/>
                <w:i w:val="0"/>
                <w:sz w:val="15"/>
              </w:rPr>
              <w:t>Pakihi</w:t>
            </w:r>
          </w:p>
        </w:tc>
        <w:tc>
          <w:tcPr>
            <w:tcW w:type="dxa" w:w="1247"/>
          </w:tcPr>
          <w:p>
            <w:pPr>
              <w:spacing w:after="0" w:line="240" w:lineRule="auto"/>
            </w:pPr>
            <w:r/>
            <w:r>
              <w:rPr>
                <w:b w:val="0"/>
                <w:i w:val="0"/>
                <w:sz w:val="15"/>
              </w:rPr>
              <w:t>NFL</w:t>
            </w:r>
          </w:p>
        </w:tc>
        <w:tc>
          <w:tcPr>
            <w:tcW w:type="dxa" w:w="1474"/>
          </w:tcPr>
          <w:p>
            <w:pPr>
              <w:spacing w:after="0" w:line="240" w:lineRule="auto"/>
            </w:pPr>
            <w:r/>
            <w:r>
              <w:rPr>
                <w:b w:val="0"/>
                <w:i w:val="0"/>
                <w:sz w:val="15"/>
              </w:rPr>
              <w:t>GS6C/1379</w:t>
            </w:r>
          </w:p>
        </w:tc>
        <w:tc>
          <w:tcPr>
            <w:tcW w:type="dxa" w:w="4082"/>
          </w:tcPr>
          <w:p>
            <w:pPr>
              <w:spacing w:after="0" w:line="240" w:lineRule="auto"/>
            </w:pPr>
            <w:r/>
            <w:r>
              <w:rPr>
                <w:b w:val="0"/>
                <w:i w:val="0"/>
                <w:sz w:val="15"/>
              </w:rPr>
              <w:t>Lot 2 Deposited Plan 8364</w:t>
            </w:r>
          </w:p>
        </w:tc>
        <w:tc>
          <w:tcPr>
            <w:tcW w:type="dxa" w:w="1361"/>
          </w:tcPr>
          <w:p>
            <w:pPr>
              <w:spacing w:after="0" w:line="240" w:lineRule="auto"/>
              <w:jc w:val="right"/>
            </w:pPr>
            <w:r/>
            <w:r>
              <w:rPr>
                <w:b w:val="0"/>
                <w:i w:val="0"/>
                <w:sz w:val="15"/>
              </w:rPr>
              <w:t>191.6200</w:t>
            </w:r>
          </w:p>
        </w:tc>
      </w:tr>
      <w:tr>
        <w:tc>
          <w:tcPr>
            <w:tcW w:type="dxa" w:w="1474"/>
            <w:shd w:val="clear" w:color="auto" w:fill="FAF9F6"/>
          </w:tcPr>
          <w:p>
            <w:pPr>
              <w:spacing w:after="0" w:line="240" w:lineRule="auto"/>
            </w:pPr>
            <w:r/>
            <w:r>
              <w:rPr>
                <w:b w:val="0"/>
                <w:i w:val="0"/>
                <w:sz w:val="15"/>
              </w:rPr>
              <w:t>Pakihi</w:t>
            </w:r>
          </w:p>
        </w:tc>
        <w:tc>
          <w:tcPr>
            <w:tcW w:type="dxa" w:w="1247"/>
            <w:shd w:val="clear" w:color="auto" w:fill="FAF9F6"/>
          </w:tcPr>
          <w:p>
            <w:pPr>
              <w:spacing w:after="0" w:line="240" w:lineRule="auto"/>
            </w:pPr>
            <w:r/>
            <w:r>
              <w:rPr>
                <w:b w:val="0"/>
                <w:i w:val="0"/>
                <w:sz w:val="15"/>
              </w:rPr>
              <w:t>NFL</w:t>
            </w:r>
          </w:p>
        </w:tc>
        <w:tc>
          <w:tcPr>
            <w:tcW w:type="dxa" w:w="1474"/>
            <w:shd w:val="clear" w:color="auto" w:fill="FAF9F6"/>
          </w:tcPr>
          <w:p>
            <w:pPr>
              <w:spacing w:after="0" w:line="240" w:lineRule="auto"/>
            </w:pPr>
            <w:r/>
            <w:r>
              <w:rPr>
                <w:b w:val="0"/>
                <w:i w:val="0"/>
                <w:sz w:val="15"/>
              </w:rPr>
              <w:t>GS6C/1380</w:t>
            </w:r>
          </w:p>
        </w:tc>
        <w:tc>
          <w:tcPr>
            <w:tcW w:type="dxa" w:w="4082"/>
            <w:shd w:val="clear" w:color="auto" w:fill="FAF9F6"/>
          </w:tcPr>
          <w:p>
            <w:pPr>
              <w:spacing w:after="0" w:line="240" w:lineRule="auto"/>
            </w:pPr>
            <w:r/>
            <w:r>
              <w:rPr>
                <w:b w:val="0"/>
                <w:i w:val="0"/>
                <w:sz w:val="15"/>
              </w:rPr>
              <w:t>Section 23 Block XIII Waiaua Survey District</w:t>
            </w:r>
          </w:p>
        </w:tc>
        <w:tc>
          <w:tcPr>
            <w:tcW w:type="dxa" w:w="1361"/>
            <w:shd w:val="clear" w:color="auto" w:fill="FAF9F6"/>
          </w:tcPr>
          <w:p>
            <w:pPr>
              <w:spacing w:after="0" w:line="240" w:lineRule="auto"/>
              <w:jc w:val="right"/>
            </w:pPr>
            <w:r/>
            <w:r>
              <w:rPr>
                <w:b w:val="0"/>
                <w:i w:val="0"/>
                <w:sz w:val="15"/>
              </w:rPr>
              <w:t>4.8461</w:t>
            </w:r>
          </w:p>
        </w:tc>
      </w:tr>
      <w:tr>
        <w:tc>
          <w:tcPr>
            <w:tcW w:type="dxa" w:w="1474"/>
          </w:tcPr>
          <w:p>
            <w:pPr>
              <w:spacing w:after="0" w:line="240" w:lineRule="auto"/>
            </w:pPr>
            <w:r/>
            <w:r>
              <w:rPr>
                <w:b w:val="0"/>
                <w:i w:val="0"/>
                <w:sz w:val="15"/>
              </w:rPr>
              <w:t>Total</w:t>
            </w:r>
          </w:p>
        </w:tc>
        <w:tc>
          <w:tcPr>
            <w:tcW w:type="dxa" w:w="1247"/>
          </w:tcPr>
          <w:p>
            <w:pPr>
              <w:spacing w:after="0" w:line="240" w:lineRule="auto"/>
            </w:pPr>
            <w:r/>
          </w:p>
        </w:tc>
        <w:tc>
          <w:tcPr>
            <w:tcW w:type="dxa" w:w="1474"/>
          </w:tcPr>
          <w:p>
            <w:pPr>
              <w:spacing w:after="0" w:line="240" w:lineRule="auto"/>
            </w:pPr>
            <w:r/>
            <w:r>
              <w:rPr>
                <w:b w:val="0"/>
                <w:i w:val="0"/>
                <w:sz w:val="15"/>
              </w:rPr>
              <w:t>56 titles</w:t>
            </w:r>
          </w:p>
        </w:tc>
        <w:tc>
          <w:tcPr>
            <w:tcW w:type="dxa" w:w="4082"/>
          </w:tcPr>
          <w:p>
            <w:pPr>
              <w:spacing w:after="0" w:line="240" w:lineRule="auto"/>
            </w:pPr>
            <w:r/>
          </w:p>
        </w:tc>
        <w:tc>
          <w:tcPr>
            <w:tcW w:type="dxa" w:w="1361"/>
          </w:tcPr>
          <w:p>
            <w:pPr>
              <w:spacing w:after="0" w:line="240" w:lineRule="auto"/>
              <w:jc w:val="right"/>
            </w:pPr>
            <w:r/>
            <w:r>
              <w:rPr>
                <w:b w:val="0"/>
                <w:i w:val="0"/>
                <w:sz w:val="15"/>
              </w:rPr>
              <w:t>13,831.9606</w:t>
            </w:r>
          </w:p>
        </w:tc>
      </w:tr>
      <w:tr>
        <w:tc>
          <w:tcPr>
            <w:tcW w:type="dxa" w:w="1474"/>
            <w:shd w:val="clear" w:color="auto" w:fill="FAF9F6"/>
          </w:tcPr>
          <w:p>
            <w:pPr>
              <w:spacing w:after="0" w:line="240" w:lineRule="auto"/>
            </w:pPr>
            <w:r/>
            <w:r>
              <w:rPr>
                <w:b w:val="0"/>
                <w:i w:val="0"/>
                <w:sz w:val="15"/>
              </w:rPr>
              <w:t>Soldiers Road</w:t>
            </w:r>
          </w:p>
        </w:tc>
        <w:tc>
          <w:tcPr>
            <w:tcW w:type="dxa" w:w="1247"/>
            <w:shd w:val="clear" w:color="auto" w:fill="FAF9F6"/>
          </w:tcPr>
          <w:p>
            <w:pPr>
              <w:spacing w:after="0" w:line="240" w:lineRule="auto"/>
            </w:pPr>
            <w:r/>
            <w:r>
              <w:rPr>
                <w:b w:val="0"/>
                <w:i w:val="0"/>
                <w:sz w:val="15"/>
              </w:rPr>
              <w:t>NFL forestry right</w:t>
            </w:r>
          </w:p>
        </w:tc>
        <w:tc>
          <w:tcPr>
            <w:tcW w:type="dxa" w:w="1474"/>
            <w:shd w:val="clear" w:color="auto" w:fill="FAF9F6"/>
          </w:tcPr>
          <w:p>
            <w:pPr>
              <w:spacing w:after="0" w:line="240" w:lineRule="auto"/>
            </w:pPr>
            <w:r/>
            <w:r>
              <w:rPr>
                <w:b w:val="0"/>
                <w:i w:val="0"/>
                <w:sz w:val="15"/>
              </w:rPr>
              <w:t>153235 (Land &amp; Bee's Ltd)</w:t>
            </w:r>
          </w:p>
        </w:tc>
        <w:tc>
          <w:tcPr>
            <w:tcW w:type="dxa" w:w="4082"/>
            <w:shd w:val="clear" w:color="auto" w:fill="FAF9F6"/>
          </w:tcPr>
          <w:p>
            <w:pPr>
              <w:spacing w:after="0" w:line="240" w:lineRule="auto"/>
            </w:pPr>
            <w:r/>
            <w:r>
              <w:rPr>
                <w:b w:val="0"/>
                <w:i w:val="0"/>
                <w:sz w:val="15"/>
              </w:rPr>
              <w:t>Section 5S and Subdivision 2 Section 6S Tawhiwhi Settlement</w:t>
            </w:r>
          </w:p>
        </w:tc>
        <w:tc>
          <w:tcPr>
            <w:tcW w:type="dxa" w:w="1361"/>
            <w:shd w:val="clear" w:color="auto" w:fill="FAF9F6"/>
          </w:tcPr>
          <w:p>
            <w:pPr>
              <w:spacing w:after="0" w:line="240" w:lineRule="auto"/>
              <w:jc w:val="right"/>
            </w:pPr>
            <w:r/>
            <w:r>
              <w:rPr>
                <w:b w:val="0"/>
                <w:i w:val="0"/>
                <w:sz w:val="15"/>
              </w:rPr>
              <w:t>(362.1936)</w:t>
            </w:r>
          </w:p>
        </w:tc>
      </w:tr>
      <w:tr>
        <w:tc>
          <w:tcPr>
            <w:tcW w:type="dxa" w:w="1474"/>
          </w:tcPr>
          <w:p>
            <w:pPr>
              <w:spacing w:after="0" w:line="240" w:lineRule="auto"/>
            </w:pPr>
            <w:r/>
            <w:r>
              <w:rPr>
                <w:b w:val="0"/>
                <w:i w:val="0"/>
                <w:sz w:val="15"/>
              </w:rPr>
              <w:t>Magons (separate)</w:t>
            </w:r>
          </w:p>
        </w:tc>
        <w:tc>
          <w:tcPr>
            <w:tcW w:type="dxa" w:w="1247"/>
          </w:tcPr>
          <w:p>
            <w:pPr>
              <w:spacing w:after="0" w:line="240" w:lineRule="auto"/>
            </w:pPr>
            <w:r/>
            <w:r>
              <w:rPr>
                <w:b w:val="0"/>
                <w:i w:val="0"/>
                <w:sz w:val="15"/>
              </w:rPr>
              <w:t>FR Waipuna Ltd</w:t>
            </w:r>
          </w:p>
        </w:tc>
        <w:tc>
          <w:tcPr>
            <w:tcW w:type="dxa" w:w="1474"/>
          </w:tcPr>
          <w:p>
            <w:pPr>
              <w:spacing w:after="0" w:line="240" w:lineRule="auto"/>
            </w:pPr>
            <w:r/>
            <w:r>
              <w:rPr>
                <w:b w:val="0"/>
                <w:i w:val="0"/>
                <w:sz w:val="15"/>
              </w:rPr>
              <w:t>TNB1/802</w:t>
            </w:r>
          </w:p>
        </w:tc>
        <w:tc>
          <w:tcPr>
            <w:tcW w:type="dxa" w:w="4082"/>
          </w:tcPr>
          <w:p>
            <w:pPr>
              <w:spacing w:after="0" w:line="240" w:lineRule="auto"/>
            </w:pPr>
            <w:r/>
            <w:r>
              <w:rPr>
                <w:b w:val="0"/>
                <w:i w:val="0"/>
                <w:sz w:val="15"/>
              </w:rPr>
              <w:t>Section 35 Block III Omoana Survey District</w:t>
            </w:r>
          </w:p>
        </w:tc>
        <w:tc>
          <w:tcPr>
            <w:tcW w:type="dxa" w:w="1361"/>
          </w:tcPr>
          <w:p>
            <w:pPr>
              <w:spacing w:after="0" w:line="240" w:lineRule="auto"/>
              <w:jc w:val="right"/>
            </w:pPr>
            <w:r/>
            <w:r>
              <w:rPr>
                <w:b w:val="0"/>
                <w:i w:val="0"/>
                <w:sz w:val="15"/>
              </w:rPr>
              <w:t>1.9905</w:t>
            </w:r>
          </w:p>
        </w:tc>
      </w:tr>
      <w:tr>
        <w:tc>
          <w:tcPr>
            <w:tcW w:type="dxa" w:w="1474"/>
            <w:shd w:val="clear" w:color="auto" w:fill="FAF9F6"/>
          </w:tcPr>
          <w:p>
            <w:pPr>
              <w:spacing w:after="0" w:line="240" w:lineRule="auto"/>
            </w:pPr>
            <w:r/>
            <w:r>
              <w:rPr>
                <w:b w:val="0"/>
                <w:i w:val="0"/>
                <w:sz w:val="15"/>
              </w:rPr>
              <w:t>Magons (separate)</w:t>
            </w:r>
          </w:p>
        </w:tc>
        <w:tc>
          <w:tcPr>
            <w:tcW w:type="dxa" w:w="1247"/>
            <w:shd w:val="clear" w:color="auto" w:fill="FAF9F6"/>
          </w:tcPr>
          <w:p>
            <w:pPr>
              <w:spacing w:after="0" w:line="240" w:lineRule="auto"/>
            </w:pPr>
            <w:r/>
            <w:r>
              <w:rPr>
                <w:b w:val="0"/>
                <w:i w:val="0"/>
                <w:sz w:val="15"/>
              </w:rPr>
              <w:t>FR Waipuna Ltd</w:t>
            </w:r>
          </w:p>
        </w:tc>
        <w:tc>
          <w:tcPr>
            <w:tcW w:type="dxa" w:w="1474"/>
            <w:shd w:val="clear" w:color="auto" w:fill="FAF9F6"/>
          </w:tcPr>
          <w:p>
            <w:pPr>
              <w:spacing w:after="0" w:line="240" w:lineRule="auto"/>
            </w:pPr>
            <w:r/>
            <w:r>
              <w:rPr>
                <w:b w:val="0"/>
                <w:i w:val="0"/>
                <w:sz w:val="15"/>
              </w:rPr>
              <w:t>TNG1/745</w:t>
            </w:r>
          </w:p>
        </w:tc>
        <w:tc>
          <w:tcPr>
            <w:tcW w:type="dxa" w:w="4082"/>
            <w:shd w:val="clear" w:color="auto" w:fill="FAF9F6"/>
          </w:tcPr>
          <w:p>
            <w:pPr>
              <w:spacing w:after="0" w:line="240" w:lineRule="auto"/>
            </w:pPr>
            <w:r/>
            <w:r>
              <w:rPr>
                <w:b w:val="0"/>
                <w:i w:val="0"/>
                <w:sz w:val="15"/>
              </w:rPr>
              <w:t>Sections 21 and 27 Block IV Omoana Survey District</w:t>
            </w:r>
          </w:p>
        </w:tc>
        <w:tc>
          <w:tcPr>
            <w:tcW w:type="dxa" w:w="1361"/>
            <w:shd w:val="clear" w:color="auto" w:fill="FAF9F6"/>
          </w:tcPr>
          <w:p>
            <w:pPr>
              <w:spacing w:after="0" w:line="240" w:lineRule="auto"/>
              <w:jc w:val="right"/>
            </w:pPr>
            <w:r/>
            <w:r>
              <w:rPr>
                <w:b w:val="0"/>
                <w:i w:val="0"/>
                <w:sz w:val="15"/>
              </w:rPr>
              <w:t>87.0074</w:t>
            </w:r>
          </w:p>
        </w:tc>
      </w:tr>
      <w:tr>
        <w:tc>
          <w:tcPr>
            <w:tcW w:type="dxa" w:w="1474"/>
          </w:tcPr>
          <w:p>
            <w:pPr>
              <w:spacing w:after="0" w:line="240" w:lineRule="auto"/>
            </w:pPr>
            <w:r/>
            <w:r>
              <w:rPr>
                <w:b w:val="0"/>
                <w:i w:val="0"/>
                <w:sz w:val="15"/>
              </w:rPr>
              <w:t>Magons (separate)</w:t>
            </w:r>
          </w:p>
        </w:tc>
        <w:tc>
          <w:tcPr>
            <w:tcW w:type="dxa" w:w="1247"/>
          </w:tcPr>
          <w:p>
            <w:pPr>
              <w:spacing w:after="0" w:line="240" w:lineRule="auto"/>
            </w:pPr>
            <w:r/>
            <w:r>
              <w:rPr>
                <w:b w:val="0"/>
                <w:i w:val="0"/>
                <w:sz w:val="15"/>
              </w:rPr>
              <w:t>FR Waipuna Ltd</w:t>
            </w:r>
          </w:p>
        </w:tc>
        <w:tc>
          <w:tcPr>
            <w:tcW w:type="dxa" w:w="1474"/>
          </w:tcPr>
          <w:p>
            <w:pPr>
              <w:spacing w:after="0" w:line="240" w:lineRule="auto"/>
            </w:pPr>
            <w:r/>
            <w:r>
              <w:rPr>
                <w:b w:val="0"/>
                <w:i w:val="0"/>
                <w:sz w:val="15"/>
              </w:rPr>
              <w:t>TNG1/730</w:t>
            </w:r>
          </w:p>
        </w:tc>
        <w:tc>
          <w:tcPr>
            <w:tcW w:type="dxa" w:w="4082"/>
          </w:tcPr>
          <w:p>
            <w:pPr>
              <w:spacing w:after="0" w:line="240" w:lineRule="auto"/>
            </w:pPr>
            <w:r/>
            <w:r>
              <w:rPr>
                <w:b w:val="0"/>
                <w:i w:val="0"/>
                <w:sz w:val="15"/>
              </w:rPr>
              <w:t>Section 20 Block IV Omoana Survey District</w:t>
            </w:r>
          </w:p>
        </w:tc>
        <w:tc>
          <w:tcPr>
            <w:tcW w:type="dxa" w:w="1361"/>
          </w:tcPr>
          <w:p>
            <w:pPr>
              <w:spacing w:after="0" w:line="240" w:lineRule="auto"/>
              <w:jc w:val="right"/>
            </w:pPr>
            <w:r/>
            <w:r>
              <w:rPr>
                <w:b w:val="0"/>
                <w:i w:val="0"/>
                <w:sz w:val="15"/>
              </w:rPr>
              <w:t>80.9371</w:t>
            </w:r>
          </w:p>
        </w:tc>
      </w:tr>
      <w:tr>
        <w:tc>
          <w:tcPr>
            <w:tcW w:type="dxa" w:w="1474"/>
            <w:shd w:val="clear" w:color="auto" w:fill="FAF9F6"/>
          </w:tcPr>
          <w:p>
            <w:pPr>
              <w:spacing w:after="0" w:line="240" w:lineRule="auto"/>
            </w:pPr>
            <w:r/>
            <w:r>
              <w:rPr>
                <w:b w:val="0"/>
                <w:i w:val="0"/>
                <w:sz w:val="15"/>
              </w:rPr>
              <w:t>Magons (separate)</w:t>
            </w:r>
          </w:p>
        </w:tc>
        <w:tc>
          <w:tcPr>
            <w:tcW w:type="dxa" w:w="1247"/>
            <w:shd w:val="clear" w:color="auto" w:fill="FAF9F6"/>
          </w:tcPr>
          <w:p>
            <w:pPr>
              <w:spacing w:after="0" w:line="240" w:lineRule="auto"/>
            </w:pPr>
            <w:r/>
            <w:r>
              <w:rPr>
                <w:b w:val="0"/>
                <w:i w:val="0"/>
                <w:sz w:val="15"/>
              </w:rPr>
              <w:t>FR Waipuna Ltd</w:t>
            </w:r>
          </w:p>
        </w:tc>
        <w:tc>
          <w:tcPr>
            <w:tcW w:type="dxa" w:w="1474"/>
            <w:shd w:val="clear" w:color="auto" w:fill="FAF9F6"/>
          </w:tcPr>
          <w:p>
            <w:pPr>
              <w:spacing w:after="0" w:line="240" w:lineRule="auto"/>
            </w:pPr>
            <w:r/>
            <w:r>
              <w:rPr>
                <w:b w:val="0"/>
                <w:i w:val="0"/>
                <w:sz w:val="15"/>
              </w:rPr>
              <w:t>TNG1/733</w:t>
            </w:r>
          </w:p>
        </w:tc>
        <w:tc>
          <w:tcPr>
            <w:tcW w:type="dxa" w:w="4082"/>
            <w:shd w:val="clear" w:color="auto" w:fill="FAF9F6"/>
          </w:tcPr>
          <w:p>
            <w:pPr>
              <w:spacing w:after="0" w:line="240" w:lineRule="auto"/>
            </w:pPr>
            <w:r/>
            <w:r>
              <w:rPr>
                <w:b w:val="0"/>
                <w:i w:val="0"/>
                <w:sz w:val="15"/>
              </w:rPr>
              <w:t>Section 22 Block IV Omoana Survey District</w:t>
            </w:r>
          </w:p>
        </w:tc>
        <w:tc>
          <w:tcPr>
            <w:tcW w:type="dxa" w:w="1361"/>
            <w:shd w:val="clear" w:color="auto" w:fill="FAF9F6"/>
          </w:tcPr>
          <w:p>
            <w:pPr>
              <w:spacing w:after="0" w:line="240" w:lineRule="auto"/>
              <w:jc w:val="right"/>
            </w:pPr>
            <w:r/>
            <w:r>
              <w:rPr>
                <w:b w:val="0"/>
                <w:i w:val="0"/>
                <w:sz w:val="15"/>
              </w:rPr>
              <w:t>80.9371</w:t>
            </w:r>
          </w:p>
        </w:tc>
      </w:tr>
      <w:tr>
        <w:tc>
          <w:tcPr>
            <w:tcW w:type="dxa" w:w="1474"/>
          </w:tcPr>
          <w:p>
            <w:pPr>
              <w:spacing w:after="0" w:line="240" w:lineRule="auto"/>
            </w:pPr>
            <w:r/>
            <w:r>
              <w:rPr>
                <w:b w:val="0"/>
                <w:i w:val="0"/>
                <w:sz w:val="15"/>
              </w:rPr>
              <w:t>Magons (separate)</w:t>
            </w:r>
          </w:p>
        </w:tc>
        <w:tc>
          <w:tcPr>
            <w:tcW w:type="dxa" w:w="1247"/>
          </w:tcPr>
          <w:p>
            <w:pPr>
              <w:spacing w:after="0" w:line="240" w:lineRule="auto"/>
            </w:pPr>
            <w:r/>
            <w:r>
              <w:rPr>
                <w:b w:val="0"/>
                <w:i w:val="0"/>
                <w:sz w:val="15"/>
              </w:rPr>
              <w:t>FR Waipuna Ltd</w:t>
            </w:r>
          </w:p>
        </w:tc>
        <w:tc>
          <w:tcPr>
            <w:tcW w:type="dxa" w:w="1474"/>
          </w:tcPr>
          <w:p>
            <w:pPr>
              <w:spacing w:after="0" w:line="240" w:lineRule="auto"/>
            </w:pPr>
            <w:r/>
            <w:r>
              <w:rPr>
                <w:b w:val="0"/>
                <w:i w:val="0"/>
                <w:sz w:val="15"/>
              </w:rPr>
              <w:t>TNG1/734</w:t>
            </w:r>
          </w:p>
        </w:tc>
        <w:tc>
          <w:tcPr>
            <w:tcW w:type="dxa" w:w="4082"/>
          </w:tcPr>
          <w:p>
            <w:pPr>
              <w:spacing w:after="0" w:line="240" w:lineRule="auto"/>
            </w:pPr>
            <w:r/>
            <w:r>
              <w:rPr>
                <w:b w:val="0"/>
                <w:i w:val="0"/>
                <w:sz w:val="15"/>
              </w:rPr>
              <w:t>Section 23 Block IV Omoana Survey District</w:t>
            </w:r>
          </w:p>
        </w:tc>
        <w:tc>
          <w:tcPr>
            <w:tcW w:type="dxa" w:w="1361"/>
          </w:tcPr>
          <w:p>
            <w:pPr>
              <w:spacing w:after="0" w:line="240" w:lineRule="auto"/>
              <w:jc w:val="right"/>
            </w:pPr>
            <w:r/>
            <w:r>
              <w:rPr>
                <w:b w:val="0"/>
                <w:i w:val="0"/>
                <w:sz w:val="15"/>
              </w:rPr>
              <w:t>80.9371</w:t>
            </w:r>
          </w:p>
        </w:tc>
      </w:tr>
      <w:tr>
        <w:tc>
          <w:tcPr>
            <w:tcW w:type="dxa" w:w="1474"/>
            <w:shd w:val="clear" w:color="auto" w:fill="FAF9F6"/>
          </w:tcPr>
          <w:p>
            <w:pPr>
              <w:spacing w:after="0" w:line="240" w:lineRule="auto"/>
            </w:pPr>
            <w:r/>
            <w:r>
              <w:rPr>
                <w:b w:val="0"/>
                <w:i w:val="0"/>
                <w:sz w:val="15"/>
              </w:rPr>
              <w:t>Magons (separate)</w:t>
            </w:r>
          </w:p>
        </w:tc>
        <w:tc>
          <w:tcPr>
            <w:tcW w:type="dxa" w:w="1247"/>
            <w:shd w:val="clear" w:color="auto" w:fill="FAF9F6"/>
          </w:tcPr>
          <w:p>
            <w:pPr>
              <w:spacing w:after="0" w:line="240" w:lineRule="auto"/>
            </w:pPr>
            <w:r/>
            <w:r>
              <w:rPr>
                <w:b w:val="0"/>
                <w:i w:val="0"/>
                <w:sz w:val="15"/>
              </w:rPr>
              <w:t>FR Waipuna Ltd</w:t>
            </w:r>
          </w:p>
        </w:tc>
        <w:tc>
          <w:tcPr>
            <w:tcW w:type="dxa" w:w="1474"/>
            <w:shd w:val="clear" w:color="auto" w:fill="FAF9F6"/>
          </w:tcPr>
          <w:p>
            <w:pPr>
              <w:spacing w:after="0" w:line="240" w:lineRule="auto"/>
            </w:pPr>
            <w:r/>
            <w:r>
              <w:rPr>
                <w:b w:val="0"/>
                <w:i w:val="0"/>
                <w:sz w:val="15"/>
              </w:rPr>
              <w:t>TNE3/1365</w:t>
            </w:r>
          </w:p>
        </w:tc>
        <w:tc>
          <w:tcPr>
            <w:tcW w:type="dxa" w:w="4082"/>
            <w:shd w:val="clear" w:color="auto" w:fill="FAF9F6"/>
          </w:tcPr>
          <w:p>
            <w:pPr>
              <w:spacing w:after="0" w:line="240" w:lineRule="auto"/>
            </w:pPr>
            <w:r/>
            <w:r>
              <w:rPr>
                <w:b w:val="0"/>
                <w:i w:val="0"/>
                <w:sz w:val="15"/>
              </w:rPr>
              <w:t>Sections 24–26 Block IV Omoana Survey District</w:t>
            </w:r>
          </w:p>
        </w:tc>
        <w:tc>
          <w:tcPr>
            <w:tcW w:type="dxa" w:w="1361"/>
            <w:shd w:val="clear" w:color="auto" w:fill="FAF9F6"/>
          </w:tcPr>
          <w:p>
            <w:pPr>
              <w:spacing w:after="0" w:line="240" w:lineRule="auto"/>
              <w:jc w:val="right"/>
            </w:pPr>
            <w:r/>
            <w:r>
              <w:rPr>
                <w:b w:val="0"/>
                <w:i w:val="0"/>
                <w:sz w:val="15"/>
              </w:rPr>
              <w:t>283.2799</w:t>
            </w:r>
          </w:p>
        </w:tc>
      </w:tr>
      <w:tr>
        <w:tc>
          <w:tcPr>
            <w:tcW w:type="dxa" w:w="1474"/>
          </w:tcPr>
          <w:p>
            <w:pPr>
              <w:spacing w:after="0" w:line="240" w:lineRule="auto"/>
            </w:pPr>
            <w:r/>
            <w:r>
              <w:rPr>
                <w:b w:val="0"/>
                <w:i w:val="0"/>
                <w:sz w:val="15"/>
              </w:rPr>
              <w:t>Magons (separate)</w:t>
            </w:r>
          </w:p>
        </w:tc>
        <w:tc>
          <w:tcPr>
            <w:tcW w:type="dxa" w:w="1247"/>
          </w:tcPr>
          <w:p>
            <w:pPr>
              <w:spacing w:after="0" w:line="240" w:lineRule="auto"/>
            </w:pPr>
            <w:r/>
            <w:r>
              <w:rPr>
                <w:b w:val="0"/>
                <w:i w:val="0"/>
                <w:sz w:val="15"/>
              </w:rPr>
              <w:t>FR Waipuna Ltd</w:t>
            </w:r>
          </w:p>
        </w:tc>
        <w:tc>
          <w:tcPr>
            <w:tcW w:type="dxa" w:w="1474"/>
          </w:tcPr>
          <w:p>
            <w:pPr>
              <w:spacing w:after="0" w:line="240" w:lineRule="auto"/>
            </w:pPr>
            <w:r/>
            <w:r>
              <w:rPr>
                <w:b w:val="0"/>
                <w:i w:val="0"/>
                <w:sz w:val="15"/>
              </w:rPr>
              <w:t>TNL1/652</w:t>
            </w:r>
          </w:p>
        </w:tc>
        <w:tc>
          <w:tcPr>
            <w:tcW w:type="dxa" w:w="4082"/>
          </w:tcPr>
          <w:p>
            <w:pPr>
              <w:spacing w:after="0" w:line="240" w:lineRule="auto"/>
            </w:pPr>
            <w:r/>
            <w:r>
              <w:rPr>
                <w:b w:val="0"/>
                <w:i w:val="0"/>
                <w:sz w:val="15"/>
              </w:rPr>
              <w:t>Sections 20–21 Block III Omoana Survey District</w:t>
            </w:r>
          </w:p>
        </w:tc>
        <w:tc>
          <w:tcPr>
            <w:tcW w:type="dxa" w:w="1361"/>
          </w:tcPr>
          <w:p>
            <w:pPr>
              <w:spacing w:after="0" w:line="240" w:lineRule="auto"/>
              <w:jc w:val="right"/>
            </w:pPr>
            <w:r/>
            <w:r>
              <w:rPr>
                <w:b w:val="0"/>
                <w:i w:val="0"/>
                <w:sz w:val="15"/>
              </w:rPr>
              <w:t>161.8742</w:t>
            </w:r>
          </w:p>
        </w:tc>
      </w:tr>
      <w:tr>
        <w:tc>
          <w:tcPr>
            <w:tcW w:type="dxa" w:w="1474"/>
            <w:shd w:val="clear" w:color="auto" w:fill="FAF9F6"/>
          </w:tcPr>
          <w:p>
            <w:pPr>
              <w:spacing w:after="0" w:line="240" w:lineRule="auto"/>
            </w:pPr>
            <w:r/>
            <w:r>
              <w:rPr>
                <w:b w:val="0"/>
                <w:i w:val="0"/>
                <w:sz w:val="15"/>
              </w:rPr>
              <w:t>Staghaven homestead (separate)</w:t>
            </w:r>
          </w:p>
        </w:tc>
        <w:tc>
          <w:tcPr>
            <w:tcW w:type="dxa" w:w="1247"/>
            <w:shd w:val="clear" w:color="auto" w:fill="FAF9F6"/>
          </w:tcPr>
          <w:p>
            <w:pPr>
              <w:spacing w:after="0" w:line="240" w:lineRule="auto"/>
            </w:pPr>
            <w:r/>
            <w:r>
              <w:rPr>
                <w:b w:val="0"/>
                <w:i w:val="0"/>
                <w:sz w:val="15"/>
              </w:rPr>
              <w:t>FR Waipuna Ltd</w:t>
            </w:r>
          </w:p>
        </w:tc>
        <w:tc>
          <w:tcPr>
            <w:tcW w:type="dxa" w:w="1474"/>
            <w:shd w:val="clear" w:color="auto" w:fill="FAF9F6"/>
          </w:tcPr>
          <w:p>
            <w:pPr>
              <w:spacing w:after="0" w:line="240" w:lineRule="auto"/>
            </w:pPr>
            <w:r/>
            <w:r>
              <w:rPr>
                <w:b w:val="0"/>
                <w:i w:val="0"/>
                <w:sz w:val="15"/>
              </w:rPr>
              <w:t>TNH4/170</w:t>
            </w:r>
          </w:p>
        </w:tc>
        <w:tc>
          <w:tcPr>
            <w:tcW w:type="dxa" w:w="4082"/>
            <w:shd w:val="clear" w:color="auto" w:fill="FAF9F6"/>
          </w:tcPr>
          <w:p>
            <w:pPr>
              <w:spacing w:after="0" w:line="240" w:lineRule="auto"/>
            </w:pPr>
            <w:r/>
            <w:r>
              <w:rPr>
                <w:b w:val="0"/>
                <w:i w:val="0"/>
                <w:sz w:val="15"/>
              </w:rPr>
              <w:t>Section 1 Survey Office Plan 13102</w:t>
            </w:r>
          </w:p>
        </w:tc>
        <w:tc>
          <w:tcPr>
            <w:tcW w:type="dxa" w:w="1361"/>
            <w:shd w:val="clear" w:color="auto" w:fill="FAF9F6"/>
          </w:tcPr>
          <w:p>
            <w:pPr>
              <w:spacing w:after="0" w:line="240" w:lineRule="auto"/>
              <w:jc w:val="right"/>
            </w:pPr>
            <w:r/>
            <w:r>
              <w:rPr>
                <w:b w:val="0"/>
                <w:i w:val="0"/>
                <w:sz w:val="15"/>
              </w:rPr>
              <w:t>156.2373</w:t>
            </w:r>
          </w:p>
        </w:tc>
      </w:tr>
    </w:tbl>
    <w:p>
      <w:pPr>
        <w:spacing w:after="40"/>
      </w:pPr>
    </w:p>
    <w:p>
      <w:pPr>
        <w:pStyle w:val="Heading1"/>
      </w:pPr>
      <w:r>
        <w:t>Appendix B  Items to confirm before release</w:t>
      </w:r>
    </w:p>
    <w:p>
      <w:pPr>
        <w:pStyle w:val="ListBullet"/>
        <w:spacing w:after="40"/>
      </w:pPr>
      <w:r>
        <w:rPr>
          <w:b w:val="0"/>
          <w:i w:val="0"/>
        </w:rPr>
        <w:t>Stand records from the forest manager (Stand): species, planting year and net stocked area by stand for every planted block, replacing the ETS-derived planting years; completion certificates and survival plots for the 2026 replant and blanking; the independent third-party review.</w:t>
      </w:r>
    </w:p>
    <w:p>
      <w:pPr>
        <w:pStyle w:val="ListBullet"/>
        <w:spacing w:after="40"/>
      </w:pPr>
      <w:r>
        <w:rPr>
          <w:b w:val="0"/>
          <w:i w:val="0"/>
        </w:rPr>
        <w:t>NZU holding account balances for NFL and Makowhai Station, NZGT trustee documentation, and the agreed wording on the forward sale of units to the financier.</w:t>
      </w:r>
    </w:p>
    <w:p>
      <w:pPr>
        <w:pStyle w:val="ListBullet"/>
        <w:spacing w:after="40"/>
      </w:pPr>
      <w:r>
        <w:rPr>
          <w:b w:val="0"/>
          <w:i w:val="0"/>
        </w:rPr>
        <w:t>Status of the 2018–19 forestry rights to the Longreach, Angiwhai, Makowhai, Staghaven and Whanga Carbon companies, and whether they are surrendered before settlement.</w:t>
      </w:r>
    </w:p>
    <w:p>
      <w:pPr>
        <w:pStyle w:val="ListBullet"/>
        <w:spacing w:after="40"/>
      </w:pPr>
      <w:r>
        <w:rPr>
          <w:b w:val="0"/>
          <w:i w:val="0"/>
        </w:rPr>
        <w:t>Copies of Forestry Rights 12717687.18 and 12717687.19 – term, rent, carbon and harvest provisions; registered CAA area under the Soldiers Road right.</w:t>
      </w:r>
    </w:p>
    <w:p>
      <w:pPr>
        <w:pStyle w:val="ListBullet"/>
        <w:spacing w:after="40"/>
      </w:pPr>
      <w:r>
        <w:rPr>
          <w:b w:val="0"/>
          <w:i w:val="0"/>
        </w:rPr>
        <w:t>Crown lease rent, review and assignment requirements for 948076 and 948077.</w:t>
      </w:r>
    </w:p>
    <w:p>
      <w:pPr>
        <w:pStyle w:val="ListBullet"/>
        <w:spacing w:after="40"/>
      </w:pPr>
      <w:r>
        <w:rPr>
          <w:b w:val="0"/>
          <w:i w:val="0"/>
        </w:rPr>
        <w:t>Rates: confirm the council figures in Appendix C against the current invoices; apportion the combined Waitōtara Valley unit (1241011200) and the Puau Road / Moonys unit (1240020501) if blocks are sold separately; check the rating unit at 395 Taumatatahi Road (assessment 1241011201, 446 ha) that is not in the title schedule; zoning of Section 31 Block IV Town of Whangamomona.</w:t>
      </w:r>
    </w:p>
    <w:p>
      <w:pPr>
        <w:pStyle w:val="ListBullet"/>
        <w:spacing w:after="40"/>
      </w:pPr>
      <w:r>
        <w:rPr>
          <w:b w:val="0"/>
          <w:i w:val="0"/>
        </w:rPr>
        <w:t>FR Waipuna Limited: confirm the basis on which Magons and Staghaven title TNH4/170 are offered alongside the receivership sale, and the wording the owner approves for the IM.</w:t>
      </w:r>
    </w:p>
    <w:p>
      <w:pPr>
        <w:pStyle w:val="ListBullet"/>
        <w:spacing w:after="40"/>
      </w:pPr>
      <w:r>
        <w:rPr>
          <w:b w:val="0"/>
          <w:i w:val="0"/>
        </w:rPr>
        <w:t>Schedule of dwellings and farm buildings by block with construction, condition and occupancy (replacing the LINZ building-outline notes); confirmation that the former owner's residence is outside the sale titles.</w:t>
      </w:r>
    </w:p>
    <w:p>
      <w:pPr>
        <w:pStyle w:val="ListBullet"/>
        <w:spacing w:after="40"/>
      </w:pPr>
      <w:r>
        <w:rPr>
          <w:b w:val="0"/>
          <w:i w:val="0"/>
        </w:rPr>
        <w:t>Honey: historical hive numbers, apiary sites and production by block; any existing apiary agreements.</w:t>
      </w:r>
    </w:p>
    <w:p>
      <w:pPr>
        <w:pStyle w:val="ListBullet"/>
        <w:spacing w:after="40"/>
      </w:pPr>
      <w:r>
        <w:rPr>
          <w:b w:val="0"/>
          <w:i w:val="0"/>
        </w:rPr>
        <w:t>Magons: owner's authority and terms, title searches, stand records, ETS and NZU position, rating details.</w:t>
      </w:r>
    </w:p>
    <w:p>
      <w:pPr>
        <w:pStyle w:val="ListBullet"/>
        <w:spacing w:after="40"/>
      </w:pPr>
      <w:r>
        <w:rPr>
          <w:b w:val="0"/>
          <w:i w:val="0"/>
        </w:rPr>
        <w:t>Legal access and easements; practical access through the Dobson, Larson and Wood Country properties; fencing condition.</w:t>
      </w:r>
    </w:p>
    <w:p>
      <w:pPr>
        <w:pStyle w:val="ListBullet"/>
        <w:spacing w:after="40"/>
      </w:pPr>
      <w:r>
        <w:rPr>
          <w:b w:val="0"/>
          <w:i w:val="0"/>
        </w:rPr>
        <w:t>Climate (NIWA rainfall, sunshine and temperature) for the location pages; Moonys exotic cover; Pakihi land cover on the ground.</w:t>
      </w:r>
    </w:p>
    <w:p>
      <w:pPr>
        <w:pStyle w:val="ListBullet"/>
        <w:spacing w:after="40"/>
      </w:pPr>
      <w:r>
        <w:rPr>
          <w:b w:val="0"/>
          <w:i w:val="0"/>
        </w:rPr>
        <w:t>Marketing position on the Pukekahu Farms lease; EOI closing date and time; data-room link; brand for the layout.</w:t>
      </w:r>
    </w:p>
    <w:p>
      <w:pPr>
        <w:pStyle w:val="Heading1"/>
      </w:pPr>
      <w:r>
        <w:t>Appendix C  Rating valuations and rates</w:t>
      </w:r>
    </w:p>
    <w:p>
      <w:r>
        <w:rPr>
          <w:b w:val="0"/>
          <w:i w:val="0"/>
        </w:rPr>
        <w:t xml:space="preserve">Source: Taranaki Regional Council property-rating layer (South Taranaki and Stratford rating information, data edited 27 July 2026; rates understood to be 2026/27) and the Ōpōtiki District Council property and rating search. South Taranaki values are from the revaluation effective 1 September 2024 and Stratford's from 1 August 2023; improvements values are capital value less land value. </w:t>
      </w:r>
      <w:r>
        <w:rPr>
          <w:b/>
          <w:i w:val="0"/>
          <w:color w:val="B01E1E"/>
        </w:rPr>
        <w:t>[TBC – confirm against the current rates invoices before release.]</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1377"/>
        <w:gridCol w:w="1377"/>
        <w:gridCol w:w="1377"/>
        <w:gridCol w:w="1377"/>
        <w:gridCol w:w="1377"/>
        <w:gridCol w:w="1377"/>
        <w:gridCol w:w="1377"/>
      </w:tblGrid>
      <w:tr>
        <w:tc>
          <w:tcPr>
            <w:tcW w:type="dxa" w:w="2948"/>
            <w:shd w:val="clear" w:color="auto" w:fill="DBD2C3"/>
          </w:tcPr>
          <w:p>
            <w:pPr>
              <w:spacing w:after="0" w:line="240" w:lineRule="auto"/>
            </w:pPr>
            <w:r/>
            <w:r>
              <w:rPr>
                <w:b/>
                <w:i w:val="0"/>
                <w:sz w:val="15"/>
              </w:rPr>
              <w:t>Rating unit</w:t>
            </w:r>
          </w:p>
        </w:tc>
        <w:tc>
          <w:tcPr>
            <w:tcW w:type="dxa" w:w="1701"/>
            <w:shd w:val="clear" w:color="auto" w:fill="DBD2C3"/>
          </w:tcPr>
          <w:p>
            <w:pPr>
              <w:spacing w:after="0" w:line="240" w:lineRule="auto"/>
            </w:pPr>
            <w:r/>
            <w:r>
              <w:rPr>
                <w:b/>
                <w:i w:val="0"/>
                <w:sz w:val="15"/>
              </w:rPr>
              <w:t>Council / assessment</w:t>
            </w:r>
          </w:p>
        </w:tc>
        <w:tc>
          <w:tcPr>
            <w:tcW w:type="dxa" w:w="907"/>
            <w:shd w:val="clear" w:color="auto" w:fill="DBD2C3"/>
          </w:tcPr>
          <w:p>
            <w:pPr>
              <w:spacing w:after="0" w:line="240" w:lineRule="auto"/>
            </w:pPr>
            <w:r/>
            <w:r>
              <w:rPr>
                <w:b/>
                <w:i w:val="0"/>
                <w:sz w:val="15"/>
              </w:rPr>
              <w:t>Area (ha)</w:t>
            </w:r>
          </w:p>
        </w:tc>
        <w:tc>
          <w:tcPr>
            <w:tcW w:type="dxa" w:w="1077"/>
            <w:shd w:val="clear" w:color="auto" w:fill="DBD2C3"/>
          </w:tcPr>
          <w:p>
            <w:pPr>
              <w:spacing w:after="0" w:line="240" w:lineRule="auto"/>
            </w:pPr>
            <w:r/>
            <w:r>
              <w:rPr>
                <w:b/>
                <w:i w:val="0"/>
                <w:sz w:val="15"/>
              </w:rPr>
              <w:t>Land value</w:t>
            </w:r>
          </w:p>
        </w:tc>
        <w:tc>
          <w:tcPr>
            <w:tcW w:type="dxa" w:w="1020"/>
            <w:shd w:val="clear" w:color="auto" w:fill="DBD2C3"/>
          </w:tcPr>
          <w:p>
            <w:pPr>
              <w:spacing w:after="0" w:line="240" w:lineRule="auto"/>
            </w:pPr>
            <w:r/>
            <w:r>
              <w:rPr>
                <w:b/>
                <w:i w:val="0"/>
                <w:sz w:val="15"/>
              </w:rPr>
              <w:t>Improvements</w:t>
            </w:r>
          </w:p>
        </w:tc>
        <w:tc>
          <w:tcPr>
            <w:tcW w:type="dxa" w:w="1077"/>
            <w:shd w:val="clear" w:color="auto" w:fill="DBD2C3"/>
          </w:tcPr>
          <w:p>
            <w:pPr>
              <w:spacing w:after="0" w:line="240" w:lineRule="auto"/>
            </w:pPr>
            <w:r/>
            <w:r>
              <w:rPr>
                <w:b/>
                <w:i w:val="0"/>
                <w:sz w:val="15"/>
              </w:rPr>
              <w:t>Capital value</w:t>
            </w:r>
          </w:p>
        </w:tc>
        <w:tc>
          <w:tcPr>
            <w:tcW w:type="dxa" w:w="907"/>
            <w:shd w:val="clear" w:color="auto" w:fill="DBD2C3"/>
          </w:tcPr>
          <w:p>
            <w:pPr>
              <w:spacing w:after="0" w:line="240" w:lineRule="auto"/>
            </w:pPr>
            <w:r/>
            <w:r>
              <w:rPr>
                <w:b/>
                <w:i w:val="0"/>
                <w:sz w:val="15"/>
              </w:rPr>
              <w:t>Rates p.a.</w:t>
            </w:r>
          </w:p>
        </w:tc>
      </w:tr>
      <w:tr>
        <w:tc>
          <w:tcPr>
            <w:tcW w:type="dxa" w:w="2948"/>
          </w:tcPr>
          <w:p>
            <w:pPr>
              <w:spacing w:after="0" w:line="240" w:lineRule="auto"/>
            </w:pPr>
            <w:r/>
            <w:r>
              <w:rPr>
                <w:b w:val="0"/>
                <w:i w:val="0"/>
                <w:sz w:val="15"/>
              </w:rPr>
              <w:t>Back Farm (part), Front Farm, Eastern Block and Home Block – one rating unit</w:t>
            </w:r>
          </w:p>
        </w:tc>
        <w:tc>
          <w:tcPr>
            <w:tcW w:type="dxa" w:w="1701"/>
          </w:tcPr>
          <w:p>
            <w:pPr>
              <w:spacing w:after="0" w:line="240" w:lineRule="auto"/>
            </w:pPr>
            <w:r/>
            <w:r>
              <w:rPr>
                <w:b w:val="0"/>
                <w:i w:val="0"/>
                <w:sz w:val="15"/>
              </w:rPr>
              <w:t>South Taranaki DC 1241011200 (SUIP B)</w:t>
            </w:r>
          </w:p>
        </w:tc>
        <w:tc>
          <w:tcPr>
            <w:tcW w:type="dxa" w:w="907"/>
          </w:tcPr>
          <w:p>
            <w:pPr>
              <w:spacing w:after="0" w:line="240" w:lineRule="auto"/>
              <w:jc w:val="right"/>
            </w:pPr>
            <w:r/>
            <w:r>
              <w:rPr>
                <w:b w:val="0"/>
                <w:i w:val="0"/>
                <w:sz w:val="15"/>
              </w:rPr>
              <w:t>3,830.27</w:t>
            </w:r>
          </w:p>
        </w:tc>
        <w:tc>
          <w:tcPr>
            <w:tcW w:type="dxa" w:w="1077"/>
          </w:tcPr>
          <w:p>
            <w:pPr>
              <w:spacing w:after="0" w:line="240" w:lineRule="auto"/>
              <w:jc w:val="right"/>
            </w:pPr>
            <w:r/>
            <w:r>
              <w:rPr>
                <w:b w:val="0"/>
                <w:i w:val="0"/>
                <w:sz w:val="15"/>
              </w:rPr>
              <w:t>$14,450,000</w:t>
            </w:r>
          </w:p>
        </w:tc>
        <w:tc>
          <w:tcPr>
            <w:tcW w:type="dxa" w:w="1020"/>
          </w:tcPr>
          <w:p>
            <w:pPr>
              <w:spacing w:after="0" w:line="240" w:lineRule="auto"/>
              <w:jc w:val="right"/>
            </w:pPr>
            <w:r/>
            <w:r>
              <w:rPr>
                <w:b w:val="0"/>
                <w:i w:val="0"/>
                <w:sz w:val="15"/>
              </w:rPr>
              <w:t>$1,190,000</w:t>
            </w:r>
          </w:p>
        </w:tc>
        <w:tc>
          <w:tcPr>
            <w:tcW w:type="dxa" w:w="1077"/>
          </w:tcPr>
          <w:p>
            <w:pPr>
              <w:spacing w:after="0" w:line="240" w:lineRule="auto"/>
              <w:jc w:val="right"/>
            </w:pPr>
            <w:r/>
            <w:r>
              <w:rPr>
                <w:b w:val="0"/>
                <w:i w:val="0"/>
                <w:sz w:val="15"/>
              </w:rPr>
              <w:t>$15,640,000</w:t>
            </w:r>
          </w:p>
        </w:tc>
        <w:tc>
          <w:tcPr>
            <w:tcW w:type="dxa" w:w="907"/>
          </w:tcPr>
          <w:p>
            <w:pPr>
              <w:spacing w:after="0" w:line="240" w:lineRule="auto"/>
              <w:jc w:val="right"/>
            </w:pPr>
            <w:r/>
            <w:r>
              <w:rPr>
                <w:b w:val="0"/>
                <w:i w:val="0"/>
                <w:sz w:val="15"/>
              </w:rPr>
              <w:t>$35,276</w:t>
            </w:r>
          </w:p>
        </w:tc>
      </w:tr>
      <w:tr>
        <w:tc>
          <w:tcPr>
            <w:tcW w:type="dxa" w:w="2948"/>
            <w:shd w:val="clear" w:color="auto" w:fill="FAF9F6"/>
          </w:tcPr>
          <w:p>
            <w:pPr>
              <w:spacing w:after="0" w:line="240" w:lineRule="auto"/>
            </w:pPr>
            <w:r/>
            <w:r>
              <w:rPr>
                <w:b w:val="0"/>
                <w:i w:val="0"/>
                <w:sz w:val="15"/>
              </w:rPr>
              <w:t>Back Farm – Section 8 Block VI Kapara SD (TNH1/1356)</w:t>
            </w:r>
          </w:p>
        </w:tc>
        <w:tc>
          <w:tcPr>
            <w:tcW w:type="dxa" w:w="1701"/>
            <w:shd w:val="clear" w:color="auto" w:fill="FAF9F6"/>
          </w:tcPr>
          <w:p>
            <w:pPr>
              <w:spacing w:after="0" w:line="240" w:lineRule="auto"/>
            </w:pPr>
            <w:r/>
            <w:r>
              <w:rPr>
                <w:b w:val="0"/>
                <w:i w:val="0"/>
                <w:sz w:val="15"/>
              </w:rPr>
              <w:t>South Taranaki DC 1241009600</w:t>
            </w:r>
          </w:p>
        </w:tc>
        <w:tc>
          <w:tcPr>
            <w:tcW w:type="dxa" w:w="907"/>
            <w:shd w:val="clear" w:color="auto" w:fill="FAF9F6"/>
          </w:tcPr>
          <w:p>
            <w:pPr>
              <w:spacing w:after="0" w:line="240" w:lineRule="auto"/>
              <w:jc w:val="right"/>
            </w:pPr>
            <w:r/>
            <w:r>
              <w:rPr>
                <w:b w:val="0"/>
                <w:i w:val="0"/>
                <w:sz w:val="15"/>
              </w:rPr>
              <w:t>354.10</w:t>
            </w:r>
          </w:p>
        </w:tc>
        <w:tc>
          <w:tcPr>
            <w:tcW w:type="dxa" w:w="1077"/>
            <w:shd w:val="clear" w:color="auto" w:fill="FAF9F6"/>
          </w:tcPr>
          <w:p>
            <w:pPr>
              <w:spacing w:after="0" w:line="240" w:lineRule="auto"/>
              <w:jc w:val="right"/>
            </w:pPr>
            <w:r/>
            <w:r>
              <w:rPr>
                <w:b w:val="0"/>
                <w:i w:val="0"/>
                <w:sz w:val="15"/>
              </w:rPr>
              <w:t>$430,000</w:t>
            </w:r>
          </w:p>
        </w:tc>
        <w:tc>
          <w:tcPr>
            <w:tcW w:type="dxa" w:w="1020"/>
            <w:shd w:val="clear" w:color="auto" w:fill="FAF9F6"/>
          </w:tcPr>
          <w:p>
            <w:pPr>
              <w:spacing w:after="0" w:line="240" w:lineRule="auto"/>
              <w:jc w:val="right"/>
            </w:pPr>
            <w:r/>
            <w:r>
              <w:rPr>
                <w:b w:val="0"/>
                <w:i w:val="0"/>
                <w:sz w:val="15"/>
              </w:rPr>
              <w:t>$0</w:t>
            </w:r>
          </w:p>
        </w:tc>
        <w:tc>
          <w:tcPr>
            <w:tcW w:type="dxa" w:w="1077"/>
            <w:shd w:val="clear" w:color="auto" w:fill="FAF9F6"/>
          </w:tcPr>
          <w:p>
            <w:pPr>
              <w:spacing w:after="0" w:line="240" w:lineRule="auto"/>
              <w:jc w:val="right"/>
            </w:pPr>
            <w:r/>
            <w:r>
              <w:rPr>
                <w:b w:val="0"/>
                <w:i w:val="0"/>
                <w:sz w:val="15"/>
              </w:rPr>
              <w:t>$430,000</w:t>
            </w:r>
          </w:p>
        </w:tc>
        <w:tc>
          <w:tcPr>
            <w:tcW w:type="dxa" w:w="907"/>
            <w:shd w:val="clear" w:color="auto" w:fill="FAF9F6"/>
          </w:tcPr>
          <w:p>
            <w:pPr>
              <w:spacing w:after="0" w:line="240" w:lineRule="auto"/>
              <w:jc w:val="right"/>
            </w:pPr>
            <w:r/>
            <w:r>
              <w:rPr>
                <w:b w:val="0"/>
                <w:i w:val="0"/>
                <w:sz w:val="15"/>
              </w:rPr>
              <w:t>$1,882</w:t>
            </w:r>
          </w:p>
        </w:tc>
      </w:tr>
      <w:tr>
        <w:tc>
          <w:tcPr>
            <w:tcW w:type="dxa" w:w="2948"/>
          </w:tcPr>
          <w:p>
            <w:pPr>
              <w:spacing w:after="0" w:line="240" w:lineRule="auto"/>
            </w:pPr>
            <w:r/>
            <w:r>
              <w:rPr>
                <w:b w:val="0"/>
                <w:i w:val="0"/>
                <w:sz w:val="15"/>
              </w:rPr>
              <w:t>Back Farm – Section 6 Block XII Opaku SD (TNE4/125)</w:t>
            </w:r>
          </w:p>
        </w:tc>
        <w:tc>
          <w:tcPr>
            <w:tcW w:type="dxa" w:w="1701"/>
          </w:tcPr>
          <w:p>
            <w:pPr>
              <w:spacing w:after="0" w:line="240" w:lineRule="auto"/>
            </w:pPr>
            <w:r/>
            <w:r>
              <w:rPr>
                <w:b w:val="0"/>
                <w:i w:val="0"/>
                <w:sz w:val="15"/>
              </w:rPr>
              <w:t>South Taranaki DC 1245008700</w:t>
            </w:r>
          </w:p>
        </w:tc>
        <w:tc>
          <w:tcPr>
            <w:tcW w:type="dxa" w:w="907"/>
          </w:tcPr>
          <w:p>
            <w:pPr>
              <w:spacing w:after="0" w:line="240" w:lineRule="auto"/>
              <w:jc w:val="right"/>
            </w:pPr>
            <w:r/>
            <w:r>
              <w:rPr>
                <w:b w:val="0"/>
                <w:i w:val="0"/>
                <w:sz w:val="15"/>
              </w:rPr>
              <w:t>142.45</w:t>
            </w:r>
          </w:p>
        </w:tc>
        <w:tc>
          <w:tcPr>
            <w:tcW w:type="dxa" w:w="1077"/>
          </w:tcPr>
          <w:p>
            <w:pPr>
              <w:spacing w:after="0" w:line="240" w:lineRule="auto"/>
              <w:jc w:val="right"/>
            </w:pPr>
            <w:r/>
            <w:r>
              <w:rPr>
                <w:b w:val="0"/>
                <w:i w:val="0"/>
                <w:sz w:val="15"/>
              </w:rPr>
              <w:t>$138,000</w:t>
            </w:r>
          </w:p>
        </w:tc>
        <w:tc>
          <w:tcPr>
            <w:tcW w:type="dxa" w:w="1020"/>
          </w:tcPr>
          <w:p>
            <w:pPr>
              <w:spacing w:after="0" w:line="240" w:lineRule="auto"/>
              <w:jc w:val="right"/>
            </w:pPr>
            <w:r/>
            <w:r>
              <w:rPr>
                <w:b w:val="0"/>
                <w:i w:val="0"/>
                <w:sz w:val="15"/>
              </w:rPr>
              <w:t>$0</w:t>
            </w:r>
          </w:p>
        </w:tc>
        <w:tc>
          <w:tcPr>
            <w:tcW w:type="dxa" w:w="1077"/>
          </w:tcPr>
          <w:p>
            <w:pPr>
              <w:spacing w:after="0" w:line="240" w:lineRule="auto"/>
              <w:jc w:val="right"/>
            </w:pPr>
            <w:r/>
            <w:r>
              <w:rPr>
                <w:b w:val="0"/>
                <w:i w:val="0"/>
                <w:sz w:val="15"/>
              </w:rPr>
              <w:t>$138,000</w:t>
            </w:r>
          </w:p>
        </w:tc>
        <w:tc>
          <w:tcPr>
            <w:tcW w:type="dxa" w:w="907"/>
          </w:tcPr>
          <w:p>
            <w:pPr>
              <w:spacing w:after="0" w:line="240" w:lineRule="auto"/>
              <w:jc w:val="right"/>
            </w:pPr>
            <w:r/>
            <w:r>
              <w:rPr>
                <w:b w:val="0"/>
                <w:i w:val="0"/>
                <w:sz w:val="15"/>
              </w:rPr>
              <w:t>$1,259</w:t>
            </w:r>
          </w:p>
        </w:tc>
      </w:tr>
      <w:tr>
        <w:tc>
          <w:tcPr>
            <w:tcW w:type="dxa" w:w="2948"/>
            <w:shd w:val="clear" w:color="auto" w:fill="FAF9F6"/>
          </w:tcPr>
          <w:p>
            <w:pPr>
              <w:spacing w:after="0" w:line="240" w:lineRule="auto"/>
            </w:pPr>
            <w:r/>
            <w:r>
              <w:rPr>
                <w:b w:val="0"/>
                <w:i w:val="0"/>
                <w:sz w:val="15"/>
              </w:rPr>
              <w:t>Longreach</w:t>
            </w:r>
          </w:p>
        </w:tc>
        <w:tc>
          <w:tcPr>
            <w:tcW w:type="dxa" w:w="1701"/>
            <w:shd w:val="clear" w:color="auto" w:fill="FAF9F6"/>
          </w:tcPr>
          <w:p>
            <w:pPr>
              <w:spacing w:after="0" w:line="240" w:lineRule="auto"/>
            </w:pPr>
            <w:r/>
            <w:r>
              <w:rPr>
                <w:b w:val="0"/>
                <w:i w:val="0"/>
                <w:sz w:val="15"/>
              </w:rPr>
              <w:t>South Taranaki DC 1241002900</w:t>
            </w:r>
          </w:p>
        </w:tc>
        <w:tc>
          <w:tcPr>
            <w:tcW w:type="dxa" w:w="907"/>
            <w:shd w:val="clear" w:color="auto" w:fill="FAF9F6"/>
          </w:tcPr>
          <w:p>
            <w:pPr>
              <w:spacing w:after="0" w:line="240" w:lineRule="auto"/>
              <w:jc w:val="right"/>
            </w:pPr>
            <w:r/>
            <w:r>
              <w:rPr>
                <w:b w:val="0"/>
                <w:i w:val="0"/>
                <w:sz w:val="15"/>
              </w:rPr>
              <w:t>1,723.14</w:t>
            </w:r>
          </w:p>
        </w:tc>
        <w:tc>
          <w:tcPr>
            <w:tcW w:type="dxa" w:w="1077"/>
            <w:shd w:val="clear" w:color="auto" w:fill="FAF9F6"/>
          </w:tcPr>
          <w:p>
            <w:pPr>
              <w:spacing w:after="0" w:line="240" w:lineRule="auto"/>
              <w:jc w:val="right"/>
            </w:pPr>
            <w:r/>
            <w:r>
              <w:rPr>
                <w:b w:val="0"/>
                <w:i w:val="0"/>
                <w:sz w:val="15"/>
              </w:rPr>
              <w:t>$8,200,000</w:t>
            </w:r>
          </w:p>
        </w:tc>
        <w:tc>
          <w:tcPr>
            <w:tcW w:type="dxa" w:w="1020"/>
            <w:shd w:val="clear" w:color="auto" w:fill="FAF9F6"/>
          </w:tcPr>
          <w:p>
            <w:pPr>
              <w:spacing w:after="0" w:line="240" w:lineRule="auto"/>
              <w:jc w:val="right"/>
            </w:pPr>
            <w:r/>
            <w:r>
              <w:rPr>
                <w:b w:val="0"/>
                <w:i w:val="0"/>
                <w:sz w:val="15"/>
              </w:rPr>
              <w:t>$650,000</w:t>
            </w:r>
          </w:p>
        </w:tc>
        <w:tc>
          <w:tcPr>
            <w:tcW w:type="dxa" w:w="1077"/>
            <w:shd w:val="clear" w:color="auto" w:fill="FAF9F6"/>
          </w:tcPr>
          <w:p>
            <w:pPr>
              <w:spacing w:after="0" w:line="240" w:lineRule="auto"/>
              <w:jc w:val="right"/>
            </w:pPr>
            <w:r/>
            <w:r>
              <w:rPr>
                <w:b w:val="0"/>
                <w:i w:val="0"/>
                <w:sz w:val="15"/>
              </w:rPr>
              <w:t>$8,850,000</w:t>
            </w:r>
          </w:p>
        </w:tc>
        <w:tc>
          <w:tcPr>
            <w:tcW w:type="dxa" w:w="907"/>
            <w:shd w:val="clear" w:color="auto" w:fill="FAF9F6"/>
          </w:tcPr>
          <w:p>
            <w:pPr>
              <w:spacing w:after="0" w:line="240" w:lineRule="auto"/>
              <w:jc w:val="right"/>
            </w:pPr>
            <w:r/>
            <w:r>
              <w:rPr>
                <w:b w:val="0"/>
                <w:i w:val="0"/>
                <w:sz w:val="15"/>
              </w:rPr>
              <w:t>$20,799</w:t>
            </w:r>
          </w:p>
        </w:tc>
      </w:tr>
      <w:tr>
        <w:tc>
          <w:tcPr>
            <w:tcW w:type="dxa" w:w="2948"/>
          </w:tcPr>
          <w:p>
            <w:pPr>
              <w:spacing w:after="0" w:line="240" w:lineRule="auto"/>
            </w:pPr>
            <w:r/>
            <w:r>
              <w:rPr>
                <w:b w:val="0"/>
                <w:i w:val="0"/>
                <w:sz w:val="15"/>
              </w:rPr>
              <w:t>Ernies</w:t>
            </w:r>
          </w:p>
        </w:tc>
        <w:tc>
          <w:tcPr>
            <w:tcW w:type="dxa" w:w="1701"/>
          </w:tcPr>
          <w:p>
            <w:pPr>
              <w:spacing w:after="0" w:line="240" w:lineRule="auto"/>
            </w:pPr>
            <w:r/>
            <w:r>
              <w:rPr>
                <w:b w:val="0"/>
                <w:i w:val="0"/>
                <w:sz w:val="15"/>
              </w:rPr>
              <w:t>South Taranaki DC 1245009700</w:t>
            </w:r>
          </w:p>
        </w:tc>
        <w:tc>
          <w:tcPr>
            <w:tcW w:type="dxa" w:w="907"/>
          </w:tcPr>
          <w:p>
            <w:pPr>
              <w:spacing w:after="0" w:line="240" w:lineRule="auto"/>
              <w:jc w:val="right"/>
            </w:pPr>
            <w:r/>
            <w:r>
              <w:rPr>
                <w:b w:val="0"/>
                <w:i w:val="0"/>
                <w:sz w:val="15"/>
              </w:rPr>
              <w:t>1,626.37</w:t>
            </w:r>
          </w:p>
        </w:tc>
        <w:tc>
          <w:tcPr>
            <w:tcW w:type="dxa" w:w="1077"/>
          </w:tcPr>
          <w:p>
            <w:pPr>
              <w:spacing w:after="0" w:line="240" w:lineRule="auto"/>
              <w:jc w:val="right"/>
            </w:pPr>
            <w:r/>
            <w:r>
              <w:rPr>
                <w:b w:val="0"/>
                <w:i w:val="0"/>
                <w:sz w:val="15"/>
              </w:rPr>
              <w:t>$6,000,000</w:t>
            </w:r>
          </w:p>
        </w:tc>
        <w:tc>
          <w:tcPr>
            <w:tcW w:type="dxa" w:w="1020"/>
          </w:tcPr>
          <w:p>
            <w:pPr>
              <w:spacing w:after="0" w:line="240" w:lineRule="auto"/>
              <w:jc w:val="right"/>
            </w:pPr>
            <w:r/>
            <w:r>
              <w:rPr>
                <w:b w:val="0"/>
                <w:i w:val="0"/>
                <w:sz w:val="15"/>
              </w:rPr>
              <w:t>$75,000</w:t>
            </w:r>
          </w:p>
        </w:tc>
        <w:tc>
          <w:tcPr>
            <w:tcW w:type="dxa" w:w="1077"/>
          </w:tcPr>
          <w:p>
            <w:pPr>
              <w:spacing w:after="0" w:line="240" w:lineRule="auto"/>
              <w:jc w:val="right"/>
            </w:pPr>
            <w:r/>
            <w:r>
              <w:rPr>
                <w:b w:val="0"/>
                <w:i w:val="0"/>
                <w:sz w:val="15"/>
              </w:rPr>
              <w:t>$6,075,000</w:t>
            </w:r>
          </w:p>
        </w:tc>
        <w:tc>
          <w:tcPr>
            <w:tcW w:type="dxa" w:w="907"/>
          </w:tcPr>
          <w:p>
            <w:pPr>
              <w:spacing w:after="0" w:line="240" w:lineRule="auto"/>
              <w:jc w:val="right"/>
            </w:pPr>
            <w:r/>
            <w:r>
              <w:rPr>
                <w:b w:val="0"/>
                <w:i w:val="0"/>
                <w:sz w:val="15"/>
              </w:rPr>
              <w:t>$15,848</w:t>
            </w:r>
          </w:p>
        </w:tc>
      </w:tr>
      <w:tr>
        <w:tc>
          <w:tcPr>
            <w:tcW w:type="dxa" w:w="2948"/>
            <w:shd w:val="clear" w:color="auto" w:fill="FAF9F6"/>
          </w:tcPr>
          <w:p>
            <w:pPr>
              <w:spacing w:after="0" w:line="240" w:lineRule="auto"/>
            </w:pPr>
            <w:r/>
            <w:r>
              <w:rPr>
                <w:b w:val="0"/>
                <w:i w:val="0"/>
                <w:sz w:val="15"/>
              </w:rPr>
              <w:t>Karapara</w:t>
            </w:r>
          </w:p>
        </w:tc>
        <w:tc>
          <w:tcPr>
            <w:tcW w:type="dxa" w:w="1701"/>
            <w:shd w:val="clear" w:color="auto" w:fill="FAF9F6"/>
          </w:tcPr>
          <w:p>
            <w:pPr>
              <w:spacing w:after="0" w:line="240" w:lineRule="auto"/>
            </w:pPr>
            <w:r/>
            <w:r>
              <w:rPr>
                <w:b w:val="0"/>
                <w:i w:val="0"/>
                <w:sz w:val="15"/>
              </w:rPr>
              <w:t>South Taranaki DC 1241007600</w:t>
            </w:r>
          </w:p>
        </w:tc>
        <w:tc>
          <w:tcPr>
            <w:tcW w:type="dxa" w:w="907"/>
            <w:shd w:val="clear" w:color="auto" w:fill="FAF9F6"/>
          </w:tcPr>
          <w:p>
            <w:pPr>
              <w:spacing w:after="0" w:line="240" w:lineRule="auto"/>
              <w:jc w:val="right"/>
            </w:pPr>
            <w:r/>
            <w:r>
              <w:rPr>
                <w:b w:val="0"/>
                <w:i w:val="0"/>
                <w:sz w:val="15"/>
              </w:rPr>
              <w:t>1,317.71</w:t>
            </w:r>
          </w:p>
        </w:tc>
        <w:tc>
          <w:tcPr>
            <w:tcW w:type="dxa" w:w="1077"/>
            <w:shd w:val="clear" w:color="auto" w:fill="FAF9F6"/>
          </w:tcPr>
          <w:p>
            <w:pPr>
              <w:spacing w:after="0" w:line="240" w:lineRule="auto"/>
              <w:jc w:val="right"/>
            </w:pPr>
            <w:r/>
            <w:r>
              <w:rPr>
                <w:b w:val="0"/>
                <w:i w:val="0"/>
                <w:sz w:val="15"/>
              </w:rPr>
              <w:t>$3,300,000</w:t>
            </w:r>
          </w:p>
        </w:tc>
        <w:tc>
          <w:tcPr>
            <w:tcW w:type="dxa" w:w="1020"/>
            <w:shd w:val="clear" w:color="auto" w:fill="FAF9F6"/>
          </w:tcPr>
          <w:p>
            <w:pPr>
              <w:spacing w:after="0" w:line="240" w:lineRule="auto"/>
              <w:jc w:val="right"/>
            </w:pPr>
            <w:r/>
            <w:r>
              <w:rPr>
                <w:b w:val="0"/>
                <w:i w:val="0"/>
                <w:sz w:val="15"/>
              </w:rPr>
              <w:t>$82,000</w:t>
            </w:r>
          </w:p>
        </w:tc>
        <w:tc>
          <w:tcPr>
            <w:tcW w:type="dxa" w:w="1077"/>
            <w:shd w:val="clear" w:color="auto" w:fill="FAF9F6"/>
          </w:tcPr>
          <w:p>
            <w:pPr>
              <w:spacing w:after="0" w:line="240" w:lineRule="auto"/>
              <w:jc w:val="right"/>
            </w:pPr>
            <w:r/>
            <w:r>
              <w:rPr>
                <w:b w:val="0"/>
                <w:i w:val="0"/>
                <w:sz w:val="15"/>
              </w:rPr>
              <w:t>$3,382,000</w:t>
            </w:r>
          </w:p>
        </w:tc>
        <w:tc>
          <w:tcPr>
            <w:tcW w:type="dxa" w:w="907"/>
            <w:shd w:val="clear" w:color="auto" w:fill="FAF9F6"/>
          </w:tcPr>
          <w:p>
            <w:pPr>
              <w:spacing w:after="0" w:line="240" w:lineRule="auto"/>
              <w:jc w:val="right"/>
            </w:pPr>
            <w:r/>
            <w:r>
              <w:rPr>
                <w:b w:val="0"/>
                <w:i w:val="0"/>
                <w:sz w:val="15"/>
              </w:rPr>
              <w:t>$8,176</w:t>
            </w:r>
          </w:p>
        </w:tc>
      </w:tr>
      <w:tr>
        <w:tc>
          <w:tcPr>
            <w:tcW w:type="dxa" w:w="2948"/>
          </w:tcPr>
          <w:p>
            <w:pPr>
              <w:spacing w:after="0" w:line="240" w:lineRule="auto"/>
            </w:pPr>
            <w:r/>
            <w:r>
              <w:rPr>
                <w:b w:val="0"/>
                <w:i w:val="0"/>
                <w:sz w:val="15"/>
              </w:rPr>
              <w:t>Patricks House</w:t>
            </w:r>
          </w:p>
        </w:tc>
        <w:tc>
          <w:tcPr>
            <w:tcW w:type="dxa" w:w="1701"/>
          </w:tcPr>
          <w:p>
            <w:pPr>
              <w:spacing w:after="0" w:line="240" w:lineRule="auto"/>
            </w:pPr>
            <w:r/>
            <w:r>
              <w:rPr>
                <w:b w:val="0"/>
                <w:i w:val="0"/>
                <w:sz w:val="15"/>
              </w:rPr>
              <w:t>South Taranaki DC 1241017301</w:t>
            </w:r>
          </w:p>
        </w:tc>
        <w:tc>
          <w:tcPr>
            <w:tcW w:type="dxa" w:w="907"/>
          </w:tcPr>
          <w:p>
            <w:pPr>
              <w:spacing w:after="0" w:line="240" w:lineRule="auto"/>
              <w:jc w:val="right"/>
            </w:pPr>
            <w:r/>
            <w:r>
              <w:rPr>
                <w:b w:val="0"/>
                <w:i w:val="0"/>
                <w:sz w:val="15"/>
              </w:rPr>
              <w:t>27.66</w:t>
            </w:r>
          </w:p>
        </w:tc>
        <w:tc>
          <w:tcPr>
            <w:tcW w:type="dxa" w:w="1077"/>
          </w:tcPr>
          <w:p>
            <w:pPr>
              <w:spacing w:after="0" w:line="240" w:lineRule="auto"/>
              <w:jc w:val="right"/>
            </w:pPr>
            <w:r/>
            <w:r>
              <w:rPr>
                <w:b w:val="0"/>
                <w:i w:val="0"/>
                <w:sz w:val="15"/>
              </w:rPr>
              <w:t>$275,000</w:t>
            </w:r>
          </w:p>
        </w:tc>
        <w:tc>
          <w:tcPr>
            <w:tcW w:type="dxa" w:w="1020"/>
          </w:tcPr>
          <w:p>
            <w:pPr>
              <w:spacing w:after="0" w:line="240" w:lineRule="auto"/>
              <w:jc w:val="right"/>
            </w:pPr>
            <w:r/>
            <w:r>
              <w:rPr>
                <w:b w:val="0"/>
                <w:i w:val="0"/>
                <w:sz w:val="15"/>
              </w:rPr>
              <w:t>$110,000</w:t>
            </w:r>
          </w:p>
        </w:tc>
        <w:tc>
          <w:tcPr>
            <w:tcW w:type="dxa" w:w="1077"/>
          </w:tcPr>
          <w:p>
            <w:pPr>
              <w:spacing w:after="0" w:line="240" w:lineRule="auto"/>
              <w:jc w:val="right"/>
            </w:pPr>
            <w:r/>
            <w:r>
              <w:rPr>
                <w:b w:val="0"/>
                <w:i w:val="0"/>
                <w:sz w:val="15"/>
              </w:rPr>
              <w:t>$385,000</w:t>
            </w:r>
          </w:p>
        </w:tc>
        <w:tc>
          <w:tcPr>
            <w:tcW w:type="dxa" w:w="907"/>
          </w:tcPr>
          <w:p>
            <w:pPr>
              <w:spacing w:after="0" w:line="240" w:lineRule="auto"/>
              <w:jc w:val="right"/>
            </w:pPr>
            <w:r/>
            <w:r>
              <w:rPr>
                <w:b w:val="0"/>
                <w:i w:val="0"/>
                <w:sz w:val="15"/>
              </w:rPr>
              <w:t>$1,786</w:t>
            </w:r>
          </w:p>
        </w:tc>
      </w:tr>
      <w:tr>
        <w:tc>
          <w:tcPr>
            <w:tcW w:type="dxa" w:w="2948"/>
            <w:shd w:val="clear" w:color="auto" w:fill="FAF9F6"/>
          </w:tcPr>
          <w:p>
            <w:pPr>
              <w:spacing w:after="0" w:line="240" w:lineRule="auto"/>
            </w:pPr>
            <w:r/>
            <w:r>
              <w:rPr>
                <w:b w:val="0"/>
                <w:i w:val="0"/>
                <w:sz w:val="15"/>
              </w:rPr>
              <w:t>Workers House – Section 21 (TNE3/611)</w:t>
            </w:r>
          </w:p>
        </w:tc>
        <w:tc>
          <w:tcPr>
            <w:tcW w:type="dxa" w:w="1701"/>
            <w:shd w:val="clear" w:color="auto" w:fill="FAF9F6"/>
          </w:tcPr>
          <w:p>
            <w:pPr>
              <w:spacing w:after="0" w:line="240" w:lineRule="auto"/>
            </w:pPr>
            <w:r/>
            <w:r>
              <w:rPr>
                <w:b w:val="0"/>
                <w:i w:val="0"/>
                <w:sz w:val="15"/>
              </w:rPr>
              <w:t>South Taranaki DC 1241010500</w:t>
            </w:r>
          </w:p>
        </w:tc>
        <w:tc>
          <w:tcPr>
            <w:tcW w:type="dxa" w:w="907"/>
            <w:shd w:val="clear" w:color="auto" w:fill="FAF9F6"/>
          </w:tcPr>
          <w:p>
            <w:pPr>
              <w:spacing w:after="0" w:line="240" w:lineRule="auto"/>
              <w:jc w:val="right"/>
            </w:pPr>
            <w:r/>
            <w:r>
              <w:rPr>
                <w:b w:val="0"/>
                <w:i w:val="0"/>
                <w:sz w:val="15"/>
              </w:rPr>
              <w:t>1.10</w:t>
            </w:r>
          </w:p>
        </w:tc>
        <w:tc>
          <w:tcPr>
            <w:tcW w:type="dxa" w:w="1077"/>
            <w:shd w:val="clear" w:color="auto" w:fill="FAF9F6"/>
          </w:tcPr>
          <w:p>
            <w:pPr>
              <w:spacing w:after="0" w:line="240" w:lineRule="auto"/>
              <w:jc w:val="right"/>
            </w:pPr>
            <w:r/>
            <w:r>
              <w:rPr>
                <w:b w:val="0"/>
                <w:i w:val="0"/>
                <w:sz w:val="15"/>
              </w:rPr>
              <w:t>$100,000</w:t>
            </w:r>
          </w:p>
        </w:tc>
        <w:tc>
          <w:tcPr>
            <w:tcW w:type="dxa" w:w="1020"/>
            <w:shd w:val="clear" w:color="auto" w:fill="FAF9F6"/>
          </w:tcPr>
          <w:p>
            <w:pPr>
              <w:spacing w:after="0" w:line="240" w:lineRule="auto"/>
              <w:jc w:val="right"/>
            </w:pPr>
            <w:r/>
            <w:r>
              <w:rPr>
                <w:b w:val="0"/>
                <w:i w:val="0"/>
                <w:sz w:val="15"/>
              </w:rPr>
              <w:t>$335,000</w:t>
            </w:r>
          </w:p>
        </w:tc>
        <w:tc>
          <w:tcPr>
            <w:tcW w:type="dxa" w:w="1077"/>
            <w:shd w:val="clear" w:color="auto" w:fill="FAF9F6"/>
          </w:tcPr>
          <w:p>
            <w:pPr>
              <w:spacing w:after="0" w:line="240" w:lineRule="auto"/>
              <w:jc w:val="right"/>
            </w:pPr>
            <w:r/>
            <w:r>
              <w:rPr>
                <w:b w:val="0"/>
                <w:i w:val="0"/>
                <w:sz w:val="15"/>
              </w:rPr>
              <w:t>$435,000</w:t>
            </w:r>
          </w:p>
        </w:tc>
        <w:tc>
          <w:tcPr>
            <w:tcW w:type="dxa" w:w="907"/>
            <w:shd w:val="clear" w:color="auto" w:fill="FAF9F6"/>
          </w:tcPr>
          <w:p>
            <w:pPr>
              <w:spacing w:after="0" w:line="240" w:lineRule="auto"/>
              <w:jc w:val="right"/>
            </w:pPr>
            <w:r/>
            <w:r>
              <w:rPr>
                <w:b w:val="0"/>
                <w:i w:val="0"/>
                <w:sz w:val="15"/>
              </w:rPr>
              <w:t>$1,893</w:t>
            </w:r>
          </w:p>
        </w:tc>
      </w:tr>
      <w:tr>
        <w:tc>
          <w:tcPr>
            <w:tcW w:type="dxa" w:w="2948"/>
          </w:tcPr>
          <w:p>
            <w:pPr>
              <w:spacing w:after="0" w:line="240" w:lineRule="auto"/>
            </w:pPr>
            <w:r/>
            <w:r>
              <w:rPr>
                <w:b w:val="0"/>
                <w:i w:val="0"/>
                <w:sz w:val="15"/>
              </w:rPr>
              <w:t>Workers House – Section 26 (TNE3/610)</w:t>
            </w:r>
          </w:p>
        </w:tc>
        <w:tc>
          <w:tcPr>
            <w:tcW w:type="dxa" w:w="1701"/>
          </w:tcPr>
          <w:p>
            <w:pPr>
              <w:spacing w:after="0" w:line="240" w:lineRule="auto"/>
            </w:pPr>
            <w:r/>
            <w:r>
              <w:rPr>
                <w:b w:val="0"/>
                <w:i w:val="0"/>
                <w:sz w:val="15"/>
              </w:rPr>
              <w:t>South Taranaki DC 1241010501</w:t>
            </w:r>
          </w:p>
        </w:tc>
        <w:tc>
          <w:tcPr>
            <w:tcW w:type="dxa" w:w="907"/>
          </w:tcPr>
          <w:p>
            <w:pPr>
              <w:spacing w:after="0" w:line="240" w:lineRule="auto"/>
              <w:jc w:val="right"/>
            </w:pPr>
            <w:r/>
            <w:r>
              <w:rPr>
                <w:b w:val="0"/>
                <w:i w:val="0"/>
                <w:sz w:val="15"/>
              </w:rPr>
              <w:t>0.61</w:t>
            </w:r>
          </w:p>
        </w:tc>
        <w:tc>
          <w:tcPr>
            <w:tcW w:type="dxa" w:w="1077"/>
          </w:tcPr>
          <w:p>
            <w:pPr>
              <w:spacing w:after="0" w:line="240" w:lineRule="auto"/>
              <w:jc w:val="right"/>
            </w:pPr>
            <w:r/>
            <w:r>
              <w:rPr>
                <w:b w:val="0"/>
                <w:i w:val="0"/>
                <w:sz w:val="15"/>
              </w:rPr>
              <w:t>$95,000</w:t>
            </w:r>
          </w:p>
        </w:tc>
        <w:tc>
          <w:tcPr>
            <w:tcW w:type="dxa" w:w="1020"/>
          </w:tcPr>
          <w:p>
            <w:pPr>
              <w:spacing w:after="0" w:line="240" w:lineRule="auto"/>
              <w:jc w:val="right"/>
            </w:pPr>
            <w:r/>
            <w:r>
              <w:rPr>
                <w:b w:val="0"/>
                <w:i w:val="0"/>
                <w:sz w:val="15"/>
              </w:rPr>
              <w:t>$1,000</w:t>
            </w:r>
          </w:p>
        </w:tc>
        <w:tc>
          <w:tcPr>
            <w:tcW w:type="dxa" w:w="1077"/>
          </w:tcPr>
          <w:p>
            <w:pPr>
              <w:spacing w:after="0" w:line="240" w:lineRule="auto"/>
              <w:jc w:val="right"/>
            </w:pPr>
            <w:r/>
            <w:r>
              <w:rPr>
                <w:b w:val="0"/>
                <w:i w:val="0"/>
                <w:sz w:val="15"/>
              </w:rPr>
              <w:t>$96,000</w:t>
            </w:r>
          </w:p>
        </w:tc>
        <w:tc>
          <w:tcPr>
            <w:tcW w:type="dxa" w:w="907"/>
          </w:tcPr>
          <w:p>
            <w:pPr>
              <w:spacing w:after="0" w:line="240" w:lineRule="auto"/>
              <w:jc w:val="right"/>
            </w:pPr>
            <w:r/>
            <w:r>
              <w:rPr>
                <w:b w:val="0"/>
                <w:i w:val="0"/>
                <w:sz w:val="15"/>
              </w:rPr>
              <w:t>$205</w:t>
            </w:r>
          </w:p>
        </w:tc>
      </w:tr>
      <w:tr>
        <w:tc>
          <w:tcPr>
            <w:tcW w:type="dxa" w:w="2948"/>
            <w:shd w:val="clear" w:color="auto" w:fill="FAF9F6"/>
          </w:tcPr>
          <w:p>
            <w:pPr>
              <w:spacing w:after="0" w:line="240" w:lineRule="auto"/>
            </w:pPr>
            <w:r/>
            <w:r>
              <w:rPr>
                <w:b w:val="0"/>
                <w:i w:val="0"/>
                <w:sz w:val="15"/>
              </w:rPr>
              <w:t>Puau Road and Moonys – one rating unit</w:t>
            </w:r>
          </w:p>
        </w:tc>
        <w:tc>
          <w:tcPr>
            <w:tcW w:type="dxa" w:w="1701"/>
            <w:shd w:val="clear" w:color="auto" w:fill="FAF9F6"/>
          </w:tcPr>
          <w:p>
            <w:pPr>
              <w:spacing w:after="0" w:line="240" w:lineRule="auto"/>
            </w:pPr>
            <w:r/>
            <w:r>
              <w:rPr>
                <w:b w:val="0"/>
                <w:i w:val="0"/>
                <w:sz w:val="15"/>
              </w:rPr>
              <w:t>South Taranaki DC 1240020501</w:t>
            </w:r>
          </w:p>
        </w:tc>
        <w:tc>
          <w:tcPr>
            <w:tcW w:type="dxa" w:w="907"/>
            <w:shd w:val="clear" w:color="auto" w:fill="FAF9F6"/>
          </w:tcPr>
          <w:p>
            <w:pPr>
              <w:spacing w:after="0" w:line="240" w:lineRule="auto"/>
              <w:jc w:val="right"/>
            </w:pPr>
            <w:r/>
            <w:r>
              <w:rPr>
                <w:b w:val="0"/>
                <w:i w:val="0"/>
                <w:sz w:val="15"/>
              </w:rPr>
              <w:t>2,515.30</w:t>
            </w:r>
          </w:p>
        </w:tc>
        <w:tc>
          <w:tcPr>
            <w:tcW w:type="dxa" w:w="1077"/>
            <w:shd w:val="clear" w:color="auto" w:fill="FAF9F6"/>
          </w:tcPr>
          <w:p>
            <w:pPr>
              <w:spacing w:after="0" w:line="240" w:lineRule="auto"/>
              <w:jc w:val="right"/>
            </w:pPr>
            <w:r/>
            <w:r>
              <w:rPr>
                <w:b w:val="0"/>
                <w:i w:val="0"/>
                <w:sz w:val="15"/>
              </w:rPr>
              <w:t>$6,900,000</w:t>
            </w:r>
          </w:p>
        </w:tc>
        <w:tc>
          <w:tcPr>
            <w:tcW w:type="dxa" w:w="1020"/>
            <w:shd w:val="clear" w:color="auto" w:fill="FAF9F6"/>
          </w:tcPr>
          <w:p>
            <w:pPr>
              <w:spacing w:after="0" w:line="240" w:lineRule="auto"/>
              <w:jc w:val="right"/>
            </w:pPr>
            <w:r/>
            <w:r>
              <w:rPr>
                <w:b w:val="0"/>
                <w:i w:val="0"/>
                <w:sz w:val="15"/>
              </w:rPr>
              <w:t>$300,000</w:t>
            </w:r>
          </w:p>
        </w:tc>
        <w:tc>
          <w:tcPr>
            <w:tcW w:type="dxa" w:w="1077"/>
            <w:shd w:val="clear" w:color="auto" w:fill="FAF9F6"/>
          </w:tcPr>
          <w:p>
            <w:pPr>
              <w:spacing w:after="0" w:line="240" w:lineRule="auto"/>
              <w:jc w:val="right"/>
            </w:pPr>
            <w:r/>
            <w:r>
              <w:rPr>
                <w:b w:val="0"/>
                <w:i w:val="0"/>
                <w:sz w:val="15"/>
              </w:rPr>
              <w:t>$7,200,000</w:t>
            </w:r>
          </w:p>
        </w:tc>
        <w:tc>
          <w:tcPr>
            <w:tcW w:type="dxa" w:w="907"/>
            <w:shd w:val="clear" w:color="auto" w:fill="FAF9F6"/>
          </w:tcPr>
          <w:p>
            <w:pPr>
              <w:spacing w:after="0" w:line="240" w:lineRule="auto"/>
              <w:jc w:val="right"/>
            </w:pPr>
            <w:r/>
            <w:r>
              <w:rPr>
                <w:b w:val="0"/>
                <w:i w:val="0"/>
                <w:sz w:val="15"/>
              </w:rPr>
              <w:t>$16,316</w:t>
            </w:r>
          </w:p>
        </w:tc>
      </w:tr>
      <w:tr>
        <w:tc>
          <w:tcPr>
            <w:tcW w:type="dxa" w:w="2948"/>
          </w:tcPr>
          <w:p>
            <w:pPr>
              <w:spacing w:after="0" w:line="240" w:lineRule="auto"/>
            </w:pPr>
            <w:r/>
            <w:r>
              <w:rPr>
                <w:b w:val="0"/>
                <w:i w:val="0"/>
                <w:sz w:val="15"/>
              </w:rPr>
              <w:t>Ridge Road</w:t>
            </w:r>
          </w:p>
        </w:tc>
        <w:tc>
          <w:tcPr>
            <w:tcW w:type="dxa" w:w="1701"/>
          </w:tcPr>
          <w:p>
            <w:pPr>
              <w:spacing w:after="0" w:line="240" w:lineRule="auto"/>
            </w:pPr>
            <w:r/>
            <w:r>
              <w:rPr>
                <w:b w:val="0"/>
                <w:i w:val="0"/>
                <w:sz w:val="15"/>
              </w:rPr>
              <w:t>South Taranaki DC 1240019700</w:t>
            </w:r>
          </w:p>
        </w:tc>
        <w:tc>
          <w:tcPr>
            <w:tcW w:type="dxa" w:w="907"/>
          </w:tcPr>
          <w:p>
            <w:pPr>
              <w:spacing w:after="0" w:line="240" w:lineRule="auto"/>
              <w:jc w:val="right"/>
            </w:pPr>
            <w:r/>
            <w:r>
              <w:rPr>
                <w:b w:val="0"/>
                <w:i w:val="0"/>
                <w:sz w:val="15"/>
              </w:rPr>
              <w:t>282.59</w:t>
            </w:r>
          </w:p>
        </w:tc>
        <w:tc>
          <w:tcPr>
            <w:tcW w:type="dxa" w:w="1077"/>
          </w:tcPr>
          <w:p>
            <w:pPr>
              <w:spacing w:after="0" w:line="240" w:lineRule="auto"/>
              <w:jc w:val="right"/>
            </w:pPr>
            <w:r/>
            <w:r>
              <w:rPr>
                <w:b w:val="0"/>
                <w:i w:val="0"/>
                <w:sz w:val="15"/>
              </w:rPr>
              <w:t>$1,190,000</w:t>
            </w:r>
          </w:p>
        </w:tc>
        <w:tc>
          <w:tcPr>
            <w:tcW w:type="dxa" w:w="1020"/>
          </w:tcPr>
          <w:p>
            <w:pPr>
              <w:spacing w:after="0" w:line="240" w:lineRule="auto"/>
              <w:jc w:val="right"/>
            </w:pPr>
            <w:r/>
            <w:r>
              <w:rPr>
                <w:b w:val="0"/>
                <w:i w:val="0"/>
                <w:sz w:val="15"/>
              </w:rPr>
              <w:t>$90,000</w:t>
            </w:r>
          </w:p>
        </w:tc>
        <w:tc>
          <w:tcPr>
            <w:tcW w:type="dxa" w:w="1077"/>
          </w:tcPr>
          <w:p>
            <w:pPr>
              <w:spacing w:after="0" w:line="240" w:lineRule="auto"/>
              <w:jc w:val="right"/>
            </w:pPr>
            <w:r/>
            <w:r>
              <w:rPr>
                <w:b w:val="0"/>
                <w:i w:val="0"/>
                <w:sz w:val="15"/>
              </w:rPr>
              <w:t>$1,280,000</w:t>
            </w:r>
          </w:p>
        </w:tc>
        <w:tc>
          <w:tcPr>
            <w:tcW w:type="dxa" w:w="907"/>
          </w:tcPr>
          <w:p>
            <w:pPr>
              <w:spacing w:after="0" w:line="240" w:lineRule="auto"/>
              <w:jc w:val="right"/>
            </w:pPr>
            <w:r/>
            <w:r>
              <w:rPr>
                <w:b w:val="0"/>
                <w:i w:val="0"/>
                <w:sz w:val="15"/>
              </w:rPr>
              <w:t>$3,694</w:t>
            </w:r>
          </w:p>
        </w:tc>
      </w:tr>
      <w:tr>
        <w:tc>
          <w:tcPr>
            <w:tcW w:type="dxa" w:w="2948"/>
            <w:shd w:val="clear" w:color="auto" w:fill="FAF9F6"/>
          </w:tcPr>
          <w:p>
            <w:pPr>
              <w:spacing w:after="0" w:line="240" w:lineRule="auto"/>
            </w:pPr>
            <w:r/>
            <w:r>
              <w:rPr>
                <w:b w:val="0"/>
                <w:i w:val="0"/>
                <w:sz w:val="15"/>
              </w:rPr>
              <w:t>Whangamomona</w:t>
            </w:r>
          </w:p>
        </w:tc>
        <w:tc>
          <w:tcPr>
            <w:tcW w:type="dxa" w:w="1701"/>
            <w:shd w:val="clear" w:color="auto" w:fill="FAF9F6"/>
          </w:tcPr>
          <w:p>
            <w:pPr>
              <w:spacing w:after="0" w:line="240" w:lineRule="auto"/>
            </w:pPr>
            <w:r/>
            <w:r>
              <w:rPr>
                <w:b w:val="0"/>
                <w:i w:val="0"/>
                <w:sz w:val="15"/>
              </w:rPr>
              <w:t>Stratford DC 1199138200</w:t>
            </w:r>
          </w:p>
        </w:tc>
        <w:tc>
          <w:tcPr>
            <w:tcW w:type="dxa" w:w="907"/>
            <w:shd w:val="clear" w:color="auto" w:fill="FAF9F6"/>
          </w:tcPr>
          <w:p>
            <w:pPr>
              <w:spacing w:after="0" w:line="240" w:lineRule="auto"/>
              <w:jc w:val="right"/>
            </w:pPr>
            <w:r/>
            <w:r>
              <w:rPr>
                <w:b w:val="0"/>
                <w:i w:val="0"/>
                <w:sz w:val="15"/>
              </w:rPr>
              <w:t>738.94</w:t>
            </w:r>
          </w:p>
        </w:tc>
        <w:tc>
          <w:tcPr>
            <w:tcW w:type="dxa" w:w="1077"/>
            <w:shd w:val="clear" w:color="auto" w:fill="FAF9F6"/>
          </w:tcPr>
          <w:p>
            <w:pPr>
              <w:spacing w:after="0" w:line="240" w:lineRule="auto"/>
              <w:jc w:val="right"/>
            </w:pPr>
            <w:r/>
            <w:r>
              <w:rPr>
                <w:b w:val="0"/>
                <w:i w:val="0"/>
                <w:sz w:val="15"/>
              </w:rPr>
              <w:t>$3,910,000</w:t>
            </w:r>
          </w:p>
        </w:tc>
        <w:tc>
          <w:tcPr>
            <w:tcW w:type="dxa" w:w="1020"/>
            <w:shd w:val="clear" w:color="auto" w:fill="FAF9F6"/>
          </w:tcPr>
          <w:p>
            <w:pPr>
              <w:spacing w:after="0" w:line="240" w:lineRule="auto"/>
              <w:jc w:val="right"/>
            </w:pPr>
            <w:r/>
            <w:r>
              <w:rPr>
                <w:b w:val="0"/>
                <w:i w:val="0"/>
                <w:sz w:val="15"/>
              </w:rPr>
              <w:t>$350,000</w:t>
            </w:r>
          </w:p>
        </w:tc>
        <w:tc>
          <w:tcPr>
            <w:tcW w:type="dxa" w:w="1077"/>
            <w:shd w:val="clear" w:color="auto" w:fill="FAF9F6"/>
          </w:tcPr>
          <w:p>
            <w:pPr>
              <w:spacing w:after="0" w:line="240" w:lineRule="auto"/>
              <w:jc w:val="right"/>
            </w:pPr>
            <w:r/>
            <w:r>
              <w:rPr>
                <w:b w:val="0"/>
                <w:i w:val="0"/>
                <w:sz w:val="15"/>
              </w:rPr>
              <w:t>$4,260,000</w:t>
            </w:r>
          </w:p>
        </w:tc>
        <w:tc>
          <w:tcPr>
            <w:tcW w:type="dxa" w:w="907"/>
            <w:shd w:val="clear" w:color="auto" w:fill="FAF9F6"/>
          </w:tcPr>
          <w:p>
            <w:pPr>
              <w:spacing w:after="0" w:line="240" w:lineRule="auto"/>
              <w:jc w:val="right"/>
            </w:pPr>
            <w:r/>
            <w:r>
              <w:rPr>
                <w:b w:val="0"/>
                <w:i w:val="0"/>
                <w:sz w:val="15"/>
              </w:rPr>
              <w:t>$33,341</w:t>
            </w:r>
          </w:p>
        </w:tc>
      </w:tr>
      <w:tr>
        <w:tc>
          <w:tcPr>
            <w:tcW w:type="dxa" w:w="2948"/>
          </w:tcPr>
          <w:p>
            <w:pPr>
              <w:spacing w:after="0" w:line="240" w:lineRule="auto"/>
            </w:pPr>
            <w:r/>
            <w:r>
              <w:rPr>
                <w:b w:val="0"/>
                <w:i w:val="0"/>
                <w:sz w:val="15"/>
              </w:rPr>
              <w:t>Staghaven</w:t>
            </w:r>
          </w:p>
        </w:tc>
        <w:tc>
          <w:tcPr>
            <w:tcW w:type="dxa" w:w="1701"/>
          </w:tcPr>
          <w:p>
            <w:pPr>
              <w:spacing w:after="0" w:line="240" w:lineRule="auto"/>
            </w:pPr>
            <w:r/>
            <w:r>
              <w:rPr>
                <w:b w:val="0"/>
                <w:i w:val="0"/>
                <w:sz w:val="15"/>
              </w:rPr>
              <w:t>Stratford DC 1204110201 (SUIP A)</w:t>
            </w:r>
          </w:p>
        </w:tc>
        <w:tc>
          <w:tcPr>
            <w:tcW w:type="dxa" w:w="907"/>
          </w:tcPr>
          <w:p>
            <w:pPr>
              <w:spacing w:after="0" w:line="240" w:lineRule="auto"/>
              <w:jc w:val="right"/>
            </w:pPr>
            <w:r/>
            <w:r>
              <w:rPr>
                <w:b w:val="0"/>
                <w:i w:val="0"/>
                <w:sz w:val="15"/>
              </w:rPr>
              <w:t>295.55</w:t>
            </w:r>
          </w:p>
        </w:tc>
        <w:tc>
          <w:tcPr>
            <w:tcW w:type="dxa" w:w="1077"/>
          </w:tcPr>
          <w:p>
            <w:pPr>
              <w:spacing w:after="0" w:line="240" w:lineRule="auto"/>
              <w:jc w:val="right"/>
            </w:pPr>
            <w:r/>
            <w:r>
              <w:rPr>
                <w:b w:val="0"/>
                <w:i w:val="0"/>
                <w:sz w:val="15"/>
              </w:rPr>
              <w:t>$1,300,000</w:t>
            </w:r>
          </w:p>
        </w:tc>
        <w:tc>
          <w:tcPr>
            <w:tcW w:type="dxa" w:w="1020"/>
          </w:tcPr>
          <w:p>
            <w:pPr>
              <w:spacing w:after="0" w:line="240" w:lineRule="auto"/>
              <w:jc w:val="right"/>
            </w:pPr>
            <w:r/>
            <w:r>
              <w:rPr>
                <w:b w:val="0"/>
                <w:i w:val="0"/>
                <w:sz w:val="15"/>
              </w:rPr>
              <w:t>$190,000</w:t>
            </w:r>
          </w:p>
        </w:tc>
        <w:tc>
          <w:tcPr>
            <w:tcW w:type="dxa" w:w="1077"/>
          </w:tcPr>
          <w:p>
            <w:pPr>
              <w:spacing w:after="0" w:line="240" w:lineRule="auto"/>
              <w:jc w:val="right"/>
            </w:pPr>
            <w:r/>
            <w:r>
              <w:rPr>
                <w:b w:val="0"/>
                <w:i w:val="0"/>
                <w:sz w:val="15"/>
              </w:rPr>
              <w:t>$1,490,000</w:t>
            </w:r>
          </w:p>
        </w:tc>
        <w:tc>
          <w:tcPr>
            <w:tcW w:type="dxa" w:w="907"/>
          </w:tcPr>
          <w:p>
            <w:pPr>
              <w:spacing w:after="0" w:line="240" w:lineRule="auto"/>
              <w:jc w:val="right"/>
            </w:pPr>
            <w:r/>
            <w:r>
              <w:rPr>
                <w:b w:val="0"/>
                <w:i w:val="0"/>
                <w:sz w:val="15"/>
              </w:rPr>
              <w:t>$5,760</w:t>
            </w:r>
          </w:p>
        </w:tc>
      </w:tr>
      <w:tr>
        <w:tc>
          <w:tcPr>
            <w:tcW w:type="dxa" w:w="2948"/>
            <w:shd w:val="clear" w:color="auto" w:fill="FAF9F6"/>
          </w:tcPr>
          <w:p>
            <w:pPr>
              <w:spacing w:after="0" w:line="240" w:lineRule="auto"/>
            </w:pPr>
            <w:r/>
            <w:r>
              <w:rPr>
                <w:b w:val="0"/>
                <w:i w:val="0"/>
                <w:sz w:val="15"/>
              </w:rPr>
              <w:t>Tims</w:t>
            </w:r>
          </w:p>
        </w:tc>
        <w:tc>
          <w:tcPr>
            <w:tcW w:type="dxa" w:w="1701"/>
            <w:shd w:val="clear" w:color="auto" w:fill="FAF9F6"/>
          </w:tcPr>
          <w:p>
            <w:pPr>
              <w:spacing w:after="0" w:line="240" w:lineRule="auto"/>
            </w:pPr>
            <w:r/>
            <w:r>
              <w:rPr>
                <w:b w:val="0"/>
                <w:i w:val="0"/>
                <w:sz w:val="15"/>
              </w:rPr>
              <w:t>Stratford DC 1204114400</w:t>
            </w:r>
          </w:p>
        </w:tc>
        <w:tc>
          <w:tcPr>
            <w:tcW w:type="dxa" w:w="907"/>
            <w:shd w:val="clear" w:color="auto" w:fill="FAF9F6"/>
          </w:tcPr>
          <w:p>
            <w:pPr>
              <w:spacing w:after="0" w:line="240" w:lineRule="auto"/>
              <w:jc w:val="right"/>
            </w:pPr>
            <w:r/>
            <w:r>
              <w:rPr>
                <w:b w:val="0"/>
                <w:i w:val="0"/>
                <w:sz w:val="15"/>
              </w:rPr>
              <w:t>14.32</w:t>
            </w:r>
          </w:p>
        </w:tc>
        <w:tc>
          <w:tcPr>
            <w:tcW w:type="dxa" w:w="1077"/>
            <w:shd w:val="clear" w:color="auto" w:fill="FAF9F6"/>
          </w:tcPr>
          <w:p>
            <w:pPr>
              <w:spacing w:after="0" w:line="240" w:lineRule="auto"/>
              <w:jc w:val="right"/>
            </w:pPr>
            <w:r/>
            <w:r>
              <w:rPr>
                <w:b w:val="0"/>
                <w:i w:val="0"/>
                <w:sz w:val="15"/>
              </w:rPr>
              <w:t>$67,000</w:t>
            </w:r>
          </w:p>
        </w:tc>
        <w:tc>
          <w:tcPr>
            <w:tcW w:type="dxa" w:w="1020"/>
            <w:shd w:val="clear" w:color="auto" w:fill="FAF9F6"/>
          </w:tcPr>
          <w:p>
            <w:pPr>
              <w:spacing w:after="0" w:line="240" w:lineRule="auto"/>
              <w:jc w:val="right"/>
            </w:pPr>
            <w:r/>
            <w:r>
              <w:rPr>
                <w:b w:val="0"/>
                <w:i w:val="0"/>
                <w:sz w:val="15"/>
              </w:rPr>
              <w:t>$0</w:t>
            </w:r>
          </w:p>
        </w:tc>
        <w:tc>
          <w:tcPr>
            <w:tcW w:type="dxa" w:w="1077"/>
            <w:shd w:val="clear" w:color="auto" w:fill="FAF9F6"/>
          </w:tcPr>
          <w:p>
            <w:pPr>
              <w:spacing w:after="0" w:line="240" w:lineRule="auto"/>
              <w:jc w:val="right"/>
            </w:pPr>
            <w:r/>
            <w:r>
              <w:rPr>
                <w:b w:val="0"/>
                <w:i w:val="0"/>
                <w:sz w:val="15"/>
              </w:rPr>
              <w:t>$67,000</w:t>
            </w:r>
          </w:p>
        </w:tc>
        <w:tc>
          <w:tcPr>
            <w:tcW w:type="dxa" w:w="907"/>
            <w:shd w:val="clear" w:color="auto" w:fill="FAF9F6"/>
          </w:tcPr>
          <w:p>
            <w:pPr>
              <w:spacing w:after="0" w:line="240" w:lineRule="auto"/>
              <w:jc w:val="right"/>
            </w:pPr>
            <w:r/>
            <w:r>
              <w:rPr>
                <w:b w:val="0"/>
                <w:i w:val="0"/>
                <w:sz w:val="15"/>
              </w:rPr>
              <w:t>$1,371</w:t>
            </w:r>
          </w:p>
        </w:tc>
      </w:tr>
      <w:tr>
        <w:tc>
          <w:tcPr>
            <w:tcW w:type="dxa" w:w="2948"/>
          </w:tcPr>
          <w:p>
            <w:pPr>
              <w:spacing w:after="0" w:line="240" w:lineRule="auto"/>
            </w:pPr>
            <w:r/>
            <w:r>
              <w:rPr>
                <w:b w:val="0"/>
                <w:i w:val="0"/>
                <w:sz w:val="15"/>
              </w:rPr>
              <w:t>Pakihi</w:t>
            </w:r>
          </w:p>
        </w:tc>
        <w:tc>
          <w:tcPr>
            <w:tcW w:type="dxa" w:w="1701"/>
          </w:tcPr>
          <w:p>
            <w:pPr>
              <w:spacing w:after="0" w:line="240" w:lineRule="auto"/>
            </w:pPr>
            <w:r/>
            <w:r>
              <w:rPr>
                <w:b w:val="0"/>
                <w:i w:val="0"/>
                <w:sz w:val="15"/>
              </w:rPr>
              <w:t>Ōpōtiki DC 0763023200</w:t>
            </w:r>
          </w:p>
        </w:tc>
        <w:tc>
          <w:tcPr>
            <w:tcW w:type="dxa" w:w="907"/>
          </w:tcPr>
          <w:p>
            <w:pPr>
              <w:spacing w:after="0" w:line="240" w:lineRule="auto"/>
              <w:jc w:val="right"/>
            </w:pPr>
            <w:r/>
            <w:r>
              <w:rPr>
                <w:b w:val="0"/>
                <w:i w:val="0"/>
                <w:sz w:val="15"/>
              </w:rPr>
              <w:t>445.28</w:t>
            </w:r>
          </w:p>
        </w:tc>
        <w:tc>
          <w:tcPr>
            <w:tcW w:type="dxa" w:w="1077"/>
          </w:tcPr>
          <w:p>
            <w:pPr>
              <w:spacing w:after="0" w:line="240" w:lineRule="auto"/>
              <w:jc w:val="right"/>
            </w:pPr>
            <w:r/>
            <w:r>
              <w:rPr>
                <w:b w:val="0"/>
                <w:i w:val="0"/>
                <w:sz w:val="15"/>
              </w:rPr>
              <w:t>$890,000</w:t>
            </w:r>
          </w:p>
        </w:tc>
        <w:tc>
          <w:tcPr>
            <w:tcW w:type="dxa" w:w="1020"/>
          </w:tcPr>
          <w:p>
            <w:pPr>
              <w:spacing w:after="0" w:line="240" w:lineRule="auto"/>
              <w:jc w:val="right"/>
            </w:pPr>
            <w:r/>
            <w:r>
              <w:rPr>
                <w:b w:val="0"/>
                <w:i w:val="0"/>
                <w:sz w:val="15"/>
              </w:rPr>
              <w:t>$70,000</w:t>
            </w:r>
          </w:p>
        </w:tc>
        <w:tc>
          <w:tcPr>
            <w:tcW w:type="dxa" w:w="1077"/>
          </w:tcPr>
          <w:p>
            <w:pPr>
              <w:spacing w:after="0" w:line="240" w:lineRule="auto"/>
              <w:jc w:val="right"/>
            </w:pPr>
            <w:r/>
            <w:r>
              <w:rPr>
                <w:b w:val="0"/>
                <w:i w:val="0"/>
                <w:sz w:val="15"/>
              </w:rPr>
              <w:t>$960,000</w:t>
            </w:r>
          </w:p>
        </w:tc>
        <w:tc>
          <w:tcPr>
            <w:tcW w:type="dxa" w:w="907"/>
          </w:tcPr>
          <w:p>
            <w:pPr>
              <w:spacing w:after="0" w:line="240" w:lineRule="auto"/>
              <w:jc w:val="right"/>
            </w:pPr>
            <w:r/>
            <w:r>
              <w:rPr>
                <w:b w:val="0"/>
                <w:i w:val="0"/>
                <w:sz w:val="15"/>
              </w:rPr>
              <w:t>$3,790</w:t>
            </w:r>
          </w:p>
        </w:tc>
      </w:tr>
      <w:tr>
        <w:tc>
          <w:tcPr>
            <w:tcW w:type="dxa" w:w="2948"/>
            <w:shd w:val="clear" w:color="auto" w:fill="FAF9F6"/>
          </w:tcPr>
          <w:p>
            <w:pPr>
              <w:spacing w:after="0" w:line="240" w:lineRule="auto"/>
            </w:pPr>
            <w:r/>
            <w:r>
              <w:rPr>
                <w:b w:val="0"/>
                <w:i w:val="0"/>
                <w:sz w:val="15"/>
              </w:rPr>
              <w:t>Magons (separate sale – FR Waipuna Limited)</w:t>
            </w:r>
          </w:p>
        </w:tc>
        <w:tc>
          <w:tcPr>
            <w:tcW w:type="dxa" w:w="1701"/>
            <w:shd w:val="clear" w:color="auto" w:fill="FAF9F6"/>
          </w:tcPr>
          <w:p>
            <w:pPr>
              <w:spacing w:after="0" w:line="240" w:lineRule="auto"/>
            </w:pPr>
            <w:r/>
            <w:r>
              <w:rPr>
                <w:b w:val="0"/>
                <w:i w:val="0"/>
                <w:sz w:val="15"/>
              </w:rPr>
              <w:t>Stratford DC 1204109700</w:t>
            </w:r>
          </w:p>
        </w:tc>
        <w:tc>
          <w:tcPr>
            <w:tcW w:type="dxa" w:w="907"/>
            <w:shd w:val="clear" w:color="auto" w:fill="FAF9F6"/>
          </w:tcPr>
          <w:p>
            <w:pPr>
              <w:spacing w:after="0" w:line="240" w:lineRule="auto"/>
              <w:jc w:val="right"/>
            </w:pPr>
            <w:r/>
            <w:r>
              <w:rPr>
                <w:b w:val="0"/>
                <w:i w:val="0"/>
                <w:sz w:val="15"/>
              </w:rPr>
              <w:t>776.96</w:t>
            </w:r>
          </w:p>
        </w:tc>
        <w:tc>
          <w:tcPr>
            <w:tcW w:type="dxa" w:w="1077"/>
            <w:shd w:val="clear" w:color="auto" w:fill="FAF9F6"/>
          </w:tcPr>
          <w:p>
            <w:pPr>
              <w:spacing w:after="0" w:line="240" w:lineRule="auto"/>
              <w:jc w:val="right"/>
            </w:pPr>
            <w:r/>
            <w:r>
              <w:rPr>
                <w:b w:val="0"/>
                <w:i w:val="0"/>
                <w:sz w:val="15"/>
              </w:rPr>
              <w:t>$3,340,000</w:t>
            </w:r>
          </w:p>
        </w:tc>
        <w:tc>
          <w:tcPr>
            <w:tcW w:type="dxa" w:w="1020"/>
            <w:shd w:val="clear" w:color="auto" w:fill="FAF9F6"/>
          </w:tcPr>
          <w:p>
            <w:pPr>
              <w:spacing w:after="0" w:line="240" w:lineRule="auto"/>
              <w:jc w:val="right"/>
            </w:pPr>
            <w:r/>
            <w:r>
              <w:rPr>
                <w:b w:val="0"/>
                <w:i w:val="0"/>
                <w:sz w:val="15"/>
              </w:rPr>
              <w:t>$470,000</w:t>
            </w:r>
          </w:p>
        </w:tc>
        <w:tc>
          <w:tcPr>
            <w:tcW w:type="dxa" w:w="1077"/>
            <w:shd w:val="clear" w:color="auto" w:fill="FAF9F6"/>
          </w:tcPr>
          <w:p>
            <w:pPr>
              <w:spacing w:after="0" w:line="240" w:lineRule="auto"/>
              <w:jc w:val="right"/>
            </w:pPr>
            <w:r/>
            <w:r>
              <w:rPr>
                <w:b w:val="0"/>
                <w:i w:val="0"/>
                <w:sz w:val="15"/>
              </w:rPr>
              <w:t>$3,810,000</w:t>
            </w:r>
          </w:p>
        </w:tc>
        <w:tc>
          <w:tcPr>
            <w:tcW w:type="dxa" w:w="907"/>
            <w:shd w:val="clear" w:color="auto" w:fill="FAF9F6"/>
          </w:tcPr>
          <w:p>
            <w:pPr>
              <w:spacing w:after="0" w:line="240" w:lineRule="auto"/>
              <w:jc w:val="right"/>
            </w:pPr>
            <w:r/>
            <w:r>
              <w:rPr>
                <w:b w:val="0"/>
                <w:i w:val="0"/>
                <w:sz w:val="15"/>
              </w:rPr>
              <w:t>$31,472</w:t>
            </w:r>
          </w:p>
        </w:tc>
      </w:tr>
      <w:tr>
        <w:tc>
          <w:tcPr>
            <w:tcW w:type="dxa" w:w="2948"/>
          </w:tcPr>
          <w:p>
            <w:pPr>
              <w:spacing w:after="0" w:line="240" w:lineRule="auto"/>
            </w:pPr>
            <w:r/>
            <w:r>
              <w:rPr>
                <w:b w:val="0"/>
                <w:i w:val="0"/>
                <w:sz w:val="15"/>
              </w:rPr>
              <w:t>Staghaven homestead title TNH4/170 (separate sale – FR Waipuna Limited)</w:t>
            </w:r>
          </w:p>
        </w:tc>
        <w:tc>
          <w:tcPr>
            <w:tcW w:type="dxa" w:w="1701"/>
          </w:tcPr>
          <w:p>
            <w:pPr>
              <w:spacing w:after="0" w:line="240" w:lineRule="auto"/>
            </w:pPr>
            <w:r/>
            <w:r>
              <w:rPr>
                <w:b w:val="0"/>
                <w:i w:val="0"/>
                <w:sz w:val="15"/>
              </w:rPr>
              <w:t>Stratford DC 1204110202</w:t>
            </w:r>
          </w:p>
        </w:tc>
        <w:tc>
          <w:tcPr>
            <w:tcW w:type="dxa" w:w="907"/>
          </w:tcPr>
          <w:p>
            <w:pPr>
              <w:spacing w:after="0" w:line="240" w:lineRule="auto"/>
              <w:jc w:val="right"/>
            </w:pPr>
            <w:r/>
            <w:r>
              <w:rPr>
                <w:b w:val="0"/>
                <w:i w:val="0"/>
                <w:sz w:val="15"/>
              </w:rPr>
              <w:t>156.24</w:t>
            </w:r>
          </w:p>
        </w:tc>
        <w:tc>
          <w:tcPr>
            <w:tcW w:type="dxa" w:w="1077"/>
          </w:tcPr>
          <w:p>
            <w:pPr>
              <w:spacing w:after="0" w:line="240" w:lineRule="auto"/>
              <w:jc w:val="right"/>
            </w:pPr>
            <w:r/>
            <w:r>
              <w:rPr>
                <w:b w:val="0"/>
                <w:i w:val="0"/>
                <w:sz w:val="15"/>
              </w:rPr>
              <w:t>$1,450,000</w:t>
            </w:r>
          </w:p>
        </w:tc>
        <w:tc>
          <w:tcPr>
            <w:tcW w:type="dxa" w:w="1020"/>
          </w:tcPr>
          <w:p>
            <w:pPr>
              <w:spacing w:after="0" w:line="240" w:lineRule="auto"/>
              <w:jc w:val="right"/>
            </w:pPr>
            <w:r/>
            <w:r>
              <w:rPr>
                <w:b w:val="0"/>
                <w:i w:val="0"/>
                <w:sz w:val="15"/>
              </w:rPr>
              <w:t>$610,000</w:t>
            </w:r>
          </w:p>
        </w:tc>
        <w:tc>
          <w:tcPr>
            <w:tcW w:type="dxa" w:w="1077"/>
          </w:tcPr>
          <w:p>
            <w:pPr>
              <w:spacing w:after="0" w:line="240" w:lineRule="auto"/>
              <w:jc w:val="right"/>
            </w:pPr>
            <w:r/>
            <w:r>
              <w:rPr>
                <w:b w:val="0"/>
                <w:i w:val="0"/>
                <w:sz w:val="15"/>
              </w:rPr>
              <w:t>$2,060,000</w:t>
            </w:r>
          </w:p>
        </w:tc>
        <w:tc>
          <w:tcPr>
            <w:tcW w:type="dxa" w:w="907"/>
          </w:tcPr>
          <w:p>
            <w:pPr>
              <w:spacing w:after="0" w:line="240" w:lineRule="auto"/>
              <w:jc w:val="right"/>
            </w:pPr>
            <w:r/>
            <w:r>
              <w:rPr>
                <w:b w:val="0"/>
                <w:i w:val="0"/>
                <w:sz w:val="15"/>
              </w:rPr>
              <w:t>$17,551</w:t>
            </w:r>
          </w:p>
        </w:tc>
      </w:tr>
      <w:tr>
        <w:tc>
          <w:tcPr>
            <w:tcW w:type="dxa" w:w="2948"/>
            <w:shd w:val="clear" w:color="auto" w:fill="EDEBE3"/>
          </w:tcPr>
          <w:p>
            <w:pPr>
              <w:spacing w:after="0" w:line="240" w:lineRule="auto"/>
            </w:pPr>
            <w:r/>
            <w:r>
              <w:rPr>
                <w:b/>
                <w:i w:val="0"/>
                <w:sz w:val="15"/>
              </w:rPr>
              <w:t>Total – sale titles (excluding the FR Waipuna holdings)</w:t>
            </w:r>
          </w:p>
        </w:tc>
        <w:tc>
          <w:tcPr>
            <w:tcW w:type="dxa" w:w="1701"/>
            <w:shd w:val="clear" w:color="auto" w:fill="EDEBE3"/>
          </w:tcPr>
          <w:p>
            <w:pPr>
              <w:spacing w:after="0" w:line="240" w:lineRule="auto"/>
            </w:pPr>
            <w:r/>
          </w:p>
        </w:tc>
        <w:tc>
          <w:tcPr>
            <w:tcW w:type="dxa" w:w="907"/>
            <w:shd w:val="clear" w:color="auto" w:fill="EDEBE3"/>
          </w:tcPr>
          <w:p>
            <w:pPr>
              <w:spacing w:after="0" w:line="240" w:lineRule="auto"/>
              <w:jc w:val="right"/>
            </w:pPr>
            <w:r/>
            <w:r>
              <w:rPr>
                <w:b/>
                <w:i w:val="0"/>
                <w:sz w:val="15"/>
              </w:rPr>
              <w:t>13,315.39</w:t>
            </w:r>
          </w:p>
        </w:tc>
        <w:tc>
          <w:tcPr>
            <w:tcW w:type="dxa" w:w="1077"/>
            <w:shd w:val="clear" w:color="auto" w:fill="EDEBE3"/>
          </w:tcPr>
          <w:p>
            <w:pPr>
              <w:spacing w:after="0" w:line="240" w:lineRule="auto"/>
              <w:jc w:val="right"/>
            </w:pPr>
            <w:r/>
            <w:r>
              <w:rPr>
                <w:b/>
                <w:i w:val="0"/>
                <w:sz w:val="15"/>
              </w:rPr>
              <w:t>$47,245,000</w:t>
            </w:r>
          </w:p>
        </w:tc>
        <w:tc>
          <w:tcPr>
            <w:tcW w:type="dxa" w:w="1020"/>
            <w:shd w:val="clear" w:color="auto" w:fill="EDEBE3"/>
          </w:tcPr>
          <w:p>
            <w:pPr>
              <w:spacing w:after="0" w:line="240" w:lineRule="auto"/>
              <w:jc w:val="right"/>
            </w:pPr>
            <w:r/>
            <w:r>
              <w:rPr>
                <w:b/>
                <w:i w:val="0"/>
                <w:sz w:val="15"/>
              </w:rPr>
              <w:t>$3,443,000</w:t>
            </w:r>
          </w:p>
        </w:tc>
        <w:tc>
          <w:tcPr>
            <w:tcW w:type="dxa" w:w="1077"/>
            <w:shd w:val="clear" w:color="auto" w:fill="EDEBE3"/>
          </w:tcPr>
          <w:p>
            <w:pPr>
              <w:spacing w:after="0" w:line="240" w:lineRule="auto"/>
              <w:jc w:val="right"/>
            </w:pPr>
            <w:r/>
            <w:r>
              <w:rPr>
                <w:b/>
                <w:i w:val="0"/>
                <w:sz w:val="15"/>
              </w:rPr>
              <w:t>$50,688,000</w:t>
            </w:r>
          </w:p>
        </w:tc>
        <w:tc>
          <w:tcPr>
            <w:tcW w:type="dxa" w:w="907"/>
            <w:shd w:val="clear" w:color="auto" w:fill="EDEBE3"/>
          </w:tcPr>
          <w:p>
            <w:pPr>
              <w:spacing w:after="0" w:line="240" w:lineRule="auto"/>
              <w:jc w:val="right"/>
            </w:pPr>
            <w:r/>
            <w:r>
              <w:rPr>
                <w:b/>
                <w:i w:val="0"/>
                <w:sz w:val="15"/>
              </w:rPr>
              <w:t>$151,395</w:t>
            </w:r>
          </w:p>
        </w:tc>
      </w:tr>
    </w:tbl>
    <w:p>
      <w:pPr>
        <w:spacing w:after="40"/>
      </w:pPr>
    </w:p>
    <w:p>
      <w:pPr>
        <w:shd w:val="clear" w:color="auto" w:fill="F2F0EA"/>
        <w:spacing w:after="160"/>
        <w:ind w:left="113"/>
      </w:pPr>
      <w:r>
        <w:rPr>
          <w:b/>
          <w:color w:val="6B6B60"/>
          <w:sz w:val="18"/>
        </w:rPr>
        <w:t xml:space="preserve">Internal note – not for the IM: </w:t>
      </w:r>
      <w:r>
        <w:rPr>
          <w:b w:val="0"/>
          <w:i w:val="0"/>
          <w:color w:val="3A3A35"/>
          <w:sz w:val="18"/>
        </w:rPr>
        <w:t>One rating unit carries an estate street address but a legal description outside the title schedule: South Taranaki 1241011201 (395 Taumatatahi Road – Pt Sec 10, Secs 7 and 14 Blk VI Kapara SD, 446 ha, CV $3.0m) – check with the receivers whether a title is missing from the schedule or this is a neighbour. The council also attaches '187 Mataimoana Road' to Karapara rather than Back Farm, and '216 Waitotara Valley Road' to the Workers House. Check before the IM quotes addresses.</w:t>
      </w:r>
    </w:p>
    <w:p>
      <w:pPr>
        <w:pStyle w:val="Heading1"/>
      </w:pPr>
      <w:r>
        <w:t>Appendix D  Sources</w:t>
      </w:r>
    </w:p>
    <w:p>
      <w:pPr>
        <w:pStyle w:val="ListBullet"/>
        <w:spacing w:after="40"/>
      </w:pPr>
      <w:r>
        <w:rPr>
          <w:b w:val="0"/>
          <w:i w:val="0"/>
        </w:rPr>
        <w:t>Searle Forestry appraisal, July 2026, and Staghaven addendum, September 2026 – land-cover and slope mapping by block (values not reproduced).</w:t>
      </w:r>
    </w:p>
    <w:p>
      <w:pPr>
        <w:pStyle w:val="ListBullet"/>
        <w:spacing w:after="40"/>
      </w:pPr>
      <w:r>
        <w:rPr>
          <w:b w:val="0"/>
          <w:i w:val="0"/>
        </w:rPr>
        <w:t>Stand, Nirvana Farm Limited Ground Survey, 23 April 2026 – planted areas, survival, 2026 programme, access and pest notes.</w:t>
      </w:r>
    </w:p>
    <w:p>
      <w:pPr>
        <w:pStyle w:val="ListBullet"/>
        <w:spacing w:after="40"/>
      </w:pPr>
      <w:r>
        <w:rPr>
          <w:b w:val="0"/>
          <w:i w:val="0"/>
        </w:rPr>
        <w:t>MPI land status reports – Nirvana Farm Limited (28 September 2026) and Makowhai Station (August 2025); CAA geospatial data (27 September 2026); section 194A notices.</w:t>
      </w:r>
    </w:p>
    <w:p>
      <w:pPr>
        <w:pStyle w:val="ListBullet"/>
        <w:spacing w:after="40"/>
      </w:pPr>
      <w:r>
        <w:rPr>
          <w:b w:val="0"/>
          <w:i w:val="0"/>
        </w:rPr>
        <w:t>LINZ guaranteed title searches, October 2026 – legal descriptions, areas, registered owners and interests; LINZ Data Service cadastre and 8 m DEM; LRIS NZLRI Land Use Capability (2021).</w:t>
      </w:r>
    </w:p>
    <w:p>
      <w:pPr>
        <w:pStyle w:val="ListBullet"/>
        <w:spacing w:after="40"/>
      </w:pPr>
      <w:r>
        <w:rPr>
          <w:b w:val="0"/>
          <w:i w:val="0"/>
        </w:rPr>
        <w:t>CBRE, Market Valuation TAR-282069, 14 October 2024 – addresses, land classes, Magons description and the carbon forward sale (values not reproduced).</w:t>
      </w:r>
    </w:p>
    <w:p>
      <w:pPr>
        <w:pStyle w:val="ListBullet"/>
        <w:spacing w:after="40"/>
      </w:pPr>
      <w:r>
        <w:rPr>
          <w:b w:val="0"/>
          <w:i w:val="0"/>
        </w:rPr>
        <w:t>Agency agreements, Nirvana Farm Limited (In Receivership) and Makowhai Trust land (Receivers), 14 and 21 September 2026 – title schedules and scope.</w:t>
      </w:r>
    </w:p>
    <w:p>
      <w:pPr>
        <w:pStyle w:val="ListBullet"/>
        <w:spacing w:after="40"/>
      </w:pPr>
      <w:r>
        <w:rPr>
          <w:b w:val="0"/>
          <w:i w:val="0"/>
        </w:rPr>
        <w:t>Vitol – Nirvana Farm prepayment facility security summary; Deed of Lease of Farmland – Pukekahu Farms Limited (2025); Crown renewable leases 948076 and 948077.</w:t>
      </w:r>
    </w:p>
    <w:p>
      <w:pPr>
        <w:pStyle w:val="ListBullet"/>
        <w:spacing w:after="40"/>
      </w:pPr>
      <w:r>
        <w:rPr>
          <w:b w:val="0"/>
          <w:i w:val="0"/>
        </w:rPr>
        <w:t>Nirvana Farms georeferenced map set (Searle Forestry, 9 October 2026) – property sheets.</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0"/>
        <w:sz w:val="16"/>
      </w:rPr>
      <w:t xml:space="preserve">Nirvana Farms – IM content draft v2 · Searle Forestry · Confidential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37441D"/>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37441D"/>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717D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