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color w:val="37441D"/>
          <w:sz w:val="52"/>
        </w:rPr>
        <w:t>NIRVANA FARMS</w:t>
      </w:r>
    </w:p>
    <w:p>
      <w:pPr>
        <w:spacing w:after="40"/>
      </w:pPr>
      <w:r>
        <w:rPr>
          <w:b w:val="0"/>
          <w:i w:val="0"/>
          <w:color w:val="717D4A"/>
          <w:sz w:val="32"/>
        </w:rPr>
        <w:t>Information Memorandum – content draft</w:t>
      </w:r>
    </w:p>
    <w:p>
      <w:pPr>
        <w:spacing w:after="280"/>
      </w:pPr>
      <w:r>
        <w:rPr>
          <w:b w:val="0"/>
          <w:i/>
          <w:color w:val="334514"/>
          <w:sz w:val="22"/>
        </w:rPr>
        <w:t>Forestry and carbon estate – Taranaki / Whanganui hill country · receivership sale by expressions of interest</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4819"/>
        <w:gridCol w:w="4819"/>
      </w:tblGrid>
      <w:tr>
        <w:tc>
          <w:tcPr>
            <w:tcW w:type="dxa" w:w="2835"/>
            <w:shd w:val="clear" w:color="auto" w:fill="F2F0EA"/>
          </w:tcPr>
          <w:p>
            <w:pPr>
              <w:spacing w:after="0" w:line="240" w:lineRule="auto"/>
            </w:pPr>
            <w:r/>
            <w:r>
              <w:rPr>
                <w:b/>
                <w:i w:val="0"/>
                <w:sz w:val="19"/>
              </w:rPr>
              <w:t>Prepared by</w:t>
            </w:r>
          </w:p>
        </w:tc>
        <w:tc>
          <w:tcPr>
            <w:tcW w:type="dxa" w:w="6803"/>
          </w:tcPr>
          <w:p>
            <w:pPr>
              <w:spacing w:after="0" w:line="240" w:lineRule="auto"/>
            </w:pPr>
            <w:r/>
            <w:r>
              <w:rPr>
                <w:b w:val="0"/>
                <w:i w:val="0"/>
                <w:sz w:val="19"/>
              </w:rPr>
              <w:t>Searle Forestry (Forestry Sales Limited, Licensed Agent REA Act 2008)</w:t>
            </w:r>
          </w:p>
        </w:tc>
      </w:tr>
      <w:tr>
        <w:tc>
          <w:tcPr>
            <w:tcW w:type="dxa" w:w="2835"/>
            <w:shd w:val="clear" w:color="auto" w:fill="F2F0EA"/>
          </w:tcPr>
          <w:p>
            <w:pPr>
              <w:spacing w:after="0" w:line="240" w:lineRule="auto"/>
            </w:pPr>
            <w:r/>
            <w:r>
              <w:rPr>
                <w:b/>
                <w:i w:val="0"/>
                <w:sz w:val="19"/>
              </w:rPr>
              <w:t>Draft</w:t>
            </w:r>
          </w:p>
        </w:tc>
        <w:tc>
          <w:tcPr>
            <w:tcW w:type="dxa" w:w="6803"/>
          </w:tcPr>
          <w:p>
            <w:pPr>
              <w:spacing w:after="0" w:line="240" w:lineRule="auto"/>
            </w:pPr>
            <w:r/>
            <w:r>
              <w:rPr>
                <w:b w:val="0"/>
                <w:i w:val="0"/>
                <w:sz w:val="19"/>
              </w:rPr>
              <w:t>v1 – 6 October 2026 – content for the designer's IM layout (Nirvana Farms Draft.pdf)</w:t>
            </w:r>
          </w:p>
        </w:tc>
      </w:tr>
      <w:tr>
        <w:tc>
          <w:tcPr>
            <w:tcW w:type="dxa" w:w="2835"/>
            <w:shd w:val="clear" w:color="auto" w:fill="F2F0EA"/>
          </w:tcPr>
          <w:p>
            <w:pPr>
              <w:spacing w:after="0" w:line="240" w:lineRule="auto"/>
            </w:pPr>
            <w:r/>
            <w:r>
              <w:rPr>
                <w:b/>
                <w:i w:val="0"/>
                <w:sz w:val="19"/>
              </w:rPr>
              <w:t>Status</w:t>
            </w:r>
          </w:p>
        </w:tc>
        <w:tc>
          <w:tcPr>
            <w:tcW w:type="dxa" w:w="6803"/>
          </w:tcPr>
          <w:p>
            <w:pPr>
              <w:spacing w:after="0" w:line="240" w:lineRule="auto"/>
            </w:pPr>
            <w:r/>
            <w:r>
              <w:rPr>
                <w:b w:val="0"/>
                <w:i w:val="0"/>
                <w:sz w:val="19"/>
              </w:rPr>
              <w:t xml:space="preserve">Working draft for the Receivers' review. Items shown in red </w:t>
            </w:r>
            <w:r>
              <w:rPr>
                <w:b/>
                <w:i w:val="0"/>
                <w:color w:val="B01E1E"/>
                <w:sz w:val="19"/>
              </w:rPr>
              <w:t>[TBC]</w:t>
            </w:r>
            <w:r>
              <w:rPr>
                <w:b w:val="0"/>
                <w:i w:val="0"/>
                <w:sz w:val="19"/>
              </w:rPr>
              <w:t xml:space="preserve"> are to be confirmed or supplied before release.</w:t>
            </w:r>
          </w:p>
        </w:tc>
      </w:tr>
      <w:tr>
        <w:tc>
          <w:tcPr>
            <w:tcW w:type="dxa" w:w="2835"/>
            <w:shd w:val="clear" w:color="auto" w:fill="F2F0EA"/>
          </w:tcPr>
          <w:p>
            <w:pPr>
              <w:spacing w:after="0" w:line="240" w:lineRule="auto"/>
            </w:pPr>
            <w:r/>
            <w:r>
              <w:rPr>
                <w:b/>
                <w:i w:val="0"/>
                <w:sz w:val="19"/>
              </w:rPr>
              <w:t>Vendors</w:t>
            </w:r>
          </w:p>
        </w:tc>
        <w:tc>
          <w:tcPr>
            <w:tcW w:type="dxa" w:w="6803"/>
          </w:tcPr>
          <w:p>
            <w:pPr>
              <w:spacing w:after="0" w:line="240" w:lineRule="auto"/>
            </w:pPr>
            <w:r/>
            <w:r>
              <w:rPr>
                <w:b w:val="0"/>
                <w:i w:val="0"/>
                <w:sz w:val="19"/>
              </w:rPr>
              <w:t>Nirvana Farm Limited (In Receivership); and Andrew Grenfell and Kare Johnstone (McGrathNicol) as receivers of 27 Makowhai Trust titles</w:t>
            </w:r>
          </w:p>
        </w:tc>
      </w:tr>
    </w:tbl>
    <w:p>
      <w:pPr>
        <w:spacing w:after="40"/>
      </w:pPr>
    </w:p>
    <w:p>
      <w:pPr>
        <w:pStyle w:val="Heading2"/>
      </w:pPr>
      <w:r>
        <w:t>How to use this draft</w:t>
      </w:r>
    </w:p>
    <w:p>
      <w:r>
        <w:rPr>
          <w:b w:val="0"/>
          <w:i w:val="0"/>
        </w:rPr>
        <w:t>This document carries the words, figures, tables and charts that fill the designer's IM template. It follows the IM page order: executive summary, estate summary, then one summary per block. Blocks are ordered by location and size with the Pinus radiata blocks first.</w:t>
      </w:r>
    </w:p>
    <w:p>
      <w:pPr>
        <w:pStyle w:val="ListBullet"/>
        <w:spacing w:after="40"/>
      </w:pPr>
      <w:r>
        <w:rPr>
          <w:b w:val="0"/>
          <w:i w:val="0"/>
        </w:rPr>
        <w:t xml:space="preserve">Red </w:t>
      </w:r>
      <w:r>
        <w:rPr>
          <w:b/>
          <w:i w:val="0"/>
          <w:color w:val="B01E1E"/>
        </w:rPr>
        <w:t>[TBC]</w:t>
      </w:r>
      <w:r>
        <w:rPr>
          <w:b w:val="0"/>
          <w:i w:val="0"/>
        </w:rPr>
        <w:t xml:space="preserve"> text marks facts not yet on file or not yet confirmed by the Receivers; a consolidated list is in Appendix B.</w:t>
      </w:r>
    </w:p>
    <w:p>
      <w:pPr>
        <w:pStyle w:val="ListBullet"/>
        <w:spacing w:after="40"/>
      </w:pPr>
      <w:r>
        <w:rPr>
          <w:b w:val="0"/>
          <w:i w:val="0"/>
        </w:rPr>
        <w:t>Grey 'internal note' boxes are for the Searle team and the designer and are not IM copy.</w:t>
      </w:r>
    </w:p>
    <w:p>
      <w:pPr>
        <w:pStyle w:val="ListBullet"/>
        <w:spacing w:after="40"/>
      </w:pPr>
      <w:r>
        <w:rPr>
          <w:b w:val="0"/>
          <w:i w:val="0"/>
        </w:rPr>
        <w:t>Charts are supplied as PNG files in the IM/charts folder beside this document and can be rebuilt from the same data.</w:t>
      </w:r>
    </w:p>
    <w:p>
      <w:pPr>
        <w:pStyle w:val="ListBullet"/>
        <w:spacing w:after="40"/>
      </w:pPr>
      <w:r>
        <w:rPr>
          <w:b w:val="0"/>
          <w:i w:val="0"/>
        </w:rPr>
        <w:t>All areas are LINZ record-of-title areas; land-cover areas are GIS-derived from the July 2026 appraisal mapping and are approximate. No valuation figures are included – appraisal values stay out of the IM.</w:t>
      </w:r>
    </w:p>
    <w:p>
      <w:pPr>
        <w:shd w:val="clear" w:color="auto" w:fill="F2F0EA"/>
        <w:spacing w:after="160"/>
        <w:ind w:left="113"/>
      </w:pPr>
      <w:r>
        <w:rPr>
          <w:b/>
          <w:color w:val="6B6B60"/>
          <w:sz w:val="18"/>
        </w:rPr>
        <w:t xml:space="preserve">Internal note – not for the IM: </w:t>
      </w:r>
      <w:r>
        <w:rPr>
          <w:b w:val="0"/>
          <w:i w:val="0"/>
          <w:color w:val="3A3A35"/>
          <w:sz w:val="18"/>
        </w:rPr>
        <w:t>Branding: the designer's draft uses the Searle Agribusiness template and @searleagri.co.nz contacts, but the agency agreements are with Forestry Sales Limited trading as Searle Forestry. This draft uses Searle Forestry details – please confirm which brand the IM should carry before layout.</w:t>
      </w:r>
    </w:p>
    <w:p>
      <w:r>
        <w:br w:type="page"/>
      </w:r>
    </w:p>
    <w:p>
      <w:pPr>
        <w:pStyle w:val="Heading1"/>
      </w:pPr>
      <w:r>
        <w:t>1  Executive summary</w:t>
      </w:r>
    </w:p>
    <w:p>
      <w:r>
        <w:rPr>
          <w:b w:val="0"/>
          <w:i w:val="0"/>
        </w:rPr>
        <w:t>Nirvana Farms is a 13,800 hectare forestry and carbon estate across the hill country between Waverley, the Waitōtara Valley and Whangamomona in eastern Taranaki, with one outlying block near Ōpōtiki. It is offered for sale by the receivers of Nirvana Farm Limited and of the Makowhai Trust titles, as a whole or in parts, by expressions of interest.</w:t>
      </w:r>
    </w:p>
    <w:p>
      <w:r>
        <w:rPr>
          <w:b w:val="0"/>
          <w:i w:val="0"/>
        </w:rPr>
        <w:t>The estate comprises 16 blocks in 56 freehold and Crown-leasehold titles, together with two registered forestry rights held by Nirvana Farm Limited, including a right over a further 362 ha at Soldiers Road. About 2,597 ha of Pinus radiata was established across eight blocks between 2022 and 2024 and is registered in the New Zealand Emissions Trading Scheme (ETS), most of it under averaging accounting. A further 9,190 ha is native bush and regenerating mānuka/kānuka, and roughly 2,141 ha is open hill-country grassland, of which about 3,190 ha is indicatively post-1989 land and potentially eligible for ETS registration.</w:t>
      </w:r>
    </w:p>
    <w:p>
      <w:r>
        <w:rPr>
          <w:b w:val="0"/>
          <w:i w:val="0"/>
        </w:rPr>
        <w:t xml:space="preserve">An independent ground survey by PF Olsen in April 2026 found 1,673 ha of the young crop adequately stocked (above 850 stems/ha) and programmed 406 ha of replanting and 417 ha of blanking for the 2026 season, restoring about 2,497 ha of adequately stocked crop. That programme has been carried out ahead of schedule and is due to be complete by the end of September 2026 </w:t>
      </w:r>
      <w:r>
        <w:rPr>
          <w:b/>
          <w:i w:val="0"/>
          <w:color w:val="B01E1E"/>
        </w:rPr>
        <w:t>[TBC – confirm completion]</w:t>
      </w:r>
      <w:r>
        <w:rPr>
          <w:b w:val="0"/>
          <w:i w:val="0"/>
        </w:rPr>
        <w:t>; completion certification, survival plots and an independent third-party review of the planted areas will be provided in the data room. A further 219 ha of plantable open ground has been identified on four blocks.</w:t>
      </w:r>
    </w:p>
    <w:p>
      <w:r>
        <w:rPr>
          <w:b w:val="0"/>
          <w:i w:val="0"/>
        </w:rPr>
        <w:t xml:space="preserve">The carbon position is substantial. MPI land status reports record about 2,740 ha of registered carbon accounting areas across the estate with a combined unit balance of roughly 149,500 NZUs, including two permanent-forest accounting areas of older radiata at Longreach and Back Farm. The NFL carbon account is controlled by NZGT as trustee, which will control the transfer of units at settlement; NZUs are to be transferred with the property </w:t>
      </w:r>
      <w:r>
        <w:rPr>
          <w:b/>
          <w:i w:val="0"/>
          <w:color w:val="B01E1E"/>
        </w:rPr>
        <w:t>[TBC – NZU balance and treatment of the forward sale to the financier]</w:t>
      </w:r>
      <w:r>
        <w:rPr>
          <w:b w:val="0"/>
          <w:i w:val="0"/>
        </w:rPr>
        <w:t>.</w:t>
      </w:r>
    </w:p>
    <w:p>
      <w:r>
        <w:rPr>
          <w:b w:val="0"/>
          <w:i w:val="0"/>
        </w:rPr>
        <w:t>About 2,260 ha of Front Farm, the Eastern Block and one Puau Road Crown lease is subject to a grazing lease to Pukekahu Farms Limited expiring 31 December 2029; rent for the full term has been prepaid and the lease may be terminated by the landlord on five months' notice. Farming continues and stock will be present on parts of the estate. The former owner's honey business, the Magons property and the private residence are not included.</w:t>
      </w:r>
    </w:p>
    <w:p>
      <w:r>
        <w:rPr>
          <w:b w:val="0"/>
          <w:i w:val="0"/>
        </w:rPr>
        <w:t>The estate is being offered by expression of interest with international coverage so that the process can be tailored to purchasers' needs – whether for the whole estate, the planted forest blocks, or the native and mānuka blocks separately. The sale is a receivership sale on an "as is, where is" basis.</w:t>
      </w:r>
    </w:p>
    <w:p>
      <w:pPr>
        <w:pStyle w:val="Heading2"/>
      </w:pPr>
      <w:r>
        <w:t>Key facts</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4819"/>
        <w:gridCol w:w="4819"/>
      </w:tblGrid>
      <w:tr>
        <w:tc>
          <w:tcPr>
            <w:tcW w:type="dxa" w:w="2835"/>
            <w:shd w:val="clear" w:color="auto" w:fill="F2F0EA"/>
          </w:tcPr>
          <w:p>
            <w:pPr>
              <w:spacing w:after="0" w:line="240" w:lineRule="auto"/>
            </w:pPr>
            <w:r/>
            <w:r>
              <w:rPr>
                <w:b/>
                <w:i w:val="0"/>
                <w:sz w:val="19"/>
              </w:rPr>
              <w:t>Vendor</w:t>
            </w:r>
          </w:p>
        </w:tc>
        <w:tc>
          <w:tcPr>
            <w:tcW w:type="dxa" w:w="6803"/>
          </w:tcPr>
          <w:p>
            <w:pPr>
              <w:spacing w:after="0" w:line="240" w:lineRule="auto"/>
            </w:pPr>
            <w:r/>
            <w:r>
              <w:rPr>
                <w:b w:val="0"/>
                <w:i w:val="0"/>
                <w:sz w:val="19"/>
              </w:rPr>
              <w:t>Nirvana Farm Limited (In Receivership) and the receivers of the Makowhai Trust titles – Andrew Grenfell and Kare Johnstone, McGrathNicol</w:t>
            </w:r>
          </w:p>
        </w:tc>
      </w:tr>
      <w:tr>
        <w:tc>
          <w:tcPr>
            <w:tcW w:type="dxa" w:w="2835"/>
            <w:shd w:val="clear" w:color="auto" w:fill="F2F0EA"/>
          </w:tcPr>
          <w:p>
            <w:pPr>
              <w:spacing w:after="0" w:line="240" w:lineRule="auto"/>
            </w:pPr>
            <w:r/>
            <w:r>
              <w:rPr>
                <w:b/>
                <w:i w:val="0"/>
                <w:sz w:val="19"/>
              </w:rPr>
              <w:t>Estate type</w:t>
            </w:r>
          </w:p>
        </w:tc>
        <w:tc>
          <w:tcPr>
            <w:tcW w:type="dxa" w:w="6803"/>
          </w:tcPr>
          <w:p>
            <w:pPr>
              <w:spacing w:after="0" w:line="240" w:lineRule="auto"/>
            </w:pPr>
            <w:r/>
            <w:r>
              <w:rPr>
                <w:b w:val="0"/>
                <w:i w:val="0"/>
                <w:sz w:val="19"/>
              </w:rPr>
              <w:t>Forestry and carbon estate – young Pinus radiata, permanent and regenerating forest, native bush and mānuka/kānuka</w:t>
            </w:r>
          </w:p>
        </w:tc>
      </w:tr>
      <w:tr>
        <w:tc>
          <w:tcPr>
            <w:tcW w:type="dxa" w:w="2835"/>
            <w:shd w:val="clear" w:color="auto" w:fill="F2F0EA"/>
          </w:tcPr>
          <w:p>
            <w:pPr>
              <w:spacing w:after="0" w:line="240" w:lineRule="auto"/>
            </w:pPr>
            <w:r/>
            <w:r>
              <w:rPr>
                <w:b/>
                <w:i w:val="0"/>
                <w:sz w:val="19"/>
              </w:rPr>
              <w:t>Tenure</w:t>
            </w:r>
          </w:p>
        </w:tc>
        <w:tc>
          <w:tcPr>
            <w:tcW w:type="dxa" w:w="6803"/>
          </w:tcPr>
          <w:p>
            <w:pPr>
              <w:spacing w:after="0" w:line="240" w:lineRule="auto"/>
            </w:pPr>
            <w:r/>
            <w:r>
              <w:rPr>
                <w:b w:val="0"/>
                <w:i w:val="0"/>
                <w:sz w:val="19"/>
              </w:rPr>
              <w:t>Freehold (54 titles) and two Crown renewable leases (s82 Land Act 1948, Puau Road); two registered forestry rights held by Nirvana Farm Limited</w:t>
            </w:r>
          </w:p>
        </w:tc>
      </w:tr>
      <w:tr>
        <w:tc>
          <w:tcPr>
            <w:tcW w:type="dxa" w:w="2835"/>
            <w:shd w:val="clear" w:color="auto" w:fill="F2F0EA"/>
          </w:tcPr>
          <w:p>
            <w:pPr>
              <w:spacing w:after="0" w:line="240" w:lineRule="auto"/>
            </w:pPr>
            <w:r/>
            <w:r>
              <w:rPr>
                <w:b/>
                <w:i w:val="0"/>
                <w:sz w:val="19"/>
              </w:rPr>
              <w:t>Total titled area</w:t>
            </w:r>
          </w:p>
        </w:tc>
        <w:tc>
          <w:tcPr>
            <w:tcW w:type="dxa" w:w="6803"/>
          </w:tcPr>
          <w:p>
            <w:pPr>
              <w:spacing w:after="0" w:line="240" w:lineRule="auto"/>
            </w:pPr>
            <w:r/>
            <w:r>
              <w:rPr>
                <w:b w:val="0"/>
                <w:i w:val="0"/>
                <w:sz w:val="19"/>
              </w:rPr>
              <w:t>13,832 ha in 16 blocks (6,045 ha NFL, 7,787 ha Makowhai Trust) plus a forestry right over 362 ha at Soldiers Road</w:t>
            </w:r>
          </w:p>
        </w:tc>
      </w:tr>
      <w:tr>
        <w:tc>
          <w:tcPr>
            <w:tcW w:type="dxa" w:w="2835"/>
            <w:shd w:val="clear" w:color="auto" w:fill="F2F0EA"/>
          </w:tcPr>
          <w:p>
            <w:pPr>
              <w:spacing w:after="0" w:line="240" w:lineRule="auto"/>
            </w:pPr>
            <w:r/>
            <w:r>
              <w:rPr>
                <w:b/>
                <w:i w:val="0"/>
                <w:sz w:val="19"/>
              </w:rPr>
              <w:t>Planted area</w:t>
            </w:r>
          </w:p>
        </w:tc>
        <w:tc>
          <w:tcPr>
            <w:tcW w:type="dxa" w:w="6803"/>
          </w:tcPr>
          <w:p>
            <w:pPr>
              <w:spacing w:after="0" w:line="240" w:lineRule="auto"/>
            </w:pPr>
            <w:r/>
            <w:r>
              <w:rPr>
                <w:b w:val="0"/>
                <w:i w:val="0"/>
                <w:sz w:val="19"/>
              </w:rPr>
              <w:t>2,597 ha Pinus radiata (2022–2024 plantings) including 176 ha under the Soldiers Road forestry right; 2,497 ha adequately stocked after the 2026 programme</w:t>
            </w:r>
          </w:p>
        </w:tc>
      </w:tr>
      <w:tr>
        <w:tc>
          <w:tcPr>
            <w:tcW w:type="dxa" w:w="2835"/>
            <w:shd w:val="clear" w:color="auto" w:fill="F2F0EA"/>
          </w:tcPr>
          <w:p>
            <w:pPr>
              <w:spacing w:after="0" w:line="240" w:lineRule="auto"/>
            </w:pPr>
            <w:r/>
            <w:r>
              <w:rPr>
                <w:b/>
                <w:i w:val="0"/>
                <w:sz w:val="19"/>
              </w:rPr>
              <w:t>Native and scrub</w:t>
            </w:r>
          </w:p>
        </w:tc>
        <w:tc>
          <w:tcPr>
            <w:tcW w:type="dxa" w:w="6803"/>
          </w:tcPr>
          <w:p>
            <w:pPr>
              <w:spacing w:after="0" w:line="240" w:lineRule="auto"/>
            </w:pPr>
            <w:r/>
            <w:r>
              <w:rPr>
                <w:b w:val="0"/>
                <w:i w:val="0"/>
                <w:sz w:val="19"/>
              </w:rPr>
              <w:t>4,673 ha native bush and 4,518 ha mānuka/kānuka/scrub</w:t>
            </w:r>
          </w:p>
        </w:tc>
      </w:tr>
      <w:tr>
        <w:tc>
          <w:tcPr>
            <w:tcW w:type="dxa" w:w="2835"/>
            <w:shd w:val="clear" w:color="auto" w:fill="F2F0EA"/>
          </w:tcPr>
          <w:p>
            <w:pPr>
              <w:spacing w:after="0" w:line="240" w:lineRule="auto"/>
            </w:pPr>
            <w:r/>
            <w:r>
              <w:rPr>
                <w:b/>
                <w:i w:val="0"/>
                <w:sz w:val="19"/>
              </w:rPr>
              <w:t>Open grassland</w:t>
            </w:r>
          </w:p>
        </w:tc>
        <w:tc>
          <w:tcPr>
            <w:tcW w:type="dxa" w:w="6803"/>
          </w:tcPr>
          <w:p>
            <w:pPr>
              <w:spacing w:after="0" w:line="240" w:lineRule="auto"/>
            </w:pPr>
            <w:r/>
            <w:r>
              <w:rPr>
                <w:b w:val="0"/>
                <w:i w:val="0"/>
                <w:sz w:val="19"/>
              </w:rPr>
              <w:t>about 2,141 ha, of which about 3,190 ha is indicatively ETS-eligible (post-1989)</w:t>
            </w:r>
          </w:p>
        </w:tc>
      </w:tr>
      <w:tr>
        <w:tc>
          <w:tcPr>
            <w:tcW w:type="dxa" w:w="2835"/>
            <w:shd w:val="clear" w:color="auto" w:fill="F2F0EA"/>
          </w:tcPr>
          <w:p>
            <w:pPr>
              <w:spacing w:after="0" w:line="240" w:lineRule="auto"/>
            </w:pPr>
            <w:r/>
            <w:r>
              <w:rPr>
                <w:b/>
                <w:i w:val="0"/>
                <w:sz w:val="19"/>
              </w:rPr>
              <w:t>ETS</w:t>
            </w:r>
          </w:p>
        </w:tc>
        <w:tc>
          <w:tcPr>
            <w:tcW w:type="dxa" w:w="6803"/>
          </w:tcPr>
          <w:p>
            <w:pPr>
              <w:spacing w:after="0" w:line="240" w:lineRule="auto"/>
            </w:pPr>
            <w:r/>
            <w:r>
              <w:rPr>
                <w:b w:val="0"/>
                <w:i w:val="0"/>
                <w:sz w:val="19"/>
              </w:rPr>
              <w:t>Registered by Nirvana Farm Limited (NZ-10251) and Makowhai Station (NZ-1181); about 2,740 ha of carbon accounting areas, mostly averaging; two permanent-forest CAAs to 2060</w:t>
            </w:r>
          </w:p>
        </w:tc>
      </w:tr>
      <w:tr>
        <w:tc>
          <w:tcPr>
            <w:tcW w:type="dxa" w:w="2835"/>
            <w:shd w:val="clear" w:color="auto" w:fill="F2F0EA"/>
          </w:tcPr>
          <w:p>
            <w:pPr>
              <w:spacing w:after="0" w:line="240" w:lineRule="auto"/>
            </w:pPr>
            <w:r/>
            <w:r>
              <w:rPr>
                <w:b/>
                <w:i w:val="0"/>
                <w:sz w:val="19"/>
              </w:rPr>
              <w:t>NZU balance</w:t>
            </w:r>
          </w:p>
        </w:tc>
        <w:tc>
          <w:tcPr>
            <w:tcW w:type="dxa" w:w="6803"/>
          </w:tcPr>
          <w:p>
            <w:pPr>
              <w:spacing w:after="0" w:line="240" w:lineRule="auto"/>
            </w:pPr>
            <w:r/>
            <w:r>
              <w:rPr>
                <w:b w:val="0"/>
                <w:i w:val="0"/>
                <w:sz w:val="19"/>
              </w:rPr>
              <w:t xml:space="preserve">CAA unit balance about 149,500 NZUs per MPI land status reports </w:t>
            </w:r>
            <w:r>
              <w:rPr>
                <w:b/>
                <w:i w:val="0"/>
                <w:color w:val="B01E1E"/>
                <w:sz w:val="19"/>
              </w:rPr>
              <w:t>[TBC – holding account balance from NZGT / JTL]</w:t>
            </w:r>
          </w:p>
        </w:tc>
      </w:tr>
      <w:tr>
        <w:tc>
          <w:tcPr>
            <w:tcW w:type="dxa" w:w="2835"/>
            <w:shd w:val="clear" w:color="auto" w:fill="F2F0EA"/>
          </w:tcPr>
          <w:p>
            <w:pPr>
              <w:spacing w:after="0" w:line="240" w:lineRule="auto"/>
            </w:pPr>
            <w:r/>
            <w:r>
              <w:rPr>
                <w:b/>
                <w:i w:val="0"/>
                <w:sz w:val="19"/>
              </w:rPr>
              <w:t>Leased area</w:t>
            </w:r>
          </w:p>
        </w:tc>
        <w:tc>
          <w:tcPr>
            <w:tcW w:type="dxa" w:w="6803"/>
          </w:tcPr>
          <w:p>
            <w:pPr>
              <w:spacing w:after="0" w:line="240" w:lineRule="auto"/>
            </w:pPr>
            <w:r/>
            <w:r>
              <w:rPr>
                <w:b w:val="0"/>
                <w:i w:val="0"/>
                <w:sz w:val="19"/>
              </w:rPr>
              <w:t>About 2,260 ha to Pukekahu Farms Limited, five-year term to 31 December 2029, rent prepaid</w:t>
            </w:r>
          </w:p>
        </w:tc>
      </w:tr>
      <w:tr>
        <w:tc>
          <w:tcPr>
            <w:tcW w:type="dxa" w:w="2835"/>
            <w:shd w:val="clear" w:color="auto" w:fill="F2F0EA"/>
          </w:tcPr>
          <w:p>
            <w:pPr>
              <w:spacing w:after="0" w:line="240" w:lineRule="auto"/>
            </w:pPr>
            <w:r/>
            <w:r>
              <w:rPr>
                <w:b/>
                <w:i w:val="0"/>
                <w:sz w:val="19"/>
              </w:rPr>
              <w:t>Territorial authorities</w:t>
            </w:r>
          </w:p>
        </w:tc>
        <w:tc>
          <w:tcPr>
            <w:tcW w:type="dxa" w:w="6803"/>
          </w:tcPr>
          <w:p>
            <w:pPr>
              <w:spacing w:after="0" w:line="240" w:lineRule="auto"/>
            </w:pPr>
            <w:r/>
            <w:r>
              <w:rPr>
                <w:b w:val="0"/>
                <w:i w:val="0"/>
                <w:sz w:val="19"/>
              </w:rPr>
              <w:t xml:space="preserve">South Taranaki, Stratford, Whanganui and Ōpōtiki District Councils </w:t>
            </w:r>
            <w:r>
              <w:rPr>
                <w:b/>
                <w:i w:val="0"/>
                <w:color w:val="B01E1E"/>
                <w:sz w:val="19"/>
              </w:rPr>
              <w:t>[TBC per title]</w:t>
            </w:r>
          </w:p>
        </w:tc>
      </w:tr>
      <w:tr>
        <w:tc>
          <w:tcPr>
            <w:tcW w:type="dxa" w:w="2835"/>
            <w:shd w:val="clear" w:color="auto" w:fill="F2F0EA"/>
          </w:tcPr>
          <w:p>
            <w:pPr>
              <w:spacing w:after="0" w:line="240" w:lineRule="auto"/>
            </w:pPr>
            <w:r/>
            <w:r>
              <w:rPr>
                <w:b/>
                <w:i w:val="0"/>
                <w:sz w:val="19"/>
              </w:rPr>
              <w:t>Regional councils</w:t>
            </w:r>
          </w:p>
        </w:tc>
        <w:tc>
          <w:tcPr>
            <w:tcW w:type="dxa" w:w="6803"/>
          </w:tcPr>
          <w:p>
            <w:pPr>
              <w:spacing w:after="0" w:line="240" w:lineRule="auto"/>
            </w:pPr>
            <w:r/>
            <w:r>
              <w:rPr>
                <w:b w:val="0"/>
                <w:i w:val="0"/>
                <w:sz w:val="19"/>
              </w:rPr>
              <w:t>Taranaki, Horizons (Manawatū-Whanganui) and Bay of Plenty Regional Councils</w:t>
            </w:r>
          </w:p>
        </w:tc>
      </w:tr>
      <w:tr>
        <w:tc>
          <w:tcPr>
            <w:tcW w:type="dxa" w:w="2835"/>
            <w:shd w:val="clear" w:color="auto" w:fill="F2F0EA"/>
          </w:tcPr>
          <w:p>
            <w:pPr>
              <w:spacing w:after="0" w:line="240" w:lineRule="auto"/>
            </w:pPr>
            <w:r/>
            <w:r>
              <w:rPr>
                <w:b/>
                <w:i w:val="0"/>
                <w:sz w:val="19"/>
              </w:rPr>
              <w:t>Zoning</w:t>
            </w:r>
          </w:p>
        </w:tc>
        <w:tc>
          <w:tcPr>
            <w:tcW w:type="dxa" w:w="6803"/>
          </w:tcPr>
          <w:p>
            <w:pPr>
              <w:spacing w:after="0" w:line="240" w:lineRule="auto"/>
            </w:pPr>
            <w:r/>
            <w:r>
              <w:rPr>
                <w:b w:val="0"/>
                <w:i w:val="0"/>
                <w:sz w:val="19"/>
              </w:rPr>
              <w:t xml:space="preserve">Rural </w:t>
            </w:r>
            <w:r>
              <w:rPr>
                <w:b/>
                <w:i w:val="0"/>
                <w:color w:val="B01E1E"/>
                <w:sz w:val="19"/>
              </w:rPr>
              <w:t>[TBC per district plan]</w:t>
            </w:r>
          </w:p>
        </w:tc>
      </w:tr>
      <w:tr>
        <w:tc>
          <w:tcPr>
            <w:tcW w:type="dxa" w:w="2835"/>
            <w:shd w:val="clear" w:color="auto" w:fill="F2F0EA"/>
          </w:tcPr>
          <w:p>
            <w:pPr>
              <w:spacing w:after="0" w:line="240" w:lineRule="auto"/>
            </w:pPr>
            <w:r/>
            <w:r>
              <w:rPr>
                <w:b/>
                <w:i w:val="0"/>
                <w:sz w:val="19"/>
              </w:rPr>
              <w:t>Legal access</w:t>
            </w:r>
          </w:p>
        </w:tc>
        <w:tc>
          <w:tcPr>
            <w:tcW w:type="dxa" w:w="6803"/>
          </w:tcPr>
          <w:p>
            <w:pPr>
              <w:spacing w:after="0" w:line="240" w:lineRule="auto"/>
            </w:pPr>
            <w:r/>
            <w:r>
              <w:rPr>
                <w:b w:val="0"/>
                <w:i w:val="0"/>
                <w:sz w:val="19"/>
              </w:rPr>
              <w:t xml:space="preserve">Road frontage to most blocks; no legal access issues known. Parts of Front Farm, the Eastern Block and Puau Road are worked through neighbouring properties </w:t>
            </w:r>
            <w:r>
              <w:rPr>
                <w:b/>
                <w:i w:val="0"/>
                <w:color w:val="B01E1E"/>
                <w:sz w:val="19"/>
              </w:rPr>
              <w:t>[TBC – access details from Stand]</w:t>
            </w:r>
          </w:p>
        </w:tc>
      </w:tr>
      <w:tr>
        <w:tc>
          <w:tcPr>
            <w:tcW w:type="dxa" w:w="2835"/>
            <w:shd w:val="clear" w:color="auto" w:fill="F2F0EA"/>
          </w:tcPr>
          <w:p>
            <w:pPr>
              <w:spacing w:after="0" w:line="240" w:lineRule="auto"/>
            </w:pPr>
            <w:r/>
            <w:r>
              <w:rPr>
                <w:b/>
                <w:i w:val="0"/>
                <w:sz w:val="19"/>
              </w:rPr>
              <w:t>Rating valuation / rates</w:t>
            </w:r>
          </w:p>
        </w:tc>
        <w:tc>
          <w:tcPr>
            <w:tcW w:type="dxa" w:w="6803"/>
          </w:tcPr>
          <w:p>
            <w:pPr>
              <w:spacing w:after="0" w:line="240" w:lineRule="auto"/>
            </w:pPr>
            <w:r/>
            <w:r>
              <w:rPr>
                <w:b/>
                <w:i w:val="0"/>
                <w:color w:val="B01E1E"/>
                <w:sz w:val="19"/>
              </w:rPr>
              <w:t>[TBC – rating valuations and annual rates for all 56 titles]</w:t>
            </w:r>
          </w:p>
        </w:tc>
      </w:tr>
      <w:tr>
        <w:tc>
          <w:tcPr>
            <w:tcW w:type="dxa" w:w="2835"/>
            <w:shd w:val="clear" w:color="auto" w:fill="F2F0EA"/>
          </w:tcPr>
          <w:p>
            <w:pPr>
              <w:spacing w:after="0" w:line="240" w:lineRule="auto"/>
            </w:pPr>
            <w:r/>
            <w:r>
              <w:rPr>
                <w:b/>
                <w:i w:val="0"/>
                <w:sz w:val="19"/>
              </w:rPr>
              <w:t>Sale method</w:t>
            </w:r>
          </w:p>
        </w:tc>
        <w:tc>
          <w:tcPr>
            <w:tcW w:type="dxa" w:w="6803"/>
          </w:tcPr>
          <w:p>
            <w:pPr>
              <w:spacing w:after="0" w:line="240" w:lineRule="auto"/>
            </w:pPr>
            <w:r/>
            <w:r>
              <w:rPr>
                <w:b w:val="0"/>
                <w:i w:val="0"/>
                <w:sz w:val="19"/>
              </w:rPr>
              <w:t xml:space="preserve">Expressions of interest closing </w:t>
            </w:r>
            <w:r>
              <w:rPr>
                <w:b/>
                <w:i w:val="0"/>
                <w:color w:val="B01E1E"/>
                <w:sz w:val="19"/>
              </w:rPr>
              <w:t>[TBC date and time]</w:t>
            </w:r>
            <w:r>
              <w:rPr>
                <w:b w:val="0"/>
                <w:i w:val="0"/>
                <w:sz w:val="19"/>
              </w:rPr>
              <w:t>, plus GST (if any)</w:t>
            </w:r>
          </w:p>
        </w:tc>
      </w:tr>
    </w:tbl>
    <w:p>
      <w:pPr>
        <w:spacing w:after="40"/>
      </w:pPr>
    </w:p>
    <w:p>
      <w:pPr>
        <w:pStyle w:val="Heading2"/>
      </w:pPr>
      <w:r>
        <w:t>Investment highlights</w:t>
      </w:r>
    </w:p>
    <w:p>
      <w:pPr>
        <w:pStyle w:val="ListBullet"/>
        <w:spacing w:after="40"/>
      </w:pPr>
      <w:r>
        <w:rPr>
          <w:b w:val="0"/>
          <w:i w:val="0"/>
        </w:rPr>
        <w:t>Scale: one of the largest forestry and carbon land holdings offered in the lower North Island, with 56 titles in four locations that can be taken as a whole or in parts.</w:t>
      </w:r>
    </w:p>
    <w:p>
      <w:pPr>
        <w:pStyle w:val="ListBullet"/>
        <w:spacing w:after="40"/>
      </w:pPr>
      <w:r>
        <w:rPr>
          <w:b w:val="0"/>
          <w:i w:val="0"/>
        </w:rPr>
        <w:t xml:space="preserve">2,597 ha of young Pinus radiata registered in the ETS under averaging, with a 2026 remediation programme completed by the vendor </w:t>
      </w:r>
      <w:r>
        <w:rPr>
          <w:b/>
          <w:i w:val="0"/>
          <w:color w:val="B01E1E"/>
        </w:rPr>
        <w:t>[TBC]</w:t>
      </w:r>
      <w:r>
        <w:rPr>
          <w:b w:val="0"/>
          <w:i w:val="0"/>
        </w:rPr>
        <w:t>.</w:t>
      </w:r>
    </w:p>
    <w:p>
      <w:pPr>
        <w:pStyle w:val="ListBullet"/>
        <w:spacing w:after="40"/>
      </w:pPr>
      <w:r>
        <w:rPr>
          <w:b w:val="0"/>
          <w:i w:val="0"/>
        </w:rPr>
        <w:t>Permanent-forest carbon accounting areas of older radiata at Longreach and Back Farm with a combined unit balance of about 102,000 NZUs to 2060.</w:t>
      </w:r>
    </w:p>
    <w:p>
      <w:pPr>
        <w:pStyle w:val="ListBullet"/>
        <w:spacing w:after="40"/>
      </w:pPr>
      <w:r>
        <w:rPr>
          <w:b w:val="0"/>
          <w:i w:val="0"/>
        </w:rPr>
        <w:t>About 3,190 ha of indicatively ETS-eligible open and scrub land and 219 ha of identified plantable ground for further afforestation.</w:t>
      </w:r>
    </w:p>
    <w:p>
      <w:pPr>
        <w:pStyle w:val="ListBullet"/>
        <w:spacing w:after="40"/>
      </w:pPr>
      <w:r>
        <w:rPr>
          <w:b w:val="0"/>
          <w:i w:val="0"/>
        </w:rPr>
        <w:t>Large mānuka/kānuka and native forest areas suited to honey, regeneration and biodiversity uses.</w:t>
      </w:r>
    </w:p>
    <w:p>
      <w:pPr>
        <w:pStyle w:val="ListBullet"/>
        <w:spacing w:after="40"/>
      </w:pPr>
      <w:r>
        <w:rPr>
          <w:b w:val="0"/>
          <w:i w:val="0"/>
        </w:rPr>
        <w:t>Receivership sale with a clear EOI process and a full data room: titles, forestry rights, lease, ETS land status reports, CAA geospatial data and the PF Olsen survey.</w:t>
      </w:r>
    </w:p>
    <w:p>
      <w:pPr>
        <w:shd w:val="clear" w:color="auto" w:fill="F2F0EA"/>
        <w:spacing w:after="160"/>
        <w:ind w:left="113"/>
      </w:pPr>
      <w:r>
        <w:rPr>
          <w:b/>
          <w:color w:val="6B6B60"/>
          <w:sz w:val="18"/>
        </w:rPr>
        <w:t xml:space="preserve">Internal note – not for the IM: </w:t>
      </w:r>
      <w:r>
        <w:rPr>
          <w:b w:val="0"/>
          <w:i w:val="0"/>
          <w:color w:val="3A3A35"/>
          <w:sz w:val="18"/>
        </w:rPr>
        <w:t>The exec summary tiles on IM page 4 map to the Key facts table above. The planted-area tile should read '2,597 ha' (including the Soldiers Road forestry right) or '2,421 ha' (land in the sale only) – pick one and use it consistently.</w:t>
      </w:r>
    </w:p>
    <w:p>
      <w:r>
        <w:br w:type="page"/>
      </w:r>
    </w:p>
    <w:p>
      <w:pPr>
        <w:pStyle w:val="Heading1"/>
      </w:pPr>
      <w:r>
        <w:t>2  Estate summary</w:t>
      </w:r>
    </w:p>
    <w:p>
      <w:pPr>
        <w:pStyle w:val="Heading2"/>
      </w:pPr>
      <w:r>
        <w:t>2.1  The estate at a glance</w:t>
      </w:r>
    </w:p>
    <w:p>
      <w:r>
        <w:rPr>
          <w:b w:val="0"/>
          <w:i w:val="0"/>
        </w:rPr>
        <w:t>The estate falls into four locations. Three are in the Taranaki–Whanganui hill country within about an hour and a half of Whanganui or Stratford; the fourth, Pakihi, is an outlying mānuka block inland from Ōpōtiki.</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1377"/>
        <w:gridCol w:w="1377"/>
        <w:gridCol w:w="1377"/>
        <w:gridCol w:w="1377"/>
        <w:gridCol w:w="1377"/>
        <w:gridCol w:w="1377"/>
        <w:gridCol w:w="1377"/>
      </w:tblGrid>
      <w:tr>
        <w:tc>
          <w:tcPr>
            <w:tcW w:type="dxa" w:w="1871"/>
            <w:shd w:val="clear" w:color="auto" w:fill="DBD2C3"/>
          </w:tcPr>
          <w:p>
            <w:pPr>
              <w:spacing w:after="0" w:line="240" w:lineRule="auto"/>
            </w:pPr>
            <w:r/>
            <w:r>
              <w:rPr>
                <w:b/>
                <w:i w:val="0"/>
                <w:sz w:val="17"/>
              </w:rPr>
              <w:t>Block</w:t>
            </w:r>
          </w:p>
        </w:tc>
        <w:tc>
          <w:tcPr>
            <w:tcW w:type="dxa" w:w="794"/>
            <w:shd w:val="clear" w:color="auto" w:fill="DBD2C3"/>
          </w:tcPr>
          <w:p>
            <w:pPr>
              <w:spacing w:after="0" w:line="240" w:lineRule="auto"/>
            </w:pPr>
            <w:r/>
            <w:r>
              <w:rPr>
                <w:b/>
                <w:i w:val="0"/>
                <w:sz w:val="17"/>
              </w:rPr>
              <w:t>Location</w:t>
            </w:r>
          </w:p>
        </w:tc>
        <w:tc>
          <w:tcPr>
            <w:tcW w:type="dxa" w:w="1474"/>
            <w:shd w:val="clear" w:color="auto" w:fill="DBD2C3"/>
          </w:tcPr>
          <w:p>
            <w:pPr>
              <w:spacing w:after="0" w:line="240" w:lineRule="auto"/>
            </w:pPr>
            <w:r/>
            <w:r>
              <w:rPr>
                <w:b/>
                <w:i w:val="0"/>
                <w:sz w:val="17"/>
              </w:rPr>
              <w:t>Vendor</w:t>
            </w:r>
          </w:p>
        </w:tc>
        <w:tc>
          <w:tcPr>
            <w:tcW w:type="dxa" w:w="680"/>
            <w:shd w:val="clear" w:color="auto" w:fill="DBD2C3"/>
          </w:tcPr>
          <w:p>
            <w:pPr>
              <w:spacing w:after="0" w:line="240" w:lineRule="auto"/>
            </w:pPr>
            <w:r/>
            <w:r>
              <w:rPr>
                <w:b/>
                <w:i w:val="0"/>
                <w:sz w:val="17"/>
              </w:rPr>
              <w:t>Titles</w:t>
            </w:r>
          </w:p>
        </w:tc>
        <w:tc>
          <w:tcPr>
            <w:tcW w:type="dxa" w:w="1077"/>
            <w:shd w:val="clear" w:color="auto" w:fill="DBD2C3"/>
          </w:tcPr>
          <w:p>
            <w:pPr>
              <w:spacing w:after="0" w:line="240" w:lineRule="auto"/>
            </w:pPr>
            <w:r/>
            <w:r>
              <w:rPr>
                <w:b/>
                <w:i w:val="0"/>
                <w:sz w:val="17"/>
              </w:rPr>
              <w:t>Area (ha)</w:t>
            </w:r>
          </w:p>
        </w:tc>
        <w:tc>
          <w:tcPr>
            <w:tcW w:type="dxa" w:w="1191"/>
            <w:shd w:val="clear" w:color="auto" w:fill="DBD2C3"/>
          </w:tcPr>
          <w:p>
            <w:pPr>
              <w:spacing w:after="0" w:line="240" w:lineRule="auto"/>
            </w:pPr>
            <w:r/>
            <w:r>
              <w:rPr>
                <w:b/>
                <w:i w:val="0"/>
                <w:sz w:val="17"/>
              </w:rPr>
              <w:t>Radiata planted (ha)</w:t>
            </w:r>
          </w:p>
        </w:tc>
        <w:tc>
          <w:tcPr>
            <w:tcW w:type="dxa" w:w="2551"/>
            <w:shd w:val="clear" w:color="auto" w:fill="DBD2C3"/>
          </w:tcPr>
          <w:p>
            <w:pPr>
              <w:spacing w:after="0" w:line="240" w:lineRule="auto"/>
            </w:pPr>
            <w:r/>
            <w:r>
              <w:rPr>
                <w:b/>
                <w:i w:val="0"/>
                <w:sz w:val="17"/>
              </w:rPr>
              <w:t>Main land cover</w:t>
            </w:r>
          </w:p>
        </w:tc>
      </w:tr>
      <w:tr>
        <w:tc>
          <w:tcPr>
            <w:tcW w:type="dxa" w:w="1871"/>
          </w:tcPr>
          <w:p>
            <w:pPr>
              <w:spacing w:after="0" w:line="240" w:lineRule="auto"/>
            </w:pPr>
            <w:r/>
            <w:r>
              <w:rPr>
                <w:b w:val="0"/>
                <w:i w:val="0"/>
                <w:sz w:val="17"/>
              </w:rPr>
              <w:t>Back Farm</w:t>
            </w:r>
          </w:p>
        </w:tc>
        <w:tc>
          <w:tcPr>
            <w:tcW w:type="dxa" w:w="794"/>
          </w:tcPr>
          <w:p>
            <w:pPr>
              <w:spacing w:after="0" w:line="240" w:lineRule="auto"/>
            </w:pPr>
            <w:r/>
            <w:r>
              <w:rPr>
                <w:b w:val="0"/>
                <w:i w:val="0"/>
                <w:sz w:val="17"/>
              </w:rPr>
              <w:t>A</w:t>
            </w:r>
          </w:p>
        </w:tc>
        <w:tc>
          <w:tcPr>
            <w:tcW w:type="dxa" w:w="1474"/>
          </w:tcPr>
          <w:p>
            <w:pPr>
              <w:spacing w:after="0" w:line="240" w:lineRule="auto"/>
            </w:pPr>
            <w:r/>
            <w:r>
              <w:rPr>
                <w:b w:val="0"/>
                <w:i w:val="0"/>
                <w:sz w:val="17"/>
              </w:rPr>
              <w:t>Makowhai Trust</w:t>
            </w:r>
          </w:p>
        </w:tc>
        <w:tc>
          <w:tcPr>
            <w:tcW w:type="dxa" w:w="680"/>
          </w:tcPr>
          <w:p>
            <w:pPr>
              <w:spacing w:after="0" w:line="240" w:lineRule="auto"/>
              <w:jc w:val="right"/>
            </w:pPr>
            <w:r/>
            <w:r>
              <w:rPr>
                <w:b w:val="0"/>
                <w:i w:val="0"/>
                <w:sz w:val="17"/>
              </w:rPr>
              <w:t>8</w:t>
            </w:r>
          </w:p>
        </w:tc>
        <w:tc>
          <w:tcPr>
            <w:tcW w:type="dxa" w:w="1077"/>
          </w:tcPr>
          <w:p>
            <w:pPr>
              <w:spacing w:after="0" w:line="240" w:lineRule="auto"/>
              <w:jc w:val="right"/>
            </w:pPr>
            <w:r/>
            <w:r>
              <w:rPr>
                <w:b w:val="0"/>
                <w:i w:val="0"/>
                <w:sz w:val="17"/>
              </w:rPr>
              <w:t>2,104.4</w:t>
            </w:r>
          </w:p>
        </w:tc>
        <w:tc>
          <w:tcPr>
            <w:tcW w:type="dxa" w:w="1191"/>
          </w:tcPr>
          <w:p>
            <w:pPr>
              <w:spacing w:after="0" w:line="240" w:lineRule="auto"/>
              <w:jc w:val="right"/>
            </w:pPr>
            <w:r/>
            <w:r>
              <w:rPr>
                <w:b w:val="0"/>
                <w:i w:val="0"/>
                <w:sz w:val="17"/>
              </w:rPr>
              <w:t>785</w:t>
            </w:r>
          </w:p>
        </w:tc>
        <w:tc>
          <w:tcPr>
            <w:tcW w:type="dxa" w:w="2551"/>
          </w:tcPr>
          <w:p>
            <w:pPr>
              <w:spacing w:after="0" w:line="240" w:lineRule="auto"/>
            </w:pPr>
            <w:r/>
            <w:r>
              <w:rPr>
                <w:b w:val="0"/>
                <w:i w:val="0"/>
                <w:sz w:val="17"/>
              </w:rPr>
              <w:t>Native / scrub with radiata</w:t>
            </w:r>
          </w:p>
        </w:tc>
      </w:tr>
      <w:tr>
        <w:tc>
          <w:tcPr>
            <w:tcW w:type="dxa" w:w="1871"/>
            <w:shd w:val="clear" w:color="auto" w:fill="FAF9F6"/>
          </w:tcPr>
          <w:p>
            <w:pPr>
              <w:spacing w:after="0" w:line="240" w:lineRule="auto"/>
            </w:pPr>
            <w:r/>
            <w:r>
              <w:rPr>
                <w:b w:val="0"/>
                <w:i w:val="0"/>
                <w:sz w:val="17"/>
              </w:rPr>
              <w:t>Longreach</w:t>
            </w:r>
          </w:p>
        </w:tc>
        <w:tc>
          <w:tcPr>
            <w:tcW w:type="dxa" w:w="794"/>
            <w:shd w:val="clear" w:color="auto" w:fill="FAF9F6"/>
          </w:tcPr>
          <w:p>
            <w:pPr>
              <w:spacing w:after="0" w:line="240" w:lineRule="auto"/>
            </w:pPr>
            <w:r/>
            <w:r>
              <w:rPr>
                <w:b w:val="0"/>
                <w:i w:val="0"/>
                <w:sz w:val="17"/>
              </w:rPr>
              <w:t>A</w:t>
            </w:r>
          </w:p>
        </w:tc>
        <w:tc>
          <w:tcPr>
            <w:tcW w:type="dxa" w:w="1474"/>
            <w:shd w:val="clear" w:color="auto" w:fill="FAF9F6"/>
          </w:tcPr>
          <w:p>
            <w:pPr>
              <w:spacing w:after="0" w:line="240" w:lineRule="auto"/>
            </w:pPr>
            <w:r/>
            <w:r>
              <w:rPr>
                <w:b w:val="0"/>
                <w:i w:val="0"/>
                <w:sz w:val="17"/>
              </w:rPr>
              <w:t>NFL</w:t>
            </w:r>
          </w:p>
        </w:tc>
        <w:tc>
          <w:tcPr>
            <w:tcW w:type="dxa" w:w="680"/>
            <w:shd w:val="clear" w:color="auto" w:fill="FAF9F6"/>
          </w:tcPr>
          <w:p>
            <w:pPr>
              <w:spacing w:after="0" w:line="240" w:lineRule="auto"/>
              <w:jc w:val="right"/>
            </w:pPr>
            <w:r/>
            <w:r>
              <w:rPr>
                <w:b w:val="0"/>
                <w:i w:val="0"/>
                <w:sz w:val="17"/>
              </w:rPr>
              <w:t>4</w:t>
            </w:r>
          </w:p>
        </w:tc>
        <w:tc>
          <w:tcPr>
            <w:tcW w:type="dxa" w:w="1077"/>
            <w:shd w:val="clear" w:color="auto" w:fill="FAF9F6"/>
          </w:tcPr>
          <w:p>
            <w:pPr>
              <w:spacing w:after="0" w:line="240" w:lineRule="auto"/>
              <w:jc w:val="right"/>
            </w:pPr>
            <w:r/>
            <w:r>
              <w:rPr>
                <w:b w:val="0"/>
                <w:i w:val="0"/>
                <w:sz w:val="17"/>
              </w:rPr>
              <w:t>1,723.1</w:t>
            </w:r>
          </w:p>
        </w:tc>
        <w:tc>
          <w:tcPr>
            <w:tcW w:type="dxa" w:w="1191"/>
            <w:shd w:val="clear" w:color="auto" w:fill="FAF9F6"/>
          </w:tcPr>
          <w:p>
            <w:pPr>
              <w:spacing w:after="0" w:line="240" w:lineRule="auto"/>
              <w:jc w:val="right"/>
            </w:pPr>
            <w:r/>
            <w:r>
              <w:rPr>
                <w:b w:val="0"/>
                <w:i w:val="0"/>
                <w:sz w:val="17"/>
              </w:rPr>
              <w:t>777</w:t>
            </w:r>
          </w:p>
        </w:tc>
        <w:tc>
          <w:tcPr>
            <w:tcW w:type="dxa" w:w="2551"/>
            <w:shd w:val="clear" w:color="auto" w:fill="FAF9F6"/>
          </w:tcPr>
          <w:p>
            <w:pPr>
              <w:spacing w:after="0" w:line="240" w:lineRule="auto"/>
            </w:pPr>
            <w:r/>
            <w:r>
              <w:rPr>
                <w:b w:val="0"/>
                <w:i w:val="0"/>
                <w:sz w:val="17"/>
              </w:rPr>
              <w:t>Pinus radiata / native / scrub</w:t>
            </w:r>
          </w:p>
        </w:tc>
      </w:tr>
      <w:tr>
        <w:tc>
          <w:tcPr>
            <w:tcW w:type="dxa" w:w="1871"/>
          </w:tcPr>
          <w:p>
            <w:pPr>
              <w:spacing w:after="0" w:line="240" w:lineRule="auto"/>
            </w:pPr>
            <w:r/>
            <w:r>
              <w:rPr>
                <w:b w:val="0"/>
                <w:i w:val="0"/>
                <w:sz w:val="17"/>
              </w:rPr>
              <w:t>Eastern Block</w:t>
            </w:r>
          </w:p>
        </w:tc>
        <w:tc>
          <w:tcPr>
            <w:tcW w:type="dxa" w:w="794"/>
          </w:tcPr>
          <w:p>
            <w:pPr>
              <w:spacing w:after="0" w:line="240" w:lineRule="auto"/>
            </w:pPr>
            <w:r/>
            <w:r>
              <w:rPr>
                <w:b w:val="0"/>
                <w:i w:val="0"/>
                <w:sz w:val="17"/>
              </w:rPr>
              <w:t>A</w:t>
            </w:r>
          </w:p>
        </w:tc>
        <w:tc>
          <w:tcPr>
            <w:tcW w:type="dxa" w:w="1474"/>
          </w:tcPr>
          <w:p>
            <w:pPr>
              <w:spacing w:after="0" w:line="240" w:lineRule="auto"/>
            </w:pPr>
            <w:r/>
            <w:r>
              <w:rPr>
                <w:b w:val="0"/>
                <w:i w:val="0"/>
                <w:sz w:val="17"/>
              </w:rPr>
              <w:t>Makowhai Trust</w:t>
            </w:r>
          </w:p>
        </w:tc>
        <w:tc>
          <w:tcPr>
            <w:tcW w:type="dxa" w:w="680"/>
          </w:tcPr>
          <w:p>
            <w:pPr>
              <w:spacing w:after="0" w:line="240" w:lineRule="auto"/>
              <w:jc w:val="right"/>
            </w:pPr>
            <w:r/>
            <w:r>
              <w:rPr>
                <w:b w:val="0"/>
                <w:i w:val="0"/>
                <w:sz w:val="17"/>
              </w:rPr>
              <w:t>3</w:t>
            </w:r>
          </w:p>
        </w:tc>
        <w:tc>
          <w:tcPr>
            <w:tcW w:type="dxa" w:w="1077"/>
          </w:tcPr>
          <w:p>
            <w:pPr>
              <w:spacing w:after="0" w:line="240" w:lineRule="auto"/>
              <w:jc w:val="right"/>
            </w:pPr>
            <w:r/>
            <w:r>
              <w:rPr>
                <w:b w:val="0"/>
                <w:i w:val="0"/>
                <w:sz w:val="17"/>
              </w:rPr>
              <w:t>1,071.5</w:t>
            </w:r>
          </w:p>
        </w:tc>
        <w:tc>
          <w:tcPr>
            <w:tcW w:type="dxa" w:w="1191"/>
          </w:tcPr>
          <w:p>
            <w:pPr>
              <w:spacing w:after="0" w:line="240" w:lineRule="auto"/>
              <w:jc w:val="right"/>
            </w:pPr>
            <w:r/>
            <w:r>
              <w:rPr>
                <w:b w:val="0"/>
                <w:i w:val="0"/>
                <w:sz w:val="17"/>
              </w:rPr>
              <w:t>138</w:t>
            </w:r>
          </w:p>
        </w:tc>
        <w:tc>
          <w:tcPr>
            <w:tcW w:type="dxa" w:w="2551"/>
          </w:tcPr>
          <w:p>
            <w:pPr>
              <w:spacing w:after="0" w:line="240" w:lineRule="auto"/>
            </w:pPr>
            <w:r/>
            <w:r>
              <w:rPr>
                <w:b w:val="0"/>
                <w:i w:val="0"/>
                <w:sz w:val="17"/>
              </w:rPr>
              <w:t>Native / scrub with radiata</w:t>
            </w:r>
          </w:p>
        </w:tc>
      </w:tr>
      <w:tr>
        <w:tc>
          <w:tcPr>
            <w:tcW w:type="dxa" w:w="1871"/>
            <w:shd w:val="clear" w:color="auto" w:fill="FAF9F6"/>
          </w:tcPr>
          <w:p>
            <w:pPr>
              <w:spacing w:after="0" w:line="240" w:lineRule="auto"/>
            </w:pPr>
            <w:r/>
            <w:r>
              <w:rPr>
                <w:b w:val="0"/>
                <w:i w:val="0"/>
                <w:sz w:val="17"/>
              </w:rPr>
              <w:t>Front Farm</w:t>
            </w:r>
          </w:p>
        </w:tc>
        <w:tc>
          <w:tcPr>
            <w:tcW w:type="dxa" w:w="794"/>
            <w:shd w:val="clear" w:color="auto" w:fill="FAF9F6"/>
          </w:tcPr>
          <w:p>
            <w:pPr>
              <w:spacing w:after="0" w:line="240" w:lineRule="auto"/>
            </w:pPr>
            <w:r/>
            <w:r>
              <w:rPr>
                <w:b w:val="0"/>
                <w:i w:val="0"/>
                <w:sz w:val="17"/>
              </w:rPr>
              <w:t>A</w:t>
            </w:r>
          </w:p>
        </w:tc>
        <w:tc>
          <w:tcPr>
            <w:tcW w:type="dxa" w:w="1474"/>
            <w:shd w:val="clear" w:color="auto" w:fill="FAF9F6"/>
          </w:tcPr>
          <w:p>
            <w:pPr>
              <w:spacing w:after="0" w:line="240" w:lineRule="auto"/>
            </w:pPr>
            <w:r/>
            <w:r>
              <w:rPr>
                <w:b w:val="0"/>
                <w:i w:val="0"/>
                <w:sz w:val="17"/>
              </w:rPr>
              <w:t>Makowhai Trust</w:t>
            </w:r>
          </w:p>
        </w:tc>
        <w:tc>
          <w:tcPr>
            <w:tcW w:type="dxa" w:w="680"/>
            <w:shd w:val="clear" w:color="auto" w:fill="FAF9F6"/>
          </w:tcPr>
          <w:p>
            <w:pPr>
              <w:spacing w:after="0" w:line="240" w:lineRule="auto"/>
              <w:jc w:val="right"/>
            </w:pPr>
            <w:r/>
            <w:r>
              <w:rPr>
                <w:b w:val="0"/>
                <w:i w:val="0"/>
                <w:sz w:val="17"/>
              </w:rPr>
              <w:t>5</w:t>
            </w:r>
          </w:p>
        </w:tc>
        <w:tc>
          <w:tcPr>
            <w:tcW w:type="dxa" w:w="1077"/>
            <w:shd w:val="clear" w:color="auto" w:fill="FAF9F6"/>
          </w:tcPr>
          <w:p>
            <w:pPr>
              <w:spacing w:after="0" w:line="240" w:lineRule="auto"/>
              <w:jc w:val="right"/>
            </w:pPr>
            <w:r/>
            <w:r>
              <w:rPr>
                <w:b w:val="0"/>
                <w:i w:val="0"/>
                <w:sz w:val="17"/>
              </w:rPr>
              <w:t>502.1</w:t>
            </w:r>
          </w:p>
        </w:tc>
        <w:tc>
          <w:tcPr>
            <w:tcW w:type="dxa" w:w="1191"/>
            <w:shd w:val="clear" w:color="auto" w:fill="FAF9F6"/>
          </w:tcPr>
          <w:p>
            <w:pPr>
              <w:spacing w:after="0" w:line="240" w:lineRule="auto"/>
              <w:jc w:val="right"/>
            </w:pPr>
            <w:r/>
            <w:r>
              <w:rPr>
                <w:b w:val="0"/>
                <w:i w:val="0"/>
                <w:sz w:val="17"/>
              </w:rPr>
              <w:t>231</w:t>
            </w:r>
          </w:p>
        </w:tc>
        <w:tc>
          <w:tcPr>
            <w:tcW w:type="dxa" w:w="2551"/>
            <w:shd w:val="clear" w:color="auto" w:fill="FAF9F6"/>
          </w:tcPr>
          <w:p>
            <w:pPr>
              <w:spacing w:after="0" w:line="240" w:lineRule="auto"/>
            </w:pPr>
            <w:r/>
            <w:r>
              <w:rPr>
                <w:b w:val="0"/>
                <w:i w:val="0"/>
                <w:sz w:val="17"/>
              </w:rPr>
              <w:t>Pinus radiata / native / scrub</w:t>
            </w:r>
          </w:p>
        </w:tc>
      </w:tr>
      <w:tr>
        <w:tc>
          <w:tcPr>
            <w:tcW w:type="dxa" w:w="1871"/>
          </w:tcPr>
          <w:p>
            <w:pPr>
              <w:spacing w:after="0" w:line="240" w:lineRule="auto"/>
            </w:pPr>
            <w:r/>
            <w:r>
              <w:rPr>
                <w:b w:val="0"/>
                <w:i w:val="0"/>
                <w:sz w:val="17"/>
              </w:rPr>
              <w:t>Puau Road</w:t>
            </w:r>
          </w:p>
        </w:tc>
        <w:tc>
          <w:tcPr>
            <w:tcW w:type="dxa" w:w="794"/>
          </w:tcPr>
          <w:p>
            <w:pPr>
              <w:spacing w:after="0" w:line="240" w:lineRule="auto"/>
            </w:pPr>
            <w:r/>
            <w:r>
              <w:rPr>
                <w:b w:val="0"/>
                <w:i w:val="0"/>
                <w:sz w:val="17"/>
              </w:rPr>
              <w:t>B</w:t>
            </w:r>
          </w:p>
        </w:tc>
        <w:tc>
          <w:tcPr>
            <w:tcW w:type="dxa" w:w="1474"/>
          </w:tcPr>
          <w:p>
            <w:pPr>
              <w:spacing w:after="0" w:line="240" w:lineRule="auto"/>
            </w:pPr>
            <w:r/>
            <w:r>
              <w:rPr>
                <w:b w:val="0"/>
                <w:i w:val="0"/>
                <w:sz w:val="17"/>
              </w:rPr>
              <w:t>NFL</w:t>
            </w:r>
          </w:p>
        </w:tc>
        <w:tc>
          <w:tcPr>
            <w:tcW w:type="dxa" w:w="680"/>
          </w:tcPr>
          <w:p>
            <w:pPr>
              <w:spacing w:after="0" w:line="240" w:lineRule="auto"/>
              <w:jc w:val="right"/>
            </w:pPr>
            <w:r/>
            <w:r>
              <w:rPr>
                <w:b w:val="0"/>
                <w:i w:val="0"/>
                <w:sz w:val="17"/>
              </w:rPr>
              <w:t>4</w:t>
            </w:r>
          </w:p>
        </w:tc>
        <w:tc>
          <w:tcPr>
            <w:tcW w:type="dxa" w:w="1077"/>
          </w:tcPr>
          <w:p>
            <w:pPr>
              <w:spacing w:after="0" w:line="240" w:lineRule="auto"/>
              <w:jc w:val="right"/>
            </w:pPr>
            <w:r/>
            <w:r>
              <w:rPr>
                <w:b w:val="0"/>
                <w:i w:val="0"/>
                <w:sz w:val="17"/>
              </w:rPr>
              <w:t>1,871.7</w:t>
            </w:r>
          </w:p>
        </w:tc>
        <w:tc>
          <w:tcPr>
            <w:tcW w:type="dxa" w:w="1191"/>
          </w:tcPr>
          <w:p>
            <w:pPr>
              <w:spacing w:after="0" w:line="240" w:lineRule="auto"/>
              <w:jc w:val="right"/>
            </w:pPr>
            <w:r/>
            <w:r>
              <w:rPr>
                <w:b w:val="0"/>
                <w:i w:val="0"/>
                <w:sz w:val="17"/>
              </w:rPr>
              <w:t>52</w:t>
            </w:r>
          </w:p>
        </w:tc>
        <w:tc>
          <w:tcPr>
            <w:tcW w:type="dxa" w:w="2551"/>
          </w:tcPr>
          <w:p>
            <w:pPr>
              <w:spacing w:after="0" w:line="240" w:lineRule="auto"/>
            </w:pPr>
            <w:r/>
            <w:r>
              <w:rPr>
                <w:b w:val="0"/>
                <w:i w:val="0"/>
                <w:sz w:val="17"/>
              </w:rPr>
              <w:t>Native / scrub with radiata</w:t>
            </w:r>
          </w:p>
        </w:tc>
      </w:tr>
      <w:tr>
        <w:tc>
          <w:tcPr>
            <w:tcW w:type="dxa" w:w="1871"/>
            <w:shd w:val="clear" w:color="auto" w:fill="FAF9F6"/>
          </w:tcPr>
          <w:p>
            <w:pPr>
              <w:spacing w:after="0" w:line="240" w:lineRule="auto"/>
            </w:pPr>
            <w:r/>
            <w:r>
              <w:rPr>
                <w:b w:val="0"/>
                <w:i w:val="0"/>
                <w:sz w:val="17"/>
              </w:rPr>
              <w:t>Whangamomona</w:t>
            </w:r>
          </w:p>
        </w:tc>
        <w:tc>
          <w:tcPr>
            <w:tcW w:type="dxa" w:w="794"/>
            <w:shd w:val="clear" w:color="auto" w:fill="FAF9F6"/>
          </w:tcPr>
          <w:p>
            <w:pPr>
              <w:spacing w:after="0" w:line="240" w:lineRule="auto"/>
            </w:pPr>
            <w:r/>
            <w:r>
              <w:rPr>
                <w:b w:val="0"/>
                <w:i w:val="0"/>
                <w:sz w:val="17"/>
              </w:rPr>
              <w:t>C</w:t>
            </w:r>
          </w:p>
        </w:tc>
        <w:tc>
          <w:tcPr>
            <w:tcW w:type="dxa" w:w="1474"/>
            <w:shd w:val="clear" w:color="auto" w:fill="FAF9F6"/>
          </w:tcPr>
          <w:p>
            <w:pPr>
              <w:spacing w:after="0" w:line="240" w:lineRule="auto"/>
            </w:pPr>
            <w:r/>
            <w:r>
              <w:rPr>
                <w:b w:val="0"/>
                <w:i w:val="0"/>
                <w:sz w:val="17"/>
              </w:rPr>
              <w:t>NFL</w:t>
            </w:r>
          </w:p>
        </w:tc>
        <w:tc>
          <w:tcPr>
            <w:tcW w:type="dxa" w:w="680"/>
            <w:shd w:val="clear" w:color="auto" w:fill="FAF9F6"/>
          </w:tcPr>
          <w:p>
            <w:pPr>
              <w:spacing w:after="0" w:line="240" w:lineRule="auto"/>
              <w:jc w:val="right"/>
            </w:pPr>
            <w:r/>
            <w:r>
              <w:rPr>
                <w:b w:val="0"/>
                <w:i w:val="0"/>
                <w:sz w:val="17"/>
              </w:rPr>
              <w:t>1</w:t>
            </w:r>
          </w:p>
        </w:tc>
        <w:tc>
          <w:tcPr>
            <w:tcW w:type="dxa" w:w="1077"/>
            <w:shd w:val="clear" w:color="auto" w:fill="FAF9F6"/>
          </w:tcPr>
          <w:p>
            <w:pPr>
              <w:spacing w:after="0" w:line="240" w:lineRule="auto"/>
              <w:jc w:val="right"/>
            </w:pPr>
            <w:r/>
            <w:r>
              <w:rPr>
                <w:b w:val="0"/>
                <w:i w:val="0"/>
                <w:sz w:val="17"/>
              </w:rPr>
              <w:t>738.9</w:t>
            </w:r>
          </w:p>
        </w:tc>
        <w:tc>
          <w:tcPr>
            <w:tcW w:type="dxa" w:w="1191"/>
            <w:shd w:val="clear" w:color="auto" w:fill="FAF9F6"/>
          </w:tcPr>
          <w:p>
            <w:pPr>
              <w:spacing w:after="0" w:line="240" w:lineRule="auto"/>
              <w:jc w:val="right"/>
            </w:pPr>
            <w:r/>
            <w:r>
              <w:rPr>
                <w:b w:val="0"/>
                <w:i w:val="0"/>
                <w:sz w:val="17"/>
              </w:rPr>
              <w:t>355</w:t>
            </w:r>
          </w:p>
        </w:tc>
        <w:tc>
          <w:tcPr>
            <w:tcW w:type="dxa" w:w="2551"/>
            <w:shd w:val="clear" w:color="auto" w:fill="FAF9F6"/>
          </w:tcPr>
          <w:p>
            <w:pPr>
              <w:spacing w:after="0" w:line="240" w:lineRule="auto"/>
            </w:pPr>
            <w:r/>
            <w:r>
              <w:rPr>
                <w:b w:val="0"/>
                <w:i w:val="0"/>
                <w:sz w:val="17"/>
              </w:rPr>
              <w:t>Pinus radiata / native / scrub</w:t>
            </w:r>
          </w:p>
        </w:tc>
      </w:tr>
      <w:tr>
        <w:tc>
          <w:tcPr>
            <w:tcW w:type="dxa" w:w="1871"/>
          </w:tcPr>
          <w:p>
            <w:pPr>
              <w:spacing w:after="0" w:line="240" w:lineRule="auto"/>
            </w:pPr>
            <w:r/>
            <w:r>
              <w:rPr>
                <w:b w:val="0"/>
                <w:i w:val="0"/>
                <w:sz w:val="17"/>
              </w:rPr>
              <w:t>Soldiers Road (forestry right)</w:t>
            </w:r>
          </w:p>
        </w:tc>
        <w:tc>
          <w:tcPr>
            <w:tcW w:type="dxa" w:w="794"/>
          </w:tcPr>
          <w:p>
            <w:pPr>
              <w:spacing w:after="0" w:line="240" w:lineRule="auto"/>
            </w:pPr>
            <w:r/>
            <w:r>
              <w:rPr>
                <w:b w:val="0"/>
                <w:i w:val="0"/>
                <w:sz w:val="17"/>
              </w:rPr>
              <w:t>C</w:t>
            </w:r>
          </w:p>
        </w:tc>
        <w:tc>
          <w:tcPr>
            <w:tcW w:type="dxa" w:w="1474"/>
          </w:tcPr>
          <w:p>
            <w:pPr>
              <w:spacing w:after="0" w:line="240" w:lineRule="auto"/>
            </w:pPr>
            <w:r/>
            <w:r>
              <w:rPr>
                <w:b w:val="0"/>
                <w:i w:val="0"/>
                <w:sz w:val="17"/>
              </w:rPr>
              <w:t>Forestry right (NFL)</w:t>
            </w:r>
          </w:p>
        </w:tc>
        <w:tc>
          <w:tcPr>
            <w:tcW w:type="dxa" w:w="680"/>
          </w:tcPr>
          <w:p>
            <w:pPr>
              <w:spacing w:after="0" w:line="240" w:lineRule="auto"/>
              <w:jc w:val="right"/>
            </w:pPr>
            <w:r/>
            <w:r>
              <w:rPr>
                <w:b w:val="0"/>
                <w:i w:val="0"/>
                <w:sz w:val="17"/>
              </w:rPr>
              <w:t>1</w:t>
            </w:r>
          </w:p>
        </w:tc>
        <w:tc>
          <w:tcPr>
            <w:tcW w:type="dxa" w:w="1077"/>
          </w:tcPr>
          <w:p>
            <w:pPr>
              <w:spacing w:after="0" w:line="240" w:lineRule="auto"/>
              <w:jc w:val="right"/>
            </w:pPr>
            <w:r/>
            <w:r>
              <w:rPr>
                <w:b w:val="0"/>
                <w:i w:val="0"/>
                <w:sz w:val="17"/>
              </w:rPr>
              <w:t>362.2</w:t>
            </w:r>
          </w:p>
        </w:tc>
        <w:tc>
          <w:tcPr>
            <w:tcW w:type="dxa" w:w="1191"/>
          </w:tcPr>
          <w:p>
            <w:pPr>
              <w:spacing w:after="0" w:line="240" w:lineRule="auto"/>
              <w:jc w:val="right"/>
            </w:pPr>
            <w:r/>
            <w:r>
              <w:rPr>
                <w:b w:val="0"/>
                <w:i w:val="0"/>
                <w:sz w:val="17"/>
              </w:rPr>
              <w:t>176</w:t>
            </w:r>
          </w:p>
        </w:tc>
        <w:tc>
          <w:tcPr>
            <w:tcW w:type="dxa" w:w="2551"/>
          </w:tcPr>
          <w:p>
            <w:pPr>
              <w:spacing w:after="0" w:line="240" w:lineRule="auto"/>
            </w:pPr>
            <w:r/>
            <w:r>
              <w:rPr>
                <w:b w:val="0"/>
                <w:i w:val="0"/>
                <w:sz w:val="17"/>
              </w:rPr>
              <w:t>Pinus radiata / native / scrub</w:t>
            </w:r>
          </w:p>
        </w:tc>
      </w:tr>
      <w:tr>
        <w:tc>
          <w:tcPr>
            <w:tcW w:type="dxa" w:w="1871"/>
            <w:shd w:val="clear" w:color="auto" w:fill="FAF9F6"/>
          </w:tcPr>
          <w:p>
            <w:pPr>
              <w:spacing w:after="0" w:line="240" w:lineRule="auto"/>
            </w:pPr>
            <w:r/>
            <w:r>
              <w:rPr>
                <w:b w:val="0"/>
                <w:i w:val="0"/>
                <w:sz w:val="17"/>
              </w:rPr>
              <w:t>Staghaven</w:t>
            </w:r>
          </w:p>
        </w:tc>
        <w:tc>
          <w:tcPr>
            <w:tcW w:type="dxa" w:w="794"/>
            <w:shd w:val="clear" w:color="auto" w:fill="FAF9F6"/>
          </w:tcPr>
          <w:p>
            <w:pPr>
              <w:spacing w:after="0" w:line="240" w:lineRule="auto"/>
            </w:pPr>
            <w:r/>
            <w:r>
              <w:rPr>
                <w:b w:val="0"/>
                <w:i w:val="0"/>
                <w:sz w:val="17"/>
              </w:rPr>
              <w:t>C</w:t>
            </w:r>
          </w:p>
        </w:tc>
        <w:tc>
          <w:tcPr>
            <w:tcW w:type="dxa" w:w="1474"/>
            <w:shd w:val="clear" w:color="auto" w:fill="FAF9F6"/>
          </w:tcPr>
          <w:p>
            <w:pPr>
              <w:spacing w:after="0" w:line="240" w:lineRule="auto"/>
            </w:pPr>
            <w:r/>
            <w:r>
              <w:rPr>
                <w:b w:val="0"/>
                <w:i w:val="0"/>
                <w:sz w:val="17"/>
              </w:rPr>
              <w:t>NFL</w:t>
            </w:r>
          </w:p>
        </w:tc>
        <w:tc>
          <w:tcPr>
            <w:tcW w:type="dxa" w:w="680"/>
            <w:shd w:val="clear" w:color="auto" w:fill="FAF9F6"/>
          </w:tcPr>
          <w:p>
            <w:pPr>
              <w:spacing w:after="0" w:line="240" w:lineRule="auto"/>
              <w:jc w:val="right"/>
            </w:pPr>
            <w:r/>
            <w:r>
              <w:rPr>
                <w:b w:val="0"/>
                <w:i w:val="0"/>
                <w:sz w:val="17"/>
              </w:rPr>
              <w:t>3</w:t>
            </w:r>
          </w:p>
        </w:tc>
        <w:tc>
          <w:tcPr>
            <w:tcW w:type="dxa" w:w="1077"/>
            <w:shd w:val="clear" w:color="auto" w:fill="FAF9F6"/>
          </w:tcPr>
          <w:p>
            <w:pPr>
              <w:spacing w:after="0" w:line="240" w:lineRule="auto"/>
              <w:jc w:val="right"/>
            </w:pPr>
            <w:r/>
            <w:r>
              <w:rPr>
                <w:b w:val="0"/>
                <w:i w:val="0"/>
                <w:sz w:val="17"/>
              </w:rPr>
              <w:t>295.6</w:t>
            </w:r>
          </w:p>
        </w:tc>
        <w:tc>
          <w:tcPr>
            <w:tcW w:type="dxa" w:w="1191"/>
            <w:shd w:val="clear" w:color="auto" w:fill="FAF9F6"/>
          </w:tcPr>
          <w:p>
            <w:pPr>
              <w:spacing w:after="0" w:line="240" w:lineRule="auto"/>
              <w:jc w:val="right"/>
            </w:pPr>
            <w:r/>
            <w:r>
              <w:rPr>
                <w:b w:val="0"/>
                <w:i w:val="0"/>
                <w:sz w:val="17"/>
              </w:rPr>
              <w:t>83</w:t>
            </w:r>
          </w:p>
        </w:tc>
        <w:tc>
          <w:tcPr>
            <w:tcW w:type="dxa" w:w="2551"/>
            <w:shd w:val="clear" w:color="auto" w:fill="FAF9F6"/>
          </w:tcPr>
          <w:p>
            <w:pPr>
              <w:spacing w:after="0" w:line="240" w:lineRule="auto"/>
            </w:pPr>
            <w:r/>
            <w:r>
              <w:rPr>
                <w:b w:val="0"/>
                <w:i w:val="0"/>
                <w:sz w:val="17"/>
              </w:rPr>
              <w:t>Pinus radiata / native / scrub</w:t>
            </w:r>
          </w:p>
        </w:tc>
      </w:tr>
      <w:tr>
        <w:tc>
          <w:tcPr>
            <w:tcW w:type="dxa" w:w="1871"/>
          </w:tcPr>
          <w:p>
            <w:pPr>
              <w:spacing w:after="0" w:line="240" w:lineRule="auto"/>
            </w:pPr>
            <w:r/>
            <w:r>
              <w:rPr>
                <w:b w:val="0"/>
                <w:i w:val="0"/>
                <w:sz w:val="17"/>
              </w:rPr>
              <w:t>Ernies</w:t>
            </w:r>
          </w:p>
        </w:tc>
        <w:tc>
          <w:tcPr>
            <w:tcW w:type="dxa" w:w="794"/>
          </w:tcPr>
          <w:p>
            <w:pPr>
              <w:spacing w:after="0" w:line="240" w:lineRule="auto"/>
            </w:pPr>
            <w:r/>
            <w:r>
              <w:rPr>
                <w:b w:val="0"/>
                <w:i w:val="0"/>
                <w:sz w:val="17"/>
              </w:rPr>
              <w:t>A</w:t>
            </w:r>
          </w:p>
        </w:tc>
        <w:tc>
          <w:tcPr>
            <w:tcW w:type="dxa" w:w="1474"/>
          </w:tcPr>
          <w:p>
            <w:pPr>
              <w:spacing w:after="0" w:line="240" w:lineRule="auto"/>
            </w:pPr>
            <w:r/>
            <w:r>
              <w:rPr>
                <w:b w:val="0"/>
                <w:i w:val="0"/>
                <w:sz w:val="17"/>
              </w:rPr>
              <w:t>Makowhai Trust</w:t>
            </w:r>
          </w:p>
        </w:tc>
        <w:tc>
          <w:tcPr>
            <w:tcW w:type="dxa" w:w="680"/>
          </w:tcPr>
          <w:p>
            <w:pPr>
              <w:spacing w:after="0" w:line="240" w:lineRule="auto"/>
              <w:jc w:val="right"/>
            </w:pPr>
            <w:r/>
            <w:r>
              <w:rPr>
                <w:b w:val="0"/>
                <w:i w:val="0"/>
                <w:sz w:val="17"/>
              </w:rPr>
              <w:t>6</w:t>
            </w:r>
          </w:p>
        </w:tc>
        <w:tc>
          <w:tcPr>
            <w:tcW w:type="dxa" w:w="1077"/>
          </w:tcPr>
          <w:p>
            <w:pPr>
              <w:spacing w:after="0" w:line="240" w:lineRule="auto"/>
              <w:jc w:val="right"/>
            </w:pPr>
            <w:r/>
            <w:r>
              <w:rPr>
                <w:b w:val="0"/>
                <w:i w:val="0"/>
                <w:sz w:val="17"/>
              </w:rPr>
              <w:t>1,626.4</w:t>
            </w:r>
          </w:p>
        </w:tc>
        <w:tc>
          <w:tcPr>
            <w:tcW w:type="dxa" w:w="1191"/>
          </w:tcPr>
          <w:p>
            <w:pPr>
              <w:spacing w:after="0" w:line="240" w:lineRule="auto"/>
              <w:jc w:val="right"/>
            </w:pPr>
            <w:r/>
            <w:r>
              <w:rPr>
                <w:b w:val="0"/>
                <w:i w:val="0"/>
                <w:sz w:val="17"/>
              </w:rPr>
              <w:t>–</w:t>
            </w:r>
          </w:p>
        </w:tc>
        <w:tc>
          <w:tcPr>
            <w:tcW w:type="dxa" w:w="2551"/>
          </w:tcPr>
          <w:p>
            <w:pPr>
              <w:spacing w:after="0" w:line="240" w:lineRule="auto"/>
            </w:pPr>
            <w:r/>
            <w:r>
              <w:rPr>
                <w:b w:val="0"/>
                <w:i w:val="0"/>
                <w:sz w:val="17"/>
              </w:rPr>
              <w:t>Native bush / mānuka-kānuka</w:t>
            </w:r>
          </w:p>
        </w:tc>
      </w:tr>
      <w:tr>
        <w:tc>
          <w:tcPr>
            <w:tcW w:type="dxa" w:w="1871"/>
            <w:shd w:val="clear" w:color="auto" w:fill="FAF9F6"/>
          </w:tcPr>
          <w:p>
            <w:pPr>
              <w:spacing w:after="0" w:line="240" w:lineRule="auto"/>
            </w:pPr>
            <w:r/>
            <w:r>
              <w:rPr>
                <w:b w:val="0"/>
                <w:i w:val="0"/>
                <w:sz w:val="17"/>
              </w:rPr>
              <w:t>Karapara</w:t>
            </w:r>
          </w:p>
        </w:tc>
        <w:tc>
          <w:tcPr>
            <w:tcW w:type="dxa" w:w="794"/>
            <w:shd w:val="clear" w:color="auto" w:fill="FAF9F6"/>
          </w:tcPr>
          <w:p>
            <w:pPr>
              <w:spacing w:after="0" w:line="240" w:lineRule="auto"/>
            </w:pPr>
            <w:r/>
            <w:r>
              <w:rPr>
                <w:b w:val="0"/>
                <w:i w:val="0"/>
                <w:sz w:val="17"/>
              </w:rPr>
              <w:t>A</w:t>
            </w:r>
          </w:p>
        </w:tc>
        <w:tc>
          <w:tcPr>
            <w:tcW w:type="dxa" w:w="1474"/>
            <w:shd w:val="clear" w:color="auto" w:fill="FAF9F6"/>
          </w:tcPr>
          <w:p>
            <w:pPr>
              <w:spacing w:after="0" w:line="240" w:lineRule="auto"/>
            </w:pPr>
            <w:r/>
            <w:r>
              <w:rPr>
                <w:b w:val="0"/>
                <w:i w:val="0"/>
                <w:sz w:val="17"/>
              </w:rPr>
              <w:t>Makowhai Trust</w:t>
            </w:r>
          </w:p>
        </w:tc>
        <w:tc>
          <w:tcPr>
            <w:tcW w:type="dxa" w:w="680"/>
            <w:shd w:val="clear" w:color="auto" w:fill="FAF9F6"/>
          </w:tcPr>
          <w:p>
            <w:pPr>
              <w:spacing w:after="0" w:line="240" w:lineRule="auto"/>
              <w:jc w:val="right"/>
            </w:pPr>
            <w:r/>
            <w:r>
              <w:rPr>
                <w:b w:val="0"/>
                <w:i w:val="0"/>
                <w:sz w:val="17"/>
              </w:rPr>
              <w:t>3</w:t>
            </w:r>
          </w:p>
        </w:tc>
        <w:tc>
          <w:tcPr>
            <w:tcW w:type="dxa" w:w="1077"/>
            <w:shd w:val="clear" w:color="auto" w:fill="FAF9F6"/>
          </w:tcPr>
          <w:p>
            <w:pPr>
              <w:spacing w:after="0" w:line="240" w:lineRule="auto"/>
              <w:jc w:val="right"/>
            </w:pPr>
            <w:r/>
            <w:r>
              <w:rPr>
                <w:b w:val="0"/>
                <w:i w:val="0"/>
                <w:sz w:val="17"/>
              </w:rPr>
              <w:t>1,317.7</w:t>
            </w:r>
          </w:p>
        </w:tc>
        <w:tc>
          <w:tcPr>
            <w:tcW w:type="dxa" w:w="1191"/>
            <w:shd w:val="clear" w:color="auto" w:fill="FAF9F6"/>
          </w:tcPr>
          <w:p>
            <w:pPr>
              <w:spacing w:after="0" w:line="240" w:lineRule="auto"/>
              <w:jc w:val="right"/>
            </w:pPr>
            <w:r/>
            <w:r>
              <w:rPr>
                <w:b w:val="0"/>
                <w:i w:val="0"/>
                <w:sz w:val="17"/>
              </w:rPr>
              <w:t>–</w:t>
            </w:r>
          </w:p>
        </w:tc>
        <w:tc>
          <w:tcPr>
            <w:tcW w:type="dxa" w:w="2551"/>
            <w:shd w:val="clear" w:color="auto" w:fill="FAF9F6"/>
          </w:tcPr>
          <w:p>
            <w:pPr>
              <w:spacing w:after="0" w:line="240" w:lineRule="auto"/>
            </w:pPr>
            <w:r/>
            <w:r>
              <w:rPr>
                <w:b w:val="0"/>
                <w:i w:val="0"/>
                <w:sz w:val="17"/>
              </w:rPr>
              <w:t>Native bush / mānuka-kānuka</w:t>
            </w:r>
          </w:p>
        </w:tc>
      </w:tr>
      <w:tr>
        <w:tc>
          <w:tcPr>
            <w:tcW w:type="dxa" w:w="1871"/>
          </w:tcPr>
          <w:p>
            <w:pPr>
              <w:spacing w:after="0" w:line="240" w:lineRule="auto"/>
            </w:pPr>
            <w:r/>
            <w:r>
              <w:rPr>
                <w:b w:val="0"/>
                <w:i w:val="0"/>
                <w:sz w:val="17"/>
              </w:rPr>
              <w:t>Home Block</w:t>
            </w:r>
          </w:p>
        </w:tc>
        <w:tc>
          <w:tcPr>
            <w:tcW w:type="dxa" w:w="794"/>
          </w:tcPr>
          <w:p>
            <w:pPr>
              <w:spacing w:after="0" w:line="240" w:lineRule="auto"/>
            </w:pPr>
            <w:r/>
            <w:r>
              <w:rPr>
                <w:b w:val="0"/>
                <w:i w:val="0"/>
                <w:sz w:val="17"/>
              </w:rPr>
              <w:t>A</w:t>
            </w:r>
          </w:p>
        </w:tc>
        <w:tc>
          <w:tcPr>
            <w:tcW w:type="dxa" w:w="1474"/>
          </w:tcPr>
          <w:p>
            <w:pPr>
              <w:spacing w:after="0" w:line="240" w:lineRule="auto"/>
            </w:pPr>
            <w:r/>
            <w:r>
              <w:rPr>
                <w:b w:val="0"/>
                <w:i w:val="0"/>
                <w:sz w:val="17"/>
              </w:rPr>
              <w:t>Makowhai Trust</w:t>
            </w:r>
          </w:p>
        </w:tc>
        <w:tc>
          <w:tcPr>
            <w:tcW w:type="dxa" w:w="680"/>
          </w:tcPr>
          <w:p>
            <w:pPr>
              <w:spacing w:after="0" w:line="240" w:lineRule="auto"/>
              <w:jc w:val="right"/>
            </w:pPr>
            <w:r/>
            <w:r>
              <w:rPr>
                <w:b w:val="0"/>
                <w:i w:val="0"/>
                <w:sz w:val="17"/>
              </w:rPr>
              <w:t>2</w:t>
            </w:r>
          </w:p>
        </w:tc>
        <w:tc>
          <w:tcPr>
            <w:tcW w:type="dxa" w:w="1077"/>
          </w:tcPr>
          <w:p>
            <w:pPr>
              <w:spacing w:after="0" w:line="240" w:lineRule="auto"/>
              <w:jc w:val="right"/>
            </w:pPr>
            <w:r/>
            <w:r>
              <w:rPr>
                <w:b w:val="0"/>
                <w:i w:val="0"/>
                <w:sz w:val="17"/>
              </w:rPr>
              <w:t>1,165.2</w:t>
            </w:r>
          </w:p>
        </w:tc>
        <w:tc>
          <w:tcPr>
            <w:tcW w:type="dxa" w:w="1191"/>
          </w:tcPr>
          <w:p>
            <w:pPr>
              <w:spacing w:after="0" w:line="240" w:lineRule="auto"/>
              <w:jc w:val="right"/>
            </w:pPr>
            <w:r/>
            <w:r>
              <w:rPr>
                <w:b w:val="0"/>
                <w:i w:val="0"/>
                <w:sz w:val="17"/>
              </w:rPr>
              <w:t>–</w:t>
            </w:r>
          </w:p>
        </w:tc>
        <w:tc>
          <w:tcPr>
            <w:tcW w:type="dxa" w:w="2551"/>
          </w:tcPr>
          <w:p>
            <w:pPr>
              <w:spacing w:after="0" w:line="240" w:lineRule="auto"/>
            </w:pPr>
            <w:r/>
            <w:r>
              <w:rPr>
                <w:b w:val="0"/>
                <w:i w:val="0"/>
                <w:sz w:val="17"/>
              </w:rPr>
              <w:t>Native bush / mānuka-kānuka</w:t>
            </w:r>
          </w:p>
        </w:tc>
      </w:tr>
      <w:tr>
        <w:tc>
          <w:tcPr>
            <w:tcW w:type="dxa" w:w="1871"/>
            <w:shd w:val="clear" w:color="auto" w:fill="FAF9F6"/>
          </w:tcPr>
          <w:p>
            <w:pPr>
              <w:spacing w:after="0" w:line="240" w:lineRule="auto"/>
            </w:pPr>
            <w:r/>
            <w:r>
              <w:rPr>
                <w:b w:val="0"/>
                <w:i w:val="0"/>
                <w:sz w:val="17"/>
              </w:rPr>
              <w:t>Patricks House</w:t>
            </w:r>
          </w:p>
        </w:tc>
        <w:tc>
          <w:tcPr>
            <w:tcW w:type="dxa" w:w="794"/>
            <w:shd w:val="clear" w:color="auto" w:fill="FAF9F6"/>
          </w:tcPr>
          <w:p>
            <w:pPr>
              <w:spacing w:after="0" w:line="240" w:lineRule="auto"/>
            </w:pPr>
            <w:r/>
            <w:r>
              <w:rPr>
                <w:b w:val="0"/>
                <w:i w:val="0"/>
                <w:sz w:val="17"/>
              </w:rPr>
              <w:t>A</w:t>
            </w:r>
          </w:p>
        </w:tc>
        <w:tc>
          <w:tcPr>
            <w:tcW w:type="dxa" w:w="1474"/>
            <w:shd w:val="clear" w:color="auto" w:fill="FAF9F6"/>
          </w:tcPr>
          <w:p>
            <w:pPr>
              <w:spacing w:after="0" w:line="240" w:lineRule="auto"/>
            </w:pPr>
            <w:r/>
            <w:r>
              <w:rPr>
                <w:b w:val="0"/>
                <w:i w:val="0"/>
                <w:sz w:val="17"/>
              </w:rPr>
              <w:t>NFL</w:t>
            </w:r>
          </w:p>
        </w:tc>
        <w:tc>
          <w:tcPr>
            <w:tcW w:type="dxa" w:w="680"/>
            <w:shd w:val="clear" w:color="auto" w:fill="FAF9F6"/>
          </w:tcPr>
          <w:p>
            <w:pPr>
              <w:spacing w:after="0" w:line="240" w:lineRule="auto"/>
              <w:jc w:val="right"/>
            </w:pPr>
            <w:r/>
            <w:r>
              <w:rPr>
                <w:b w:val="0"/>
                <w:i w:val="0"/>
                <w:sz w:val="17"/>
              </w:rPr>
              <w:t>3</w:t>
            </w:r>
          </w:p>
        </w:tc>
        <w:tc>
          <w:tcPr>
            <w:tcW w:type="dxa" w:w="1077"/>
            <w:shd w:val="clear" w:color="auto" w:fill="FAF9F6"/>
          </w:tcPr>
          <w:p>
            <w:pPr>
              <w:spacing w:after="0" w:line="240" w:lineRule="auto"/>
              <w:jc w:val="right"/>
            </w:pPr>
            <w:r/>
            <w:r>
              <w:rPr>
                <w:b w:val="0"/>
                <w:i w:val="0"/>
                <w:sz w:val="17"/>
              </w:rPr>
              <w:t>27.7</w:t>
            </w:r>
          </w:p>
        </w:tc>
        <w:tc>
          <w:tcPr>
            <w:tcW w:type="dxa" w:w="1191"/>
            <w:shd w:val="clear" w:color="auto" w:fill="FAF9F6"/>
          </w:tcPr>
          <w:p>
            <w:pPr>
              <w:spacing w:after="0" w:line="240" w:lineRule="auto"/>
              <w:jc w:val="right"/>
            </w:pPr>
            <w:r/>
            <w:r>
              <w:rPr>
                <w:b w:val="0"/>
                <w:i w:val="0"/>
                <w:sz w:val="17"/>
              </w:rPr>
              <w:t>–</w:t>
            </w:r>
          </w:p>
        </w:tc>
        <w:tc>
          <w:tcPr>
            <w:tcW w:type="dxa" w:w="2551"/>
            <w:shd w:val="clear" w:color="auto" w:fill="FAF9F6"/>
          </w:tcPr>
          <w:p>
            <w:pPr>
              <w:spacing w:after="0" w:line="240" w:lineRule="auto"/>
            </w:pPr>
            <w:r/>
            <w:r>
              <w:rPr>
                <w:b w:val="0"/>
                <w:i w:val="0"/>
                <w:sz w:val="17"/>
              </w:rPr>
              <w:t>Dwelling block</w:t>
            </w:r>
          </w:p>
        </w:tc>
      </w:tr>
      <w:tr>
        <w:tc>
          <w:tcPr>
            <w:tcW w:type="dxa" w:w="1871"/>
          </w:tcPr>
          <w:p>
            <w:pPr>
              <w:spacing w:after="0" w:line="240" w:lineRule="auto"/>
            </w:pPr>
            <w:r/>
            <w:r>
              <w:rPr>
                <w:b w:val="0"/>
                <w:i w:val="0"/>
                <w:sz w:val="17"/>
              </w:rPr>
              <w:t>Workers House</w:t>
            </w:r>
          </w:p>
        </w:tc>
        <w:tc>
          <w:tcPr>
            <w:tcW w:type="dxa" w:w="794"/>
          </w:tcPr>
          <w:p>
            <w:pPr>
              <w:spacing w:after="0" w:line="240" w:lineRule="auto"/>
            </w:pPr>
            <w:r/>
            <w:r>
              <w:rPr>
                <w:b w:val="0"/>
                <w:i w:val="0"/>
                <w:sz w:val="17"/>
              </w:rPr>
              <w:t>A</w:t>
            </w:r>
          </w:p>
        </w:tc>
        <w:tc>
          <w:tcPr>
            <w:tcW w:type="dxa" w:w="1474"/>
          </w:tcPr>
          <w:p>
            <w:pPr>
              <w:spacing w:after="0" w:line="240" w:lineRule="auto"/>
            </w:pPr>
            <w:r/>
            <w:r>
              <w:rPr>
                <w:b w:val="0"/>
                <w:i w:val="0"/>
                <w:sz w:val="17"/>
              </w:rPr>
              <w:t>NFL</w:t>
            </w:r>
          </w:p>
        </w:tc>
        <w:tc>
          <w:tcPr>
            <w:tcW w:type="dxa" w:w="680"/>
          </w:tcPr>
          <w:p>
            <w:pPr>
              <w:spacing w:after="0" w:line="240" w:lineRule="auto"/>
              <w:jc w:val="right"/>
            </w:pPr>
            <w:r/>
            <w:r>
              <w:rPr>
                <w:b w:val="0"/>
                <w:i w:val="0"/>
                <w:sz w:val="17"/>
              </w:rPr>
              <w:t>2</w:t>
            </w:r>
          </w:p>
        </w:tc>
        <w:tc>
          <w:tcPr>
            <w:tcW w:type="dxa" w:w="1077"/>
          </w:tcPr>
          <w:p>
            <w:pPr>
              <w:spacing w:after="0" w:line="240" w:lineRule="auto"/>
              <w:jc w:val="right"/>
            </w:pPr>
            <w:r/>
            <w:r>
              <w:rPr>
                <w:b w:val="0"/>
                <w:i w:val="0"/>
                <w:sz w:val="17"/>
              </w:rPr>
              <w:t>1.7</w:t>
            </w:r>
          </w:p>
        </w:tc>
        <w:tc>
          <w:tcPr>
            <w:tcW w:type="dxa" w:w="1191"/>
          </w:tcPr>
          <w:p>
            <w:pPr>
              <w:spacing w:after="0" w:line="240" w:lineRule="auto"/>
              <w:jc w:val="right"/>
            </w:pPr>
            <w:r/>
            <w:r>
              <w:rPr>
                <w:b w:val="0"/>
                <w:i w:val="0"/>
                <w:sz w:val="17"/>
              </w:rPr>
              <w:t>–</w:t>
            </w:r>
          </w:p>
        </w:tc>
        <w:tc>
          <w:tcPr>
            <w:tcW w:type="dxa" w:w="2551"/>
          </w:tcPr>
          <w:p>
            <w:pPr>
              <w:spacing w:after="0" w:line="240" w:lineRule="auto"/>
            </w:pPr>
            <w:r/>
            <w:r>
              <w:rPr>
                <w:b w:val="0"/>
                <w:i w:val="0"/>
                <w:sz w:val="17"/>
              </w:rPr>
              <w:t>Dwelling block</w:t>
            </w:r>
          </w:p>
        </w:tc>
      </w:tr>
      <w:tr>
        <w:tc>
          <w:tcPr>
            <w:tcW w:type="dxa" w:w="1871"/>
            <w:shd w:val="clear" w:color="auto" w:fill="FAF9F6"/>
          </w:tcPr>
          <w:p>
            <w:pPr>
              <w:spacing w:after="0" w:line="240" w:lineRule="auto"/>
            </w:pPr>
            <w:r/>
            <w:r>
              <w:rPr>
                <w:b w:val="0"/>
                <w:i w:val="0"/>
                <w:sz w:val="17"/>
              </w:rPr>
              <w:t>Moonys</w:t>
            </w:r>
          </w:p>
        </w:tc>
        <w:tc>
          <w:tcPr>
            <w:tcW w:type="dxa" w:w="794"/>
            <w:shd w:val="clear" w:color="auto" w:fill="FAF9F6"/>
          </w:tcPr>
          <w:p>
            <w:pPr>
              <w:spacing w:after="0" w:line="240" w:lineRule="auto"/>
            </w:pPr>
            <w:r/>
            <w:r>
              <w:rPr>
                <w:b w:val="0"/>
                <w:i w:val="0"/>
                <w:sz w:val="17"/>
              </w:rPr>
              <w:t>B</w:t>
            </w:r>
          </w:p>
        </w:tc>
        <w:tc>
          <w:tcPr>
            <w:tcW w:type="dxa" w:w="1474"/>
            <w:shd w:val="clear" w:color="auto" w:fill="FAF9F6"/>
          </w:tcPr>
          <w:p>
            <w:pPr>
              <w:spacing w:after="0" w:line="240" w:lineRule="auto"/>
            </w:pPr>
            <w:r/>
            <w:r>
              <w:rPr>
                <w:b w:val="0"/>
                <w:i w:val="0"/>
                <w:sz w:val="17"/>
              </w:rPr>
              <w:t>NFL</w:t>
            </w:r>
          </w:p>
        </w:tc>
        <w:tc>
          <w:tcPr>
            <w:tcW w:type="dxa" w:w="680"/>
            <w:shd w:val="clear" w:color="auto" w:fill="FAF9F6"/>
          </w:tcPr>
          <w:p>
            <w:pPr>
              <w:spacing w:after="0" w:line="240" w:lineRule="auto"/>
              <w:jc w:val="right"/>
            </w:pPr>
            <w:r/>
            <w:r>
              <w:rPr>
                <w:b w:val="0"/>
                <w:i w:val="0"/>
                <w:sz w:val="17"/>
              </w:rPr>
              <w:t>4</w:t>
            </w:r>
          </w:p>
        </w:tc>
        <w:tc>
          <w:tcPr>
            <w:tcW w:type="dxa" w:w="1077"/>
            <w:shd w:val="clear" w:color="auto" w:fill="FAF9F6"/>
          </w:tcPr>
          <w:p>
            <w:pPr>
              <w:spacing w:after="0" w:line="240" w:lineRule="auto"/>
              <w:jc w:val="right"/>
            </w:pPr>
            <w:r/>
            <w:r>
              <w:rPr>
                <w:b w:val="0"/>
                <w:i w:val="0"/>
                <w:sz w:val="17"/>
              </w:rPr>
              <w:t>643.6</w:t>
            </w:r>
          </w:p>
        </w:tc>
        <w:tc>
          <w:tcPr>
            <w:tcW w:type="dxa" w:w="1191"/>
            <w:shd w:val="clear" w:color="auto" w:fill="FAF9F6"/>
          </w:tcPr>
          <w:p>
            <w:pPr>
              <w:spacing w:after="0" w:line="240" w:lineRule="auto"/>
              <w:jc w:val="right"/>
            </w:pPr>
            <w:r/>
            <w:r>
              <w:rPr>
                <w:b w:val="0"/>
                <w:i w:val="0"/>
                <w:sz w:val="17"/>
              </w:rPr>
              <w:t>–</w:t>
            </w:r>
          </w:p>
        </w:tc>
        <w:tc>
          <w:tcPr>
            <w:tcW w:type="dxa" w:w="2551"/>
            <w:shd w:val="clear" w:color="auto" w:fill="FAF9F6"/>
          </w:tcPr>
          <w:p>
            <w:pPr>
              <w:spacing w:after="0" w:line="240" w:lineRule="auto"/>
            </w:pPr>
            <w:r/>
            <w:r>
              <w:rPr>
                <w:b w:val="0"/>
                <w:i w:val="0"/>
                <w:sz w:val="17"/>
              </w:rPr>
              <w:t>Native bush / mānuka-kānuka</w:t>
            </w:r>
          </w:p>
        </w:tc>
      </w:tr>
      <w:tr>
        <w:tc>
          <w:tcPr>
            <w:tcW w:type="dxa" w:w="1871"/>
          </w:tcPr>
          <w:p>
            <w:pPr>
              <w:spacing w:after="0" w:line="240" w:lineRule="auto"/>
            </w:pPr>
            <w:r/>
            <w:r>
              <w:rPr>
                <w:b w:val="0"/>
                <w:i w:val="0"/>
                <w:sz w:val="17"/>
              </w:rPr>
              <w:t>Ridge Road</w:t>
            </w:r>
          </w:p>
        </w:tc>
        <w:tc>
          <w:tcPr>
            <w:tcW w:type="dxa" w:w="794"/>
          </w:tcPr>
          <w:p>
            <w:pPr>
              <w:spacing w:after="0" w:line="240" w:lineRule="auto"/>
            </w:pPr>
            <w:r/>
            <w:r>
              <w:rPr>
                <w:b w:val="0"/>
                <w:i w:val="0"/>
                <w:sz w:val="17"/>
              </w:rPr>
              <w:t>B</w:t>
            </w:r>
          </w:p>
        </w:tc>
        <w:tc>
          <w:tcPr>
            <w:tcW w:type="dxa" w:w="1474"/>
          </w:tcPr>
          <w:p>
            <w:pPr>
              <w:spacing w:after="0" w:line="240" w:lineRule="auto"/>
            </w:pPr>
            <w:r/>
            <w:r>
              <w:rPr>
                <w:b w:val="0"/>
                <w:i w:val="0"/>
                <w:sz w:val="17"/>
              </w:rPr>
              <w:t>NFL</w:t>
            </w:r>
          </w:p>
        </w:tc>
        <w:tc>
          <w:tcPr>
            <w:tcW w:type="dxa" w:w="680"/>
          </w:tcPr>
          <w:p>
            <w:pPr>
              <w:spacing w:after="0" w:line="240" w:lineRule="auto"/>
              <w:jc w:val="right"/>
            </w:pPr>
            <w:r/>
            <w:r>
              <w:rPr>
                <w:b w:val="0"/>
                <w:i w:val="0"/>
                <w:sz w:val="17"/>
              </w:rPr>
              <w:t>3</w:t>
            </w:r>
          </w:p>
        </w:tc>
        <w:tc>
          <w:tcPr>
            <w:tcW w:type="dxa" w:w="1077"/>
          </w:tcPr>
          <w:p>
            <w:pPr>
              <w:spacing w:after="0" w:line="240" w:lineRule="auto"/>
              <w:jc w:val="right"/>
            </w:pPr>
            <w:r/>
            <w:r>
              <w:rPr>
                <w:b w:val="0"/>
                <w:i w:val="0"/>
                <w:sz w:val="17"/>
              </w:rPr>
              <w:t>282.6</w:t>
            </w:r>
          </w:p>
        </w:tc>
        <w:tc>
          <w:tcPr>
            <w:tcW w:type="dxa" w:w="1191"/>
          </w:tcPr>
          <w:p>
            <w:pPr>
              <w:spacing w:after="0" w:line="240" w:lineRule="auto"/>
              <w:jc w:val="right"/>
            </w:pPr>
            <w:r/>
            <w:r>
              <w:rPr>
                <w:b w:val="0"/>
                <w:i w:val="0"/>
                <w:sz w:val="17"/>
              </w:rPr>
              <w:t>–</w:t>
            </w:r>
          </w:p>
        </w:tc>
        <w:tc>
          <w:tcPr>
            <w:tcW w:type="dxa" w:w="2551"/>
          </w:tcPr>
          <w:p>
            <w:pPr>
              <w:spacing w:after="0" w:line="240" w:lineRule="auto"/>
            </w:pPr>
            <w:r/>
            <w:r>
              <w:rPr>
                <w:b w:val="0"/>
                <w:i w:val="0"/>
                <w:sz w:val="17"/>
              </w:rPr>
              <w:t>Native bush / mānuka-kānuka</w:t>
            </w:r>
          </w:p>
        </w:tc>
      </w:tr>
      <w:tr>
        <w:tc>
          <w:tcPr>
            <w:tcW w:type="dxa" w:w="1871"/>
            <w:shd w:val="clear" w:color="auto" w:fill="FAF9F6"/>
          </w:tcPr>
          <w:p>
            <w:pPr>
              <w:spacing w:after="0" w:line="240" w:lineRule="auto"/>
            </w:pPr>
            <w:r/>
            <w:r>
              <w:rPr>
                <w:b w:val="0"/>
                <w:i w:val="0"/>
                <w:sz w:val="17"/>
              </w:rPr>
              <w:t>Tims</w:t>
            </w:r>
          </w:p>
        </w:tc>
        <w:tc>
          <w:tcPr>
            <w:tcW w:type="dxa" w:w="794"/>
            <w:shd w:val="clear" w:color="auto" w:fill="FAF9F6"/>
          </w:tcPr>
          <w:p>
            <w:pPr>
              <w:spacing w:after="0" w:line="240" w:lineRule="auto"/>
            </w:pPr>
            <w:r/>
            <w:r>
              <w:rPr>
                <w:b w:val="0"/>
                <w:i w:val="0"/>
                <w:sz w:val="17"/>
              </w:rPr>
              <w:t>C</w:t>
            </w:r>
          </w:p>
        </w:tc>
        <w:tc>
          <w:tcPr>
            <w:tcW w:type="dxa" w:w="1474"/>
            <w:shd w:val="clear" w:color="auto" w:fill="FAF9F6"/>
          </w:tcPr>
          <w:p>
            <w:pPr>
              <w:spacing w:after="0" w:line="240" w:lineRule="auto"/>
            </w:pPr>
            <w:r/>
            <w:r>
              <w:rPr>
                <w:b w:val="0"/>
                <w:i w:val="0"/>
                <w:sz w:val="17"/>
              </w:rPr>
              <w:t>NFL</w:t>
            </w:r>
          </w:p>
        </w:tc>
        <w:tc>
          <w:tcPr>
            <w:tcW w:type="dxa" w:w="680"/>
            <w:shd w:val="clear" w:color="auto" w:fill="FAF9F6"/>
          </w:tcPr>
          <w:p>
            <w:pPr>
              <w:spacing w:after="0" w:line="240" w:lineRule="auto"/>
              <w:jc w:val="right"/>
            </w:pPr>
            <w:r/>
            <w:r>
              <w:rPr>
                <w:b w:val="0"/>
                <w:i w:val="0"/>
                <w:sz w:val="17"/>
              </w:rPr>
              <w:t>1</w:t>
            </w:r>
          </w:p>
        </w:tc>
        <w:tc>
          <w:tcPr>
            <w:tcW w:type="dxa" w:w="1077"/>
            <w:shd w:val="clear" w:color="auto" w:fill="FAF9F6"/>
          </w:tcPr>
          <w:p>
            <w:pPr>
              <w:spacing w:after="0" w:line="240" w:lineRule="auto"/>
              <w:jc w:val="right"/>
            </w:pPr>
            <w:r/>
            <w:r>
              <w:rPr>
                <w:b w:val="0"/>
                <w:i w:val="0"/>
                <w:sz w:val="17"/>
              </w:rPr>
              <w:t>14.3</w:t>
            </w:r>
          </w:p>
        </w:tc>
        <w:tc>
          <w:tcPr>
            <w:tcW w:type="dxa" w:w="1191"/>
            <w:shd w:val="clear" w:color="auto" w:fill="FAF9F6"/>
          </w:tcPr>
          <w:p>
            <w:pPr>
              <w:spacing w:after="0" w:line="240" w:lineRule="auto"/>
              <w:jc w:val="right"/>
            </w:pPr>
            <w:r/>
            <w:r>
              <w:rPr>
                <w:b w:val="0"/>
                <w:i w:val="0"/>
                <w:sz w:val="17"/>
              </w:rPr>
              <w:t>–</w:t>
            </w:r>
          </w:p>
        </w:tc>
        <w:tc>
          <w:tcPr>
            <w:tcW w:type="dxa" w:w="2551"/>
            <w:shd w:val="clear" w:color="auto" w:fill="FAF9F6"/>
          </w:tcPr>
          <w:p>
            <w:pPr>
              <w:spacing w:after="0" w:line="240" w:lineRule="auto"/>
            </w:pPr>
            <w:r/>
            <w:r>
              <w:rPr>
                <w:b w:val="0"/>
                <w:i w:val="0"/>
                <w:sz w:val="17"/>
              </w:rPr>
              <w:t>Dwelling block</w:t>
            </w:r>
          </w:p>
        </w:tc>
      </w:tr>
      <w:tr>
        <w:tc>
          <w:tcPr>
            <w:tcW w:type="dxa" w:w="1871"/>
          </w:tcPr>
          <w:p>
            <w:pPr>
              <w:spacing w:after="0" w:line="240" w:lineRule="auto"/>
            </w:pPr>
            <w:r/>
            <w:r>
              <w:rPr>
                <w:b w:val="0"/>
                <w:i w:val="0"/>
                <w:sz w:val="17"/>
              </w:rPr>
              <w:t>Pakihi</w:t>
            </w:r>
          </w:p>
        </w:tc>
        <w:tc>
          <w:tcPr>
            <w:tcW w:type="dxa" w:w="794"/>
          </w:tcPr>
          <w:p>
            <w:pPr>
              <w:spacing w:after="0" w:line="240" w:lineRule="auto"/>
            </w:pPr>
            <w:r/>
            <w:r>
              <w:rPr>
                <w:b w:val="0"/>
                <w:i w:val="0"/>
                <w:sz w:val="17"/>
              </w:rPr>
              <w:t>D</w:t>
            </w:r>
          </w:p>
        </w:tc>
        <w:tc>
          <w:tcPr>
            <w:tcW w:type="dxa" w:w="1474"/>
          </w:tcPr>
          <w:p>
            <w:pPr>
              <w:spacing w:after="0" w:line="240" w:lineRule="auto"/>
            </w:pPr>
            <w:r/>
            <w:r>
              <w:rPr>
                <w:b w:val="0"/>
                <w:i w:val="0"/>
                <w:sz w:val="17"/>
              </w:rPr>
              <w:t>NFL</w:t>
            </w:r>
          </w:p>
        </w:tc>
        <w:tc>
          <w:tcPr>
            <w:tcW w:type="dxa" w:w="680"/>
          </w:tcPr>
          <w:p>
            <w:pPr>
              <w:spacing w:after="0" w:line="240" w:lineRule="auto"/>
              <w:jc w:val="right"/>
            </w:pPr>
            <w:r/>
            <w:r>
              <w:rPr>
                <w:b w:val="0"/>
                <w:i w:val="0"/>
                <w:sz w:val="17"/>
              </w:rPr>
              <w:t>4</w:t>
            </w:r>
          </w:p>
        </w:tc>
        <w:tc>
          <w:tcPr>
            <w:tcW w:type="dxa" w:w="1077"/>
          </w:tcPr>
          <w:p>
            <w:pPr>
              <w:spacing w:after="0" w:line="240" w:lineRule="auto"/>
              <w:jc w:val="right"/>
            </w:pPr>
            <w:r/>
            <w:r>
              <w:rPr>
                <w:b w:val="0"/>
                <w:i w:val="0"/>
                <w:sz w:val="17"/>
              </w:rPr>
              <w:t>445.6</w:t>
            </w:r>
          </w:p>
        </w:tc>
        <w:tc>
          <w:tcPr>
            <w:tcW w:type="dxa" w:w="1191"/>
          </w:tcPr>
          <w:p>
            <w:pPr>
              <w:spacing w:after="0" w:line="240" w:lineRule="auto"/>
              <w:jc w:val="right"/>
            </w:pPr>
            <w:r/>
            <w:r>
              <w:rPr>
                <w:b w:val="0"/>
                <w:i w:val="0"/>
                <w:sz w:val="17"/>
              </w:rPr>
              <w:t>–</w:t>
            </w:r>
          </w:p>
        </w:tc>
        <w:tc>
          <w:tcPr>
            <w:tcW w:type="dxa" w:w="2551"/>
          </w:tcPr>
          <w:p>
            <w:pPr>
              <w:spacing w:after="0" w:line="240" w:lineRule="auto"/>
            </w:pPr>
            <w:r/>
            <w:r>
              <w:rPr>
                <w:b w:val="0"/>
                <w:i w:val="0"/>
                <w:sz w:val="17"/>
              </w:rPr>
              <w:t>Native bush / mānuka-kānuka</w:t>
            </w:r>
          </w:p>
        </w:tc>
      </w:tr>
      <w:tr>
        <w:tc>
          <w:tcPr>
            <w:tcW w:type="dxa" w:w="1871"/>
            <w:shd w:val="clear" w:color="auto" w:fill="FAF9F6"/>
          </w:tcPr>
          <w:p>
            <w:pPr>
              <w:spacing w:after="0" w:line="240" w:lineRule="auto"/>
            </w:pPr>
            <w:r/>
            <w:r>
              <w:rPr>
                <w:b w:val="0"/>
                <w:i w:val="0"/>
                <w:sz w:val="17"/>
              </w:rPr>
              <w:t>Total – land in the sale</w:t>
            </w:r>
          </w:p>
        </w:tc>
        <w:tc>
          <w:tcPr>
            <w:tcW w:type="dxa" w:w="794"/>
            <w:shd w:val="clear" w:color="auto" w:fill="FAF9F6"/>
          </w:tcPr>
          <w:p>
            <w:pPr>
              <w:spacing w:after="0" w:line="240" w:lineRule="auto"/>
            </w:pPr>
            <w:r/>
          </w:p>
        </w:tc>
        <w:tc>
          <w:tcPr>
            <w:tcW w:type="dxa" w:w="1474"/>
            <w:shd w:val="clear" w:color="auto" w:fill="FAF9F6"/>
          </w:tcPr>
          <w:p>
            <w:pPr>
              <w:spacing w:after="0" w:line="240" w:lineRule="auto"/>
            </w:pPr>
            <w:r/>
          </w:p>
        </w:tc>
        <w:tc>
          <w:tcPr>
            <w:tcW w:type="dxa" w:w="680"/>
            <w:shd w:val="clear" w:color="auto" w:fill="FAF9F6"/>
          </w:tcPr>
          <w:p>
            <w:pPr>
              <w:spacing w:after="0" w:line="240" w:lineRule="auto"/>
              <w:jc w:val="right"/>
            </w:pPr>
            <w:r/>
            <w:r>
              <w:rPr>
                <w:b w:val="0"/>
                <w:i w:val="0"/>
                <w:sz w:val="17"/>
              </w:rPr>
              <w:t>56</w:t>
            </w:r>
          </w:p>
        </w:tc>
        <w:tc>
          <w:tcPr>
            <w:tcW w:type="dxa" w:w="1077"/>
            <w:shd w:val="clear" w:color="auto" w:fill="FAF9F6"/>
          </w:tcPr>
          <w:p>
            <w:pPr>
              <w:spacing w:after="0" w:line="240" w:lineRule="auto"/>
              <w:jc w:val="right"/>
            </w:pPr>
            <w:r/>
            <w:r>
              <w:rPr>
                <w:b w:val="0"/>
                <w:i w:val="0"/>
                <w:sz w:val="17"/>
              </w:rPr>
              <w:t>13,832.0</w:t>
            </w:r>
          </w:p>
        </w:tc>
        <w:tc>
          <w:tcPr>
            <w:tcW w:type="dxa" w:w="1191"/>
            <w:shd w:val="clear" w:color="auto" w:fill="FAF9F6"/>
          </w:tcPr>
          <w:p>
            <w:pPr>
              <w:spacing w:after="0" w:line="240" w:lineRule="auto"/>
              <w:jc w:val="right"/>
            </w:pPr>
            <w:r/>
            <w:r>
              <w:rPr>
                <w:b w:val="0"/>
                <w:i w:val="0"/>
                <w:sz w:val="17"/>
              </w:rPr>
              <w:t>2,421</w:t>
            </w:r>
          </w:p>
        </w:tc>
        <w:tc>
          <w:tcPr>
            <w:tcW w:type="dxa" w:w="2551"/>
            <w:shd w:val="clear" w:color="auto" w:fill="FAF9F6"/>
          </w:tcPr>
          <w:p>
            <w:pPr>
              <w:spacing w:after="0" w:line="240" w:lineRule="auto"/>
            </w:pPr>
            <w:r/>
          </w:p>
        </w:tc>
      </w:tr>
      <w:tr>
        <w:tc>
          <w:tcPr>
            <w:tcW w:type="dxa" w:w="1871"/>
          </w:tcPr>
          <w:p>
            <w:pPr>
              <w:spacing w:after="0" w:line="240" w:lineRule="auto"/>
            </w:pPr>
            <w:r/>
            <w:r>
              <w:rPr>
                <w:b w:val="0"/>
                <w:i w:val="0"/>
                <w:sz w:val="17"/>
              </w:rPr>
              <w:t>Plus Soldiers Road forestry right</w:t>
            </w:r>
          </w:p>
        </w:tc>
        <w:tc>
          <w:tcPr>
            <w:tcW w:type="dxa" w:w="794"/>
          </w:tcPr>
          <w:p>
            <w:pPr>
              <w:spacing w:after="0" w:line="240" w:lineRule="auto"/>
            </w:pPr>
            <w:r/>
            <w:r>
              <w:rPr>
                <w:b w:val="0"/>
                <w:i w:val="0"/>
                <w:sz w:val="17"/>
              </w:rPr>
              <w:t>C</w:t>
            </w:r>
          </w:p>
        </w:tc>
        <w:tc>
          <w:tcPr>
            <w:tcW w:type="dxa" w:w="1474"/>
          </w:tcPr>
          <w:p>
            <w:pPr>
              <w:spacing w:after="0" w:line="240" w:lineRule="auto"/>
            </w:pPr>
            <w:r/>
            <w:r>
              <w:rPr>
                <w:b w:val="0"/>
                <w:i w:val="0"/>
                <w:sz w:val="17"/>
              </w:rPr>
              <w:t>FR</w:t>
            </w:r>
          </w:p>
        </w:tc>
        <w:tc>
          <w:tcPr>
            <w:tcW w:type="dxa" w:w="680"/>
          </w:tcPr>
          <w:p>
            <w:pPr>
              <w:spacing w:after="0" w:line="240" w:lineRule="auto"/>
              <w:jc w:val="right"/>
            </w:pPr>
            <w:r/>
            <w:r>
              <w:rPr>
                <w:b w:val="0"/>
                <w:i w:val="0"/>
                <w:sz w:val="17"/>
              </w:rPr>
              <w:t>–</w:t>
            </w:r>
          </w:p>
        </w:tc>
        <w:tc>
          <w:tcPr>
            <w:tcW w:type="dxa" w:w="1077"/>
          </w:tcPr>
          <w:p>
            <w:pPr>
              <w:spacing w:after="0" w:line="240" w:lineRule="auto"/>
              <w:jc w:val="right"/>
            </w:pPr>
            <w:r/>
            <w:r>
              <w:rPr>
                <w:b w:val="0"/>
                <w:i w:val="0"/>
                <w:sz w:val="17"/>
              </w:rPr>
              <w:t>(362.2)</w:t>
            </w:r>
          </w:p>
        </w:tc>
        <w:tc>
          <w:tcPr>
            <w:tcW w:type="dxa" w:w="1191"/>
          </w:tcPr>
          <w:p>
            <w:pPr>
              <w:spacing w:after="0" w:line="240" w:lineRule="auto"/>
              <w:jc w:val="right"/>
            </w:pPr>
            <w:r/>
            <w:r>
              <w:rPr>
                <w:b w:val="0"/>
                <w:i w:val="0"/>
                <w:sz w:val="17"/>
              </w:rPr>
              <w:t>176</w:t>
            </w:r>
          </w:p>
        </w:tc>
        <w:tc>
          <w:tcPr>
            <w:tcW w:type="dxa" w:w="2551"/>
          </w:tcPr>
          <w:p>
            <w:pPr>
              <w:spacing w:after="0" w:line="240" w:lineRule="auto"/>
            </w:pPr>
            <w:r/>
          </w:p>
        </w:tc>
      </w:tr>
    </w:tbl>
    <w:p>
      <w:pPr>
        <w:spacing w:after="40"/>
      </w:pPr>
    </w:p>
    <w:p>
      <w:r>
        <w:rPr>
          <w:b w:val="0"/>
          <w:i/>
          <w:sz w:val="17"/>
        </w:rPr>
        <w:t>Location key: A – Waitōtara Valley / Ngamatapouri; B – Waverley / Nukumaru coast; C – Eastern Taranaki (Whangamomona and Mangaehu Road); D – Toatoa, Ōpōtiki District.</w:t>
      </w:r>
    </w:p>
    <w:p>
      <w:pPr>
        <w:jc w:val="center"/>
      </w:pPr>
      <w:r>
        <w:drawing>
          <wp:inline xmlns:a="http://schemas.openxmlformats.org/drawingml/2006/main" xmlns:pic="http://schemas.openxmlformats.org/drawingml/2006/picture">
            <wp:extent cx="6120000" cy="1680268"/>
            <wp:docPr id="1" name="Picture 1"/>
            <wp:cNvGraphicFramePr>
              <a:graphicFrameLocks noChangeAspect="1"/>
            </wp:cNvGraphicFramePr>
            <a:graphic>
              <a:graphicData uri="http://schemas.openxmlformats.org/drawingml/2006/picture">
                <pic:pic>
                  <pic:nvPicPr>
                    <pic:cNvPr id="0" name="chart6_area_by_cluster.png"/>
                    <pic:cNvPicPr/>
                  </pic:nvPicPr>
                  <pic:blipFill>
                    <a:blip r:embed="rId9"/>
                    <a:stretch>
                      <a:fillRect/>
                    </a:stretch>
                  </pic:blipFill>
                  <pic:spPr>
                    <a:xfrm>
                      <a:off x="0" y="0"/>
                      <a:ext cx="6120000" cy="1680268"/>
                    </a:xfrm>
                    <a:prstGeom prst="rect"/>
                  </pic:spPr>
                </pic:pic>
              </a:graphicData>
            </a:graphic>
          </wp:inline>
        </w:drawing>
      </w:r>
    </w:p>
    <w:p>
      <w:pPr>
        <w:spacing w:after="200"/>
        <w:jc w:val="center"/>
      </w:pPr>
      <w:r>
        <w:rPr>
          <w:b w:val="0"/>
          <w:i/>
          <w:color w:val="6B6B60"/>
          <w:sz w:val="17"/>
        </w:rPr>
        <w:t>Figure 1 – Titled area by location and vendor.</w:t>
      </w:r>
    </w:p>
    <w:p>
      <w:pPr>
        <w:pStyle w:val="Heading2"/>
      </w:pPr>
      <w:r>
        <w:t>2.2  Land cover</w:t>
      </w:r>
    </w:p>
    <w:p>
      <w:r>
        <w:rPr>
          <w:b w:val="0"/>
          <w:i w:val="0"/>
        </w:rPr>
        <w:t>Land cover was mapped for the July 2026 appraisal from 10 m satellite imagery (summer 2023/24) with manual correction from recent aerial photography, with planted areas from PF Olsen's survey. Across the 13,832 ha of titled land in the sale, about 18% is planted pine or other exotic forest, 66% is native bush and mānuka/kānuka, and 15% is open grassland.</w:t>
      </w:r>
    </w:p>
    <w:p>
      <w:pPr>
        <w:jc w:val="center"/>
      </w:pPr>
      <w:r>
        <w:drawing>
          <wp:inline xmlns:a="http://schemas.openxmlformats.org/drawingml/2006/main" xmlns:pic="http://schemas.openxmlformats.org/drawingml/2006/picture">
            <wp:extent cx="6120000" cy="1521804"/>
            <wp:docPr id="2" name="Picture 2"/>
            <wp:cNvGraphicFramePr>
              <a:graphicFrameLocks noChangeAspect="1"/>
            </wp:cNvGraphicFramePr>
            <a:graphic>
              <a:graphicData uri="http://schemas.openxmlformats.org/drawingml/2006/picture">
                <pic:pic>
                  <pic:nvPicPr>
                    <pic:cNvPr id="0" name="chart2_estate_landcover.png"/>
                    <pic:cNvPicPr/>
                  </pic:nvPicPr>
                  <pic:blipFill>
                    <a:blip r:embed="rId10"/>
                    <a:stretch>
                      <a:fillRect/>
                    </a:stretch>
                  </pic:blipFill>
                  <pic:spPr>
                    <a:xfrm>
                      <a:off x="0" y="0"/>
                      <a:ext cx="6120000" cy="1521804"/>
                    </a:xfrm>
                    <a:prstGeom prst="rect"/>
                  </pic:spPr>
                </pic:pic>
              </a:graphicData>
            </a:graphic>
          </wp:inline>
        </w:drawing>
      </w:r>
    </w:p>
    <w:p>
      <w:pPr>
        <w:spacing w:after="200"/>
        <w:jc w:val="center"/>
      </w:pPr>
      <w:r>
        <w:rPr>
          <w:b w:val="0"/>
          <w:i/>
          <w:color w:val="6B6B60"/>
          <w:sz w:val="17"/>
        </w:rPr>
        <w:t>Figure 2 – Estate land cover (July 2026 mapping, titled land in the sale).</w:t>
      </w:r>
    </w:p>
    <w:p>
      <w:pPr>
        <w:jc w:val="center"/>
      </w:pPr>
      <w:r>
        <w:drawing>
          <wp:inline xmlns:a="http://schemas.openxmlformats.org/drawingml/2006/main" xmlns:pic="http://schemas.openxmlformats.org/drawingml/2006/picture">
            <wp:extent cx="6120000" cy="4406946"/>
            <wp:docPr id="3" name="Picture 3"/>
            <wp:cNvGraphicFramePr>
              <a:graphicFrameLocks noChangeAspect="1"/>
            </wp:cNvGraphicFramePr>
            <a:graphic>
              <a:graphicData uri="http://schemas.openxmlformats.org/drawingml/2006/picture">
                <pic:pic>
                  <pic:nvPicPr>
                    <pic:cNvPr id="0" name="chart1_landcover_by_block.png"/>
                    <pic:cNvPicPr/>
                  </pic:nvPicPr>
                  <pic:blipFill>
                    <a:blip r:embed="rId11"/>
                    <a:stretch>
                      <a:fillRect/>
                    </a:stretch>
                  </pic:blipFill>
                  <pic:spPr>
                    <a:xfrm>
                      <a:off x="0" y="0"/>
                      <a:ext cx="6120000" cy="4406946"/>
                    </a:xfrm>
                    <a:prstGeom prst="rect"/>
                  </pic:spPr>
                </pic:pic>
              </a:graphicData>
            </a:graphic>
          </wp:inline>
        </w:drawing>
      </w:r>
    </w:p>
    <w:p>
      <w:pPr>
        <w:spacing w:after="200"/>
        <w:jc w:val="center"/>
      </w:pPr>
      <w:r>
        <w:rPr>
          <w:b w:val="0"/>
          <w:i/>
          <w:color w:val="6B6B60"/>
          <w:sz w:val="17"/>
        </w:rPr>
        <w:t>Figure 3 – Land cover by block.</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1377"/>
        <w:gridCol w:w="1377"/>
        <w:gridCol w:w="1377"/>
        <w:gridCol w:w="1377"/>
        <w:gridCol w:w="1377"/>
        <w:gridCol w:w="1377"/>
        <w:gridCol w:w="1377"/>
      </w:tblGrid>
      <w:tr>
        <w:tc>
          <w:tcPr>
            <w:tcW w:type="dxa" w:w="2041"/>
            <w:shd w:val="clear" w:color="auto" w:fill="DBD2C3"/>
          </w:tcPr>
          <w:p>
            <w:pPr>
              <w:spacing w:after="0" w:line="240" w:lineRule="auto"/>
            </w:pPr>
            <w:r/>
            <w:r>
              <w:rPr>
                <w:b/>
                <w:i w:val="0"/>
                <w:sz w:val="17"/>
              </w:rPr>
              <w:t>Block</w:t>
            </w:r>
          </w:p>
        </w:tc>
        <w:tc>
          <w:tcPr>
            <w:tcW w:type="dxa" w:w="1134"/>
            <w:shd w:val="clear" w:color="auto" w:fill="DBD2C3"/>
          </w:tcPr>
          <w:p>
            <w:pPr>
              <w:spacing w:after="0" w:line="240" w:lineRule="auto"/>
            </w:pPr>
            <w:r/>
            <w:r>
              <w:rPr>
                <w:b/>
                <w:i w:val="0"/>
                <w:sz w:val="17"/>
              </w:rPr>
              <w:t>Area (ha)</w:t>
            </w:r>
          </w:p>
        </w:tc>
        <w:tc>
          <w:tcPr>
            <w:tcW w:type="dxa" w:w="1247"/>
            <w:shd w:val="clear" w:color="auto" w:fill="DBD2C3"/>
          </w:tcPr>
          <w:p>
            <w:pPr>
              <w:spacing w:after="0" w:line="240" w:lineRule="auto"/>
            </w:pPr>
            <w:r/>
            <w:r>
              <w:rPr>
                <w:b/>
                <w:i w:val="0"/>
                <w:sz w:val="17"/>
              </w:rPr>
              <w:t>Pine / exotic</w:t>
            </w:r>
          </w:p>
        </w:tc>
        <w:tc>
          <w:tcPr>
            <w:tcW w:type="dxa" w:w="1247"/>
            <w:shd w:val="clear" w:color="auto" w:fill="DBD2C3"/>
          </w:tcPr>
          <w:p>
            <w:pPr>
              <w:spacing w:after="0" w:line="240" w:lineRule="auto"/>
            </w:pPr>
            <w:r/>
            <w:r>
              <w:rPr>
                <w:b/>
                <w:i w:val="0"/>
                <w:sz w:val="17"/>
              </w:rPr>
              <w:t>Native bush</w:t>
            </w:r>
          </w:p>
        </w:tc>
        <w:tc>
          <w:tcPr>
            <w:tcW w:type="dxa" w:w="1361"/>
            <w:shd w:val="clear" w:color="auto" w:fill="DBD2C3"/>
          </w:tcPr>
          <w:p>
            <w:pPr>
              <w:spacing w:after="0" w:line="240" w:lineRule="auto"/>
            </w:pPr>
            <w:r/>
            <w:r>
              <w:rPr>
                <w:b/>
                <w:i w:val="0"/>
                <w:sz w:val="17"/>
              </w:rPr>
              <w:t>Mānuka / kānuka</w:t>
            </w:r>
          </w:p>
        </w:tc>
        <w:tc>
          <w:tcPr>
            <w:tcW w:type="dxa" w:w="1361"/>
            <w:shd w:val="clear" w:color="auto" w:fill="DBD2C3"/>
          </w:tcPr>
          <w:p>
            <w:pPr>
              <w:spacing w:after="0" w:line="240" w:lineRule="auto"/>
            </w:pPr>
            <w:r/>
            <w:r>
              <w:rPr>
                <w:b/>
                <w:i w:val="0"/>
                <w:sz w:val="17"/>
              </w:rPr>
              <w:t>Open grassland</w:t>
            </w:r>
          </w:p>
        </w:tc>
        <w:tc>
          <w:tcPr>
            <w:tcW w:type="dxa" w:w="1247"/>
            <w:shd w:val="clear" w:color="auto" w:fill="DBD2C3"/>
          </w:tcPr>
          <w:p>
            <w:pPr>
              <w:spacing w:after="0" w:line="240" w:lineRule="auto"/>
            </w:pPr>
            <w:r/>
            <w:r>
              <w:rPr>
                <w:b/>
                <w:i w:val="0"/>
                <w:sz w:val="17"/>
              </w:rPr>
              <w:t>Water / other</w:t>
            </w:r>
          </w:p>
        </w:tc>
      </w:tr>
      <w:tr>
        <w:tc>
          <w:tcPr>
            <w:tcW w:type="dxa" w:w="2041"/>
          </w:tcPr>
          <w:p>
            <w:pPr>
              <w:spacing w:after="0" w:line="240" w:lineRule="auto"/>
            </w:pPr>
            <w:r/>
            <w:r>
              <w:rPr>
                <w:b w:val="0"/>
                <w:i w:val="0"/>
                <w:sz w:val="17"/>
              </w:rPr>
              <w:t>Back Farm</w:t>
            </w:r>
          </w:p>
        </w:tc>
        <w:tc>
          <w:tcPr>
            <w:tcW w:type="dxa" w:w="1134"/>
          </w:tcPr>
          <w:p>
            <w:pPr>
              <w:spacing w:after="0" w:line="240" w:lineRule="auto"/>
              <w:jc w:val="right"/>
            </w:pPr>
            <w:r/>
            <w:r>
              <w:rPr>
                <w:b w:val="0"/>
                <w:i w:val="0"/>
                <w:sz w:val="17"/>
              </w:rPr>
              <w:t>2,104.4</w:t>
            </w:r>
          </w:p>
        </w:tc>
        <w:tc>
          <w:tcPr>
            <w:tcW w:type="dxa" w:w="1247"/>
          </w:tcPr>
          <w:p>
            <w:pPr>
              <w:spacing w:after="0" w:line="240" w:lineRule="auto"/>
              <w:jc w:val="right"/>
            </w:pPr>
            <w:r/>
            <w:r>
              <w:rPr>
                <w:b w:val="0"/>
                <w:i w:val="0"/>
                <w:sz w:val="17"/>
              </w:rPr>
              <w:t>785.6</w:t>
            </w:r>
          </w:p>
        </w:tc>
        <w:tc>
          <w:tcPr>
            <w:tcW w:type="dxa" w:w="1247"/>
          </w:tcPr>
          <w:p>
            <w:pPr>
              <w:spacing w:after="0" w:line="240" w:lineRule="auto"/>
              <w:jc w:val="right"/>
            </w:pPr>
            <w:r/>
            <w:r>
              <w:rPr>
                <w:b w:val="0"/>
                <w:i w:val="0"/>
                <w:sz w:val="17"/>
              </w:rPr>
              <w:t>565.2</w:t>
            </w:r>
          </w:p>
        </w:tc>
        <w:tc>
          <w:tcPr>
            <w:tcW w:type="dxa" w:w="1361"/>
          </w:tcPr>
          <w:p>
            <w:pPr>
              <w:spacing w:after="0" w:line="240" w:lineRule="auto"/>
              <w:jc w:val="right"/>
            </w:pPr>
            <w:r/>
            <w:r>
              <w:rPr>
                <w:b w:val="0"/>
                <w:i w:val="0"/>
                <w:sz w:val="17"/>
              </w:rPr>
              <w:t>486.5</w:t>
            </w:r>
          </w:p>
        </w:tc>
        <w:tc>
          <w:tcPr>
            <w:tcW w:type="dxa" w:w="1361"/>
          </w:tcPr>
          <w:p>
            <w:pPr>
              <w:spacing w:after="0" w:line="240" w:lineRule="auto"/>
              <w:jc w:val="right"/>
            </w:pPr>
            <w:r/>
            <w:r>
              <w:rPr>
                <w:b w:val="0"/>
                <w:i w:val="0"/>
                <w:sz w:val="17"/>
              </w:rPr>
              <w:t>264.0</w:t>
            </w:r>
          </w:p>
        </w:tc>
        <w:tc>
          <w:tcPr>
            <w:tcW w:type="dxa" w:w="1247"/>
          </w:tcPr>
          <w:p>
            <w:pPr>
              <w:spacing w:after="0" w:line="240" w:lineRule="auto"/>
              <w:jc w:val="right"/>
            </w:pPr>
            <w:r/>
            <w:r>
              <w:rPr>
                <w:b w:val="0"/>
                <w:i w:val="0"/>
                <w:sz w:val="17"/>
              </w:rPr>
              <w:t>3.0</w:t>
            </w:r>
          </w:p>
        </w:tc>
      </w:tr>
      <w:tr>
        <w:tc>
          <w:tcPr>
            <w:tcW w:type="dxa" w:w="2041"/>
            <w:shd w:val="clear" w:color="auto" w:fill="FAF9F6"/>
          </w:tcPr>
          <w:p>
            <w:pPr>
              <w:spacing w:after="0" w:line="240" w:lineRule="auto"/>
            </w:pPr>
            <w:r/>
            <w:r>
              <w:rPr>
                <w:b w:val="0"/>
                <w:i w:val="0"/>
                <w:sz w:val="17"/>
              </w:rPr>
              <w:t>Longreach</w:t>
            </w:r>
          </w:p>
        </w:tc>
        <w:tc>
          <w:tcPr>
            <w:tcW w:type="dxa" w:w="1134"/>
            <w:shd w:val="clear" w:color="auto" w:fill="FAF9F6"/>
          </w:tcPr>
          <w:p>
            <w:pPr>
              <w:spacing w:after="0" w:line="240" w:lineRule="auto"/>
              <w:jc w:val="right"/>
            </w:pPr>
            <w:r/>
            <w:r>
              <w:rPr>
                <w:b w:val="0"/>
                <w:i w:val="0"/>
                <w:sz w:val="17"/>
              </w:rPr>
              <w:t>1,723.1</w:t>
            </w:r>
          </w:p>
        </w:tc>
        <w:tc>
          <w:tcPr>
            <w:tcW w:type="dxa" w:w="1247"/>
            <w:shd w:val="clear" w:color="auto" w:fill="FAF9F6"/>
          </w:tcPr>
          <w:p>
            <w:pPr>
              <w:spacing w:after="0" w:line="240" w:lineRule="auto"/>
              <w:jc w:val="right"/>
            </w:pPr>
            <w:r/>
            <w:r>
              <w:rPr>
                <w:b w:val="0"/>
                <w:i w:val="0"/>
                <w:sz w:val="17"/>
              </w:rPr>
              <w:t>777.7</w:t>
            </w:r>
          </w:p>
        </w:tc>
        <w:tc>
          <w:tcPr>
            <w:tcW w:type="dxa" w:w="1247"/>
            <w:shd w:val="clear" w:color="auto" w:fill="FAF9F6"/>
          </w:tcPr>
          <w:p>
            <w:pPr>
              <w:spacing w:after="0" w:line="240" w:lineRule="auto"/>
              <w:jc w:val="right"/>
            </w:pPr>
            <w:r/>
            <w:r>
              <w:rPr>
                <w:b w:val="0"/>
                <w:i w:val="0"/>
                <w:sz w:val="17"/>
              </w:rPr>
              <w:t>295.3</w:t>
            </w:r>
          </w:p>
        </w:tc>
        <w:tc>
          <w:tcPr>
            <w:tcW w:type="dxa" w:w="1361"/>
            <w:shd w:val="clear" w:color="auto" w:fill="FAF9F6"/>
          </w:tcPr>
          <w:p>
            <w:pPr>
              <w:spacing w:after="0" w:line="240" w:lineRule="auto"/>
              <w:jc w:val="right"/>
            </w:pPr>
            <w:r/>
            <w:r>
              <w:rPr>
                <w:b w:val="0"/>
                <w:i w:val="0"/>
                <w:sz w:val="17"/>
              </w:rPr>
              <w:t>287.8</w:t>
            </w:r>
          </w:p>
        </w:tc>
        <w:tc>
          <w:tcPr>
            <w:tcW w:type="dxa" w:w="1361"/>
            <w:shd w:val="clear" w:color="auto" w:fill="FAF9F6"/>
          </w:tcPr>
          <w:p>
            <w:pPr>
              <w:spacing w:after="0" w:line="240" w:lineRule="auto"/>
              <w:jc w:val="right"/>
            </w:pPr>
            <w:r/>
            <w:r>
              <w:rPr>
                <w:b w:val="0"/>
                <w:i w:val="0"/>
                <w:sz w:val="17"/>
              </w:rPr>
              <w:t>362.3</w:t>
            </w:r>
          </w:p>
        </w:tc>
        <w:tc>
          <w:tcPr>
            <w:tcW w:type="dxa" w:w="1247"/>
            <w:shd w:val="clear" w:color="auto" w:fill="FAF9F6"/>
          </w:tcPr>
          <w:p>
            <w:pPr>
              <w:spacing w:after="0" w:line="240" w:lineRule="auto"/>
              <w:jc w:val="right"/>
            </w:pPr>
            <w:r/>
            <w:r>
              <w:rPr>
                <w:b w:val="0"/>
                <w:i w:val="0"/>
                <w:sz w:val="17"/>
              </w:rPr>
              <w:t>–</w:t>
            </w:r>
          </w:p>
        </w:tc>
      </w:tr>
      <w:tr>
        <w:tc>
          <w:tcPr>
            <w:tcW w:type="dxa" w:w="2041"/>
          </w:tcPr>
          <w:p>
            <w:pPr>
              <w:spacing w:after="0" w:line="240" w:lineRule="auto"/>
            </w:pPr>
            <w:r/>
            <w:r>
              <w:rPr>
                <w:b w:val="0"/>
                <w:i w:val="0"/>
                <w:sz w:val="17"/>
              </w:rPr>
              <w:t>Eastern Block</w:t>
            </w:r>
          </w:p>
        </w:tc>
        <w:tc>
          <w:tcPr>
            <w:tcW w:type="dxa" w:w="1134"/>
          </w:tcPr>
          <w:p>
            <w:pPr>
              <w:spacing w:after="0" w:line="240" w:lineRule="auto"/>
              <w:jc w:val="right"/>
            </w:pPr>
            <w:r/>
            <w:r>
              <w:rPr>
                <w:b w:val="0"/>
                <w:i w:val="0"/>
                <w:sz w:val="17"/>
              </w:rPr>
              <w:t>1,071.5</w:t>
            </w:r>
          </w:p>
        </w:tc>
        <w:tc>
          <w:tcPr>
            <w:tcW w:type="dxa" w:w="1247"/>
          </w:tcPr>
          <w:p>
            <w:pPr>
              <w:spacing w:after="0" w:line="240" w:lineRule="auto"/>
              <w:jc w:val="right"/>
            </w:pPr>
            <w:r/>
            <w:r>
              <w:rPr>
                <w:b w:val="0"/>
                <w:i w:val="0"/>
                <w:sz w:val="17"/>
              </w:rPr>
              <w:t>42.2</w:t>
            </w:r>
          </w:p>
        </w:tc>
        <w:tc>
          <w:tcPr>
            <w:tcW w:type="dxa" w:w="1247"/>
          </w:tcPr>
          <w:p>
            <w:pPr>
              <w:spacing w:after="0" w:line="240" w:lineRule="auto"/>
              <w:jc w:val="right"/>
            </w:pPr>
            <w:r/>
            <w:r>
              <w:rPr>
                <w:b w:val="0"/>
                <w:i w:val="0"/>
                <w:sz w:val="17"/>
              </w:rPr>
              <w:t>399.2</w:t>
            </w:r>
          </w:p>
        </w:tc>
        <w:tc>
          <w:tcPr>
            <w:tcW w:type="dxa" w:w="1361"/>
          </w:tcPr>
          <w:p>
            <w:pPr>
              <w:spacing w:after="0" w:line="240" w:lineRule="auto"/>
              <w:jc w:val="right"/>
            </w:pPr>
            <w:r/>
            <w:r>
              <w:rPr>
                <w:b w:val="0"/>
                <w:i w:val="0"/>
                <w:sz w:val="17"/>
              </w:rPr>
              <w:t>324.6</w:t>
            </w:r>
          </w:p>
        </w:tc>
        <w:tc>
          <w:tcPr>
            <w:tcW w:type="dxa" w:w="1361"/>
          </w:tcPr>
          <w:p>
            <w:pPr>
              <w:spacing w:after="0" w:line="240" w:lineRule="auto"/>
              <w:jc w:val="right"/>
            </w:pPr>
            <w:r/>
            <w:r>
              <w:rPr>
                <w:b w:val="0"/>
                <w:i w:val="0"/>
                <w:sz w:val="17"/>
              </w:rPr>
              <w:t>302.5</w:t>
            </w:r>
          </w:p>
        </w:tc>
        <w:tc>
          <w:tcPr>
            <w:tcW w:type="dxa" w:w="1247"/>
          </w:tcPr>
          <w:p>
            <w:pPr>
              <w:spacing w:after="0" w:line="240" w:lineRule="auto"/>
              <w:jc w:val="right"/>
            </w:pPr>
            <w:r/>
            <w:r>
              <w:rPr>
                <w:b w:val="0"/>
                <w:i w:val="0"/>
                <w:sz w:val="17"/>
              </w:rPr>
              <w:t>2.9</w:t>
            </w:r>
          </w:p>
        </w:tc>
      </w:tr>
      <w:tr>
        <w:tc>
          <w:tcPr>
            <w:tcW w:type="dxa" w:w="2041"/>
            <w:shd w:val="clear" w:color="auto" w:fill="FAF9F6"/>
          </w:tcPr>
          <w:p>
            <w:pPr>
              <w:spacing w:after="0" w:line="240" w:lineRule="auto"/>
            </w:pPr>
            <w:r/>
            <w:r>
              <w:rPr>
                <w:b w:val="0"/>
                <w:i w:val="0"/>
                <w:sz w:val="17"/>
              </w:rPr>
              <w:t>Front Farm</w:t>
            </w:r>
          </w:p>
        </w:tc>
        <w:tc>
          <w:tcPr>
            <w:tcW w:type="dxa" w:w="1134"/>
            <w:shd w:val="clear" w:color="auto" w:fill="FAF9F6"/>
          </w:tcPr>
          <w:p>
            <w:pPr>
              <w:spacing w:after="0" w:line="240" w:lineRule="auto"/>
              <w:jc w:val="right"/>
            </w:pPr>
            <w:r/>
            <w:r>
              <w:rPr>
                <w:b w:val="0"/>
                <w:i w:val="0"/>
                <w:sz w:val="17"/>
              </w:rPr>
              <w:t>502.1</w:t>
            </w:r>
          </w:p>
        </w:tc>
        <w:tc>
          <w:tcPr>
            <w:tcW w:type="dxa" w:w="1247"/>
            <w:shd w:val="clear" w:color="auto" w:fill="FAF9F6"/>
          </w:tcPr>
          <w:p>
            <w:pPr>
              <w:spacing w:after="0" w:line="240" w:lineRule="auto"/>
              <w:jc w:val="right"/>
            </w:pPr>
            <w:r/>
            <w:r>
              <w:rPr>
                <w:b w:val="0"/>
                <w:i w:val="0"/>
                <w:sz w:val="17"/>
              </w:rPr>
              <w:t>232.2</w:t>
            </w:r>
          </w:p>
        </w:tc>
        <w:tc>
          <w:tcPr>
            <w:tcW w:type="dxa" w:w="1247"/>
            <w:shd w:val="clear" w:color="auto" w:fill="FAF9F6"/>
          </w:tcPr>
          <w:p>
            <w:pPr>
              <w:spacing w:after="0" w:line="240" w:lineRule="auto"/>
              <w:jc w:val="right"/>
            </w:pPr>
            <w:r/>
            <w:r>
              <w:rPr>
                <w:b w:val="0"/>
                <w:i w:val="0"/>
                <w:sz w:val="17"/>
              </w:rPr>
              <w:t>15.6</w:t>
            </w:r>
          </w:p>
        </w:tc>
        <w:tc>
          <w:tcPr>
            <w:tcW w:type="dxa" w:w="1361"/>
            <w:shd w:val="clear" w:color="auto" w:fill="FAF9F6"/>
          </w:tcPr>
          <w:p>
            <w:pPr>
              <w:spacing w:after="0" w:line="240" w:lineRule="auto"/>
              <w:jc w:val="right"/>
            </w:pPr>
            <w:r/>
            <w:r>
              <w:rPr>
                <w:b w:val="0"/>
                <w:i w:val="0"/>
                <w:sz w:val="17"/>
              </w:rPr>
              <w:t>27.2</w:t>
            </w:r>
          </w:p>
        </w:tc>
        <w:tc>
          <w:tcPr>
            <w:tcW w:type="dxa" w:w="1361"/>
            <w:shd w:val="clear" w:color="auto" w:fill="FAF9F6"/>
          </w:tcPr>
          <w:p>
            <w:pPr>
              <w:spacing w:after="0" w:line="240" w:lineRule="auto"/>
              <w:jc w:val="right"/>
            </w:pPr>
            <w:r/>
            <w:r>
              <w:rPr>
                <w:b w:val="0"/>
                <w:i w:val="0"/>
                <w:sz w:val="17"/>
              </w:rPr>
              <w:t>227.1</w:t>
            </w:r>
          </w:p>
        </w:tc>
        <w:tc>
          <w:tcPr>
            <w:tcW w:type="dxa" w:w="1247"/>
            <w:shd w:val="clear" w:color="auto" w:fill="FAF9F6"/>
          </w:tcPr>
          <w:p>
            <w:pPr>
              <w:spacing w:after="0" w:line="240" w:lineRule="auto"/>
              <w:jc w:val="right"/>
            </w:pPr>
            <w:r/>
            <w:r>
              <w:rPr>
                <w:b w:val="0"/>
                <w:i w:val="0"/>
                <w:sz w:val="17"/>
              </w:rPr>
              <w:t>–</w:t>
            </w:r>
          </w:p>
        </w:tc>
      </w:tr>
      <w:tr>
        <w:tc>
          <w:tcPr>
            <w:tcW w:type="dxa" w:w="2041"/>
          </w:tcPr>
          <w:p>
            <w:pPr>
              <w:spacing w:after="0" w:line="240" w:lineRule="auto"/>
            </w:pPr>
            <w:r/>
            <w:r>
              <w:rPr>
                <w:b w:val="0"/>
                <w:i w:val="0"/>
                <w:sz w:val="17"/>
              </w:rPr>
              <w:t>Puau Road</w:t>
            </w:r>
          </w:p>
        </w:tc>
        <w:tc>
          <w:tcPr>
            <w:tcW w:type="dxa" w:w="1134"/>
          </w:tcPr>
          <w:p>
            <w:pPr>
              <w:spacing w:after="0" w:line="240" w:lineRule="auto"/>
              <w:jc w:val="right"/>
            </w:pPr>
            <w:r/>
            <w:r>
              <w:rPr>
                <w:b w:val="0"/>
                <w:i w:val="0"/>
                <w:sz w:val="17"/>
              </w:rPr>
              <w:t>1,871.7</w:t>
            </w:r>
          </w:p>
        </w:tc>
        <w:tc>
          <w:tcPr>
            <w:tcW w:type="dxa" w:w="1247"/>
          </w:tcPr>
          <w:p>
            <w:pPr>
              <w:spacing w:after="0" w:line="240" w:lineRule="auto"/>
              <w:jc w:val="right"/>
            </w:pPr>
            <w:r/>
            <w:r>
              <w:rPr>
                <w:b w:val="0"/>
                <w:i w:val="0"/>
                <w:sz w:val="17"/>
              </w:rPr>
              <w:t>56.5</w:t>
            </w:r>
          </w:p>
        </w:tc>
        <w:tc>
          <w:tcPr>
            <w:tcW w:type="dxa" w:w="1247"/>
          </w:tcPr>
          <w:p>
            <w:pPr>
              <w:spacing w:after="0" w:line="240" w:lineRule="auto"/>
              <w:jc w:val="right"/>
            </w:pPr>
            <w:r/>
            <w:r>
              <w:rPr>
                <w:b w:val="0"/>
                <w:i w:val="0"/>
                <w:sz w:val="17"/>
              </w:rPr>
              <w:t>889.2</w:t>
            </w:r>
          </w:p>
        </w:tc>
        <w:tc>
          <w:tcPr>
            <w:tcW w:type="dxa" w:w="1361"/>
          </w:tcPr>
          <w:p>
            <w:pPr>
              <w:spacing w:after="0" w:line="240" w:lineRule="auto"/>
              <w:jc w:val="right"/>
            </w:pPr>
            <w:r/>
            <w:r>
              <w:rPr>
                <w:b w:val="0"/>
                <w:i w:val="0"/>
                <w:sz w:val="17"/>
              </w:rPr>
              <w:t>568.1</w:t>
            </w:r>
          </w:p>
        </w:tc>
        <w:tc>
          <w:tcPr>
            <w:tcW w:type="dxa" w:w="1361"/>
          </w:tcPr>
          <w:p>
            <w:pPr>
              <w:spacing w:after="0" w:line="240" w:lineRule="auto"/>
              <w:jc w:val="right"/>
            </w:pPr>
            <w:r/>
            <w:r>
              <w:rPr>
                <w:b w:val="0"/>
                <w:i w:val="0"/>
                <w:sz w:val="17"/>
              </w:rPr>
              <w:t>357.8</w:t>
            </w:r>
          </w:p>
        </w:tc>
        <w:tc>
          <w:tcPr>
            <w:tcW w:type="dxa" w:w="1247"/>
          </w:tcPr>
          <w:p>
            <w:pPr>
              <w:spacing w:after="0" w:line="240" w:lineRule="auto"/>
              <w:jc w:val="right"/>
            </w:pPr>
            <w:r/>
            <w:r>
              <w:rPr>
                <w:b w:val="0"/>
                <w:i w:val="0"/>
                <w:sz w:val="17"/>
              </w:rPr>
              <w:t>0.1</w:t>
            </w:r>
          </w:p>
        </w:tc>
      </w:tr>
      <w:tr>
        <w:tc>
          <w:tcPr>
            <w:tcW w:type="dxa" w:w="2041"/>
            <w:shd w:val="clear" w:color="auto" w:fill="FAF9F6"/>
          </w:tcPr>
          <w:p>
            <w:pPr>
              <w:spacing w:after="0" w:line="240" w:lineRule="auto"/>
            </w:pPr>
            <w:r/>
            <w:r>
              <w:rPr>
                <w:b w:val="0"/>
                <w:i w:val="0"/>
                <w:sz w:val="17"/>
              </w:rPr>
              <w:t>Whangamomona</w:t>
            </w:r>
          </w:p>
        </w:tc>
        <w:tc>
          <w:tcPr>
            <w:tcW w:type="dxa" w:w="1134"/>
            <w:shd w:val="clear" w:color="auto" w:fill="FAF9F6"/>
          </w:tcPr>
          <w:p>
            <w:pPr>
              <w:spacing w:after="0" w:line="240" w:lineRule="auto"/>
              <w:jc w:val="right"/>
            </w:pPr>
            <w:r/>
            <w:r>
              <w:rPr>
                <w:b w:val="0"/>
                <w:i w:val="0"/>
                <w:sz w:val="17"/>
              </w:rPr>
              <w:t>738.9</w:t>
            </w:r>
          </w:p>
        </w:tc>
        <w:tc>
          <w:tcPr>
            <w:tcW w:type="dxa" w:w="1247"/>
            <w:shd w:val="clear" w:color="auto" w:fill="FAF9F6"/>
          </w:tcPr>
          <w:p>
            <w:pPr>
              <w:spacing w:after="0" w:line="240" w:lineRule="auto"/>
              <w:jc w:val="right"/>
            </w:pPr>
            <w:r/>
            <w:r>
              <w:rPr>
                <w:b w:val="0"/>
                <w:i w:val="0"/>
                <w:sz w:val="17"/>
              </w:rPr>
              <w:t>355.1</w:t>
            </w:r>
          </w:p>
        </w:tc>
        <w:tc>
          <w:tcPr>
            <w:tcW w:type="dxa" w:w="1247"/>
            <w:shd w:val="clear" w:color="auto" w:fill="FAF9F6"/>
          </w:tcPr>
          <w:p>
            <w:pPr>
              <w:spacing w:after="0" w:line="240" w:lineRule="auto"/>
              <w:jc w:val="right"/>
            </w:pPr>
            <w:r/>
            <w:r>
              <w:rPr>
                <w:b w:val="0"/>
                <w:i w:val="0"/>
                <w:sz w:val="17"/>
              </w:rPr>
              <w:t>123.2</w:t>
            </w:r>
          </w:p>
        </w:tc>
        <w:tc>
          <w:tcPr>
            <w:tcW w:type="dxa" w:w="1361"/>
            <w:shd w:val="clear" w:color="auto" w:fill="FAF9F6"/>
          </w:tcPr>
          <w:p>
            <w:pPr>
              <w:spacing w:after="0" w:line="240" w:lineRule="auto"/>
              <w:jc w:val="right"/>
            </w:pPr>
            <w:r/>
            <w:r>
              <w:rPr>
                <w:b w:val="0"/>
                <w:i w:val="0"/>
                <w:sz w:val="17"/>
              </w:rPr>
              <w:t>176.5</w:t>
            </w:r>
          </w:p>
        </w:tc>
        <w:tc>
          <w:tcPr>
            <w:tcW w:type="dxa" w:w="1361"/>
            <w:shd w:val="clear" w:color="auto" w:fill="FAF9F6"/>
          </w:tcPr>
          <w:p>
            <w:pPr>
              <w:spacing w:after="0" w:line="240" w:lineRule="auto"/>
              <w:jc w:val="right"/>
            </w:pPr>
            <w:r/>
            <w:r>
              <w:rPr>
                <w:b w:val="0"/>
                <w:i w:val="0"/>
                <w:sz w:val="17"/>
              </w:rPr>
              <w:t>84.1</w:t>
            </w:r>
          </w:p>
        </w:tc>
        <w:tc>
          <w:tcPr>
            <w:tcW w:type="dxa" w:w="1247"/>
            <w:shd w:val="clear" w:color="auto" w:fill="FAF9F6"/>
          </w:tcPr>
          <w:p>
            <w:pPr>
              <w:spacing w:after="0" w:line="240" w:lineRule="auto"/>
              <w:jc w:val="right"/>
            </w:pPr>
            <w:r/>
            <w:r>
              <w:rPr>
                <w:b w:val="0"/>
                <w:i w:val="0"/>
                <w:sz w:val="17"/>
              </w:rPr>
              <w:t>–</w:t>
            </w:r>
          </w:p>
        </w:tc>
      </w:tr>
      <w:tr>
        <w:tc>
          <w:tcPr>
            <w:tcW w:type="dxa" w:w="2041"/>
          </w:tcPr>
          <w:p>
            <w:pPr>
              <w:spacing w:after="0" w:line="240" w:lineRule="auto"/>
            </w:pPr>
            <w:r/>
            <w:r>
              <w:rPr>
                <w:b w:val="0"/>
                <w:i w:val="0"/>
                <w:sz w:val="17"/>
              </w:rPr>
              <w:t>Soldiers Road (forestry right)</w:t>
            </w:r>
          </w:p>
        </w:tc>
        <w:tc>
          <w:tcPr>
            <w:tcW w:type="dxa" w:w="1134"/>
          </w:tcPr>
          <w:p>
            <w:pPr>
              <w:spacing w:after="0" w:line="240" w:lineRule="auto"/>
              <w:jc w:val="right"/>
            </w:pPr>
            <w:r/>
            <w:r>
              <w:rPr>
                <w:b w:val="0"/>
                <w:i w:val="0"/>
                <w:sz w:val="17"/>
              </w:rPr>
              <w:t>362.2</w:t>
            </w:r>
          </w:p>
        </w:tc>
        <w:tc>
          <w:tcPr>
            <w:tcW w:type="dxa" w:w="1247"/>
          </w:tcPr>
          <w:p>
            <w:pPr>
              <w:spacing w:after="0" w:line="240" w:lineRule="auto"/>
              <w:jc w:val="right"/>
            </w:pPr>
            <w:r/>
            <w:r>
              <w:rPr>
                <w:b w:val="0"/>
                <w:i w:val="0"/>
                <w:sz w:val="17"/>
              </w:rPr>
              <w:t>176.1</w:t>
            </w:r>
          </w:p>
        </w:tc>
        <w:tc>
          <w:tcPr>
            <w:tcW w:type="dxa" w:w="1247"/>
          </w:tcPr>
          <w:p>
            <w:pPr>
              <w:spacing w:after="0" w:line="240" w:lineRule="auto"/>
              <w:jc w:val="right"/>
            </w:pPr>
            <w:r/>
            <w:r>
              <w:rPr>
                <w:b w:val="0"/>
                <w:i w:val="0"/>
                <w:sz w:val="17"/>
              </w:rPr>
              <w:t>1.4</w:t>
            </w:r>
          </w:p>
        </w:tc>
        <w:tc>
          <w:tcPr>
            <w:tcW w:type="dxa" w:w="1361"/>
          </w:tcPr>
          <w:p>
            <w:pPr>
              <w:spacing w:after="0" w:line="240" w:lineRule="auto"/>
              <w:jc w:val="right"/>
            </w:pPr>
            <w:r/>
            <w:r>
              <w:rPr>
                <w:b w:val="0"/>
                <w:i w:val="0"/>
                <w:sz w:val="17"/>
              </w:rPr>
              <w:t>131.3</w:t>
            </w:r>
          </w:p>
        </w:tc>
        <w:tc>
          <w:tcPr>
            <w:tcW w:type="dxa" w:w="1361"/>
          </w:tcPr>
          <w:p>
            <w:pPr>
              <w:spacing w:after="0" w:line="240" w:lineRule="auto"/>
              <w:jc w:val="right"/>
            </w:pPr>
            <w:r/>
            <w:r>
              <w:rPr>
                <w:b w:val="0"/>
                <w:i w:val="0"/>
                <w:sz w:val="17"/>
              </w:rPr>
              <w:t>53.3</w:t>
            </w:r>
          </w:p>
        </w:tc>
        <w:tc>
          <w:tcPr>
            <w:tcW w:type="dxa" w:w="1247"/>
          </w:tcPr>
          <w:p>
            <w:pPr>
              <w:spacing w:after="0" w:line="240" w:lineRule="auto"/>
              <w:jc w:val="right"/>
            </w:pPr>
            <w:r/>
            <w:r>
              <w:rPr>
                <w:b w:val="0"/>
                <w:i w:val="0"/>
                <w:sz w:val="17"/>
              </w:rPr>
              <w:t>0.1</w:t>
            </w:r>
          </w:p>
        </w:tc>
      </w:tr>
      <w:tr>
        <w:tc>
          <w:tcPr>
            <w:tcW w:type="dxa" w:w="2041"/>
            <w:shd w:val="clear" w:color="auto" w:fill="FAF9F6"/>
          </w:tcPr>
          <w:p>
            <w:pPr>
              <w:spacing w:after="0" w:line="240" w:lineRule="auto"/>
            </w:pPr>
            <w:r/>
            <w:r>
              <w:rPr>
                <w:b w:val="0"/>
                <w:i w:val="0"/>
                <w:sz w:val="17"/>
              </w:rPr>
              <w:t>Staghaven</w:t>
            </w:r>
          </w:p>
        </w:tc>
        <w:tc>
          <w:tcPr>
            <w:tcW w:type="dxa" w:w="1134"/>
            <w:shd w:val="clear" w:color="auto" w:fill="FAF9F6"/>
          </w:tcPr>
          <w:p>
            <w:pPr>
              <w:spacing w:after="0" w:line="240" w:lineRule="auto"/>
              <w:jc w:val="right"/>
            </w:pPr>
            <w:r/>
            <w:r>
              <w:rPr>
                <w:b w:val="0"/>
                <w:i w:val="0"/>
                <w:sz w:val="17"/>
              </w:rPr>
              <w:t>295.6</w:t>
            </w:r>
          </w:p>
        </w:tc>
        <w:tc>
          <w:tcPr>
            <w:tcW w:type="dxa" w:w="1247"/>
            <w:shd w:val="clear" w:color="auto" w:fill="FAF9F6"/>
          </w:tcPr>
          <w:p>
            <w:pPr>
              <w:spacing w:after="0" w:line="240" w:lineRule="auto"/>
              <w:jc w:val="right"/>
            </w:pPr>
            <w:r/>
            <w:r>
              <w:rPr>
                <w:b w:val="0"/>
                <w:i w:val="0"/>
                <w:sz w:val="17"/>
              </w:rPr>
              <w:t>131.8</w:t>
            </w:r>
          </w:p>
        </w:tc>
        <w:tc>
          <w:tcPr>
            <w:tcW w:type="dxa" w:w="1247"/>
            <w:shd w:val="clear" w:color="auto" w:fill="FAF9F6"/>
          </w:tcPr>
          <w:p>
            <w:pPr>
              <w:spacing w:after="0" w:line="240" w:lineRule="auto"/>
              <w:jc w:val="right"/>
            </w:pPr>
            <w:r/>
            <w:r>
              <w:rPr>
                <w:b w:val="0"/>
                <w:i w:val="0"/>
                <w:sz w:val="17"/>
              </w:rPr>
              <w:t>87.9</w:t>
            </w:r>
          </w:p>
        </w:tc>
        <w:tc>
          <w:tcPr>
            <w:tcW w:type="dxa" w:w="1361"/>
            <w:shd w:val="clear" w:color="auto" w:fill="FAF9F6"/>
          </w:tcPr>
          <w:p>
            <w:pPr>
              <w:spacing w:after="0" w:line="240" w:lineRule="auto"/>
              <w:jc w:val="right"/>
            </w:pPr>
            <w:r/>
            <w:r>
              <w:rPr>
                <w:b w:val="0"/>
                <w:i w:val="0"/>
                <w:sz w:val="17"/>
              </w:rPr>
              <w:t>12.0</w:t>
            </w:r>
          </w:p>
        </w:tc>
        <w:tc>
          <w:tcPr>
            <w:tcW w:type="dxa" w:w="1361"/>
            <w:shd w:val="clear" w:color="auto" w:fill="FAF9F6"/>
          </w:tcPr>
          <w:p>
            <w:pPr>
              <w:spacing w:after="0" w:line="240" w:lineRule="auto"/>
              <w:jc w:val="right"/>
            </w:pPr>
            <w:r/>
            <w:r>
              <w:rPr>
                <w:b w:val="0"/>
                <w:i w:val="0"/>
                <w:sz w:val="17"/>
              </w:rPr>
              <w:t>65.0</w:t>
            </w:r>
          </w:p>
        </w:tc>
        <w:tc>
          <w:tcPr>
            <w:tcW w:type="dxa" w:w="1247"/>
            <w:shd w:val="clear" w:color="auto" w:fill="FAF9F6"/>
          </w:tcPr>
          <w:p>
            <w:pPr>
              <w:spacing w:after="0" w:line="240" w:lineRule="auto"/>
              <w:jc w:val="right"/>
            </w:pPr>
            <w:r/>
            <w:r>
              <w:rPr>
                <w:b w:val="0"/>
                <w:i w:val="0"/>
                <w:sz w:val="17"/>
              </w:rPr>
              <w:t>–</w:t>
            </w:r>
          </w:p>
        </w:tc>
      </w:tr>
      <w:tr>
        <w:tc>
          <w:tcPr>
            <w:tcW w:type="dxa" w:w="2041"/>
          </w:tcPr>
          <w:p>
            <w:pPr>
              <w:spacing w:after="0" w:line="240" w:lineRule="auto"/>
            </w:pPr>
            <w:r/>
            <w:r>
              <w:rPr>
                <w:b w:val="0"/>
                <w:i w:val="0"/>
                <w:sz w:val="17"/>
              </w:rPr>
              <w:t>Ernies</w:t>
            </w:r>
          </w:p>
        </w:tc>
        <w:tc>
          <w:tcPr>
            <w:tcW w:type="dxa" w:w="1134"/>
          </w:tcPr>
          <w:p>
            <w:pPr>
              <w:spacing w:after="0" w:line="240" w:lineRule="auto"/>
              <w:jc w:val="right"/>
            </w:pPr>
            <w:r/>
            <w:r>
              <w:rPr>
                <w:b w:val="0"/>
                <w:i w:val="0"/>
                <w:sz w:val="17"/>
              </w:rPr>
              <w:t>1,626.4</w:t>
            </w:r>
          </w:p>
        </w:tc>
        <w:tc>
          <w:tcPr>
            <w:tcW w:type="dxa" w:w="1247"/>
          </w:tcPr>
          <w:p>
            <w:pPr>
              <w:spacing w:after="0" w:line="240" w:lineRule="auto"/>
              <w:jc w:val="right"/>
            </w:pPr>
            <w:r/>
            <w:r>
              <w:rPr>
                <w:b w:val="0"/>
                <w:i w:val="0"/>
                <w:sz w:val="17"/>
              </w:rPr>
              <w:t>0.0</w:t>
            </w:r>
          </w:p>
        </w:tc>
        <w:tc>
          <w:tcPr>
            <w:tcW w:type="dxa" w:w="1247"/>
          </w:tcPr>
          <w:p>
            <w:pPr>
              <w:spacing w:after="0" w:line="240" w:lineRule="auto"/>
              <w:jc w:val="right"/>
            </w:pPr>
            <w:r/>
            <w:r>
              <w:rPr>
                <w:b w:val="0"/>
                <w:i w:val="0"/>
                <w:sz w:val="17"/>
              </w:rPr>
              <w:t>546.2</w:t>
            </w:r>
          </w:p>
        </w:tc>
        <w:tc>
          <w:tcPr>
            <w:tcW w:type="dxa" w:w="1361"/>
          </w:tcPr>
          <w:p>
            <w:pPr>
              <w:spacing w:after="0" w:line="240" w:lineRule="auto"/>
              <w:jc w:val="right"/>
            </w:pPr>
            <w:r/>
            <w:r>
              <w:rPr>
                <w:b w:val="0"/>
                <w:i w:val="0"/>
                <w:sz w:val="17"/>
              </w:rPr>
              <w:t>950.0</w:t>
            </w:r>
          </w:p>
        </w:tc>
        <w:tc>
          <w:tcPr>
            <w:tcW w:type="dxa" w:w="1361"/>
          </w:tcPr>
          <w:p>
            <w:pPr>
              <w:spacing w:after="0" w:line="240" w:lineRule="auto"/>
              <w:jc w:val="right"/>
            </w:pPr>
            <w:r/>
            <w:r>
              <w:rPr>
                <w:b w:val="0"/>
                <w:i w:val="0"/>
                <w:sz w:val="17"/>
              </w:rPr>
              <w:t>130.0</w:t>
            </w:r>
          </w:p>
        </w:tc>
        <w:tc>
          <w:tcPr>
            <w:tcW w:type="dxa" w:w="1247"/>
          </w:tcPr>
          <w:p>
            <w:pPr>
              <w:spacing w:after="0" w:line="240" w:lineRule="auto"/>
              <w:jc w:val="right"/>
            </w:pPr>
            <w:r/>
            <w:r>
              <w:rPr>
                <w:b w:val="0"/>
                <w:i w:val="0"/>
                <w:sz w:val="17"/>
              </w:rPr>
              <w:t>0.1</w:t>
            </w:r>
          </w:p>
        </w:tc>
      </w:tr>
      <w:tr>
        <w:tc>
          <w:tcPr>
            <w:tcW w:type="dxa" w:w="2041"/>
            <w:shd w:val="clear" w:color="auto" w:fill="FAF9F6"/>
          </w:tcPr>
          <w:p>
            <w:pPr>
              <w:spacing w:after="0" w:line="240" w:lineRule="auto"/>
            </w:pPr>
            <w:r/>
            <w:r>
              <w:rPr>
                <w:b w:val="0"/>
                <w:i w:val="0"/>
                <w:sz w:val="17"/>
              </w:rPr>
              <w:t>Karapara</w:t>
            </w:r>
          </w:p>
        </w:tc>
        <w:tc>
          <w:tcPr>
            <w:tcW w:type="dxa" w:w="1134"/>
            <w:shd w:val="clear" w:color="auto" w:fill="FAF9F6"/>
          </w:tcPr>
          <w:p>
            <w:pPr>
              <w:spacing w:after="0" w:line="240" w:lineRule="auto"/>
              <w:jc w:val="right"/>
            </w:pPr>
            <w:r/>
            <w:r>
              <w:rPr>
                <w:b w:val="0"/>
                <w:i w:val="0"/>
                <w:sz w:val="17"/>
              </w:rPr>
              <w:t>1,317.7</w:t>
            </w:r>
          </w:p>
        </w:tc>
        <w:tc>
          <w:tcPr>
            <w:tcW w:type="dxa" w:w="1247"/>
            <w:shd w:val="clear" w:color="auto" w:fill="FAF9F6"/>
          </w:tcPr>
          <w:p>
            <w:pPr>
              <w:spacing w:after="0" w:line="240" w:lineRule="auto"/>
              <w:jc w:val="right"/>
            </w:pPr>
            <w:r/>
            <w:r>
              <w:rPr>
                <w:b w:val="0"/>
                <w:i w:val="0"/>
                <w:sz w:val="17"/>
              </w:rPr>
              <w:t>0.0</w:t>
            </w:r>
          </w:p>
        </w:tc>
        <w:tc>
          <w:tcPr>
            <w:tcW w:type="dxa" w:w="1247"/>
            <w:shd w:val="clear" w:color="auto" w:fill="FAF9F6"/>
          </w:tcPr>
          <w:p>
            <w:pPr>
              <w:spacing w:after="0" w:line="240" w:lineRule="auto"/>
              <w:jc w:val="right"/>
            </w:pPr>
            <w:r/>
            <w:r>
              <w:rPr>
                <w:b w:val="0"/>
                <w:i w:val="0"/>
                <w:sz w:val="17"/>
              </w:rPr>
              <w:t>676.7</w:t>
            </w:r>
          </w:p>
        </w:tc>
        <w:tc>
          <w:tcPr>
            <w:tcW w:type="dxa" w:w="1361"/>
            <w:shd w:val="clear" w:color="auto" w:fill="FAF9F6"/>
          </w:tcPr>
          <w:p>
            <w:pPr>
              <w:spacing w:after="0" w:line="240" w:lineRule="auto"/>
              <w:jc w:val="right"/>
            </w:pPr>
            <w:r/>
            <w:r>
              <w:rPr>
                <w:b w:val="0"/>
                <w:i w:val="0"/>
                <w:sz w:val="17"/>
              </w:rPr>
              <w:t>611.7</w:t>
            </w:r>
          </w:p>
        </w:tc>
        <w:tc>
          <w:tcPr>
            <w:tcW w:type="dxa" w:w="1361"/>
            <w:shd w:val="clear" w:color="auto" w:fill="FAF9F6"/>
          </w:tcPr>
          <w:p>
            <w:pPr>
              <w:spacing w:after="0" w:line="240" w:lineRule="auto"/>
              <w:jc w:val="right"/>
            </w:pPr>
            <w:r/>
            <w:r>
              <w:rPr>
                <w:b w:val="0"/>
                <w:i w:val="0"/>
                <w:sz w:val="17"/>
              </w:rPr>
              <w:t>28.9</w:t>
            </w:r>
          </w:p>
        </w:tc>
        <w:tc>
          <w:tcPr>
            <w:tcW w:type="dxa" w:w="1247"/>
            <w:shd w:val="clear" w:color="auto" w:fill="FAF9F6"/>
          </w:tcPr>
          <w:p>
            <w:pPr>
              <w:spacing w:after="0" w:line="240" w:lineRule="auto"/>
              <w:jc w:val="right"/>
            </w:pPr>
            <w:r/>
            <w:r>
              <w:rPr>
                <w:b w:val="0"/>
                <w:i w:val="0"/>
                <w:sz w:val="17"/>
              </w:rPr>
              <w:t>0.3</w:t>
            </w:r>
          </w:p>
        </w:tc>
      </w:tr>
      <w:tr>
        <w:tc>
          <w:tcPr>
            <w:tcW w:type="dxa" w:w="2041"/>
          </w:tcPr>
          <w:p>
            <w:pPr>
              <w:spacing w:after="0" w:line="240" w:lineRule="auto"/>
            </w:pPr>
            <w:r/>
            <w:r>
              <w:rPr>
                <w:b w:val="0"/>
                <w:i w:val="0"/>
                <w:sz w:val="17"/>
              </w:rPr>
              <w:t>Home Block</w:t>
            </w:r>
          </w:p>
        </w:tc>
        <w:tc>
          <w:tcPr>
            <w:tcW w:type="dxa" w:w="1134"/>
          </w:tcPr>
          <w:p>
            <w:pPr>
              <w:spacing w:after="0" w:line="240" w:lineRule="auto"/>
              <w:jc w:val="right"/>
            </w:pPr>
            <w:r/>
            <w:r>
              <w:rPr>
                <w:b w:val="0"/>
                <w:i w:val="0"/>
                <w:sz w:val="17"/>
              </w:rPr>
              <w:t>1,165.2</w:t>
            </w:r>
          </w:p>
        </w:tc>
        <w:tc>
          <w:tcPr>
            <w:tcW w:type="dxa" w:w="1247"/>
          </w:tcPr>
          <w:p>
            <w:pPr>
              <w:spacing w:after="0" w:line="240" w:lineRule="auto"/>
              <w:jc w:val="right"/>
            </w:pPr>
            <w:r/>
            <w:r>
              <w:rPr>
                <w:b w:val="0"/>
                <w:i w:val="0"/>
                <w:sz w:val="17"/>
              </w:rPr>
              <w:t>0.0</w:t>
            </w:r>
          </w:p>
        </w:tc>
        <w:tc>
          <w:tcPr>
            <w:tcW w:type="dxa" w:w="1247"/>
          </w:tcPr>
          <w:p>
            <w:pPr>
              <w:spacing w:after="0" w:line="240" w:lineRule="auto"/>
              <w:jc w:val="right"/>
            </w:pPr>
            <w:r/>
            <w:r>
              <w:rPr>
                <w:b w:val="0"/>
                <w:i w:val="0"/>
                <w:sz w:val="17"/>
              </w:rPr>
              <w:t>673.3</w:t>
            </w:r>
          </w:p>
        </w:tc>
        <w:tc>
          <w:tcPr>
            <w:tcW w:type="dxa" w:w="1361"/>
          </w:tcPr>
          <w:p>
            <w:pPr>
              <w:spacing w:after="0" w:line="240" w:lineRule="auto"/>
              <w:jc w:val="right"/>
            </w:pPr>
            <w:r/>
            <w:r>
              <w:rPr>
                <w:b w:val="0"/>
                <w:i w:val="0"/>
                <w:sz w:val="17"/>
              </w:rPr>
              <w:t>417.7</w:t>
            </w:r>
          </w:p>
        </w:tc>
        <w:tc>
          <w:tcPr>
            <w:tcW w:type="dxa" w:w="1361"/>
          </w:tcPr>
          <w:p>
            <w:pPr>
              <w:spacing w:after="0" w:line="240" w:lineRule="auto"/>
              <w:jc w:val="right"/>
            </w:pPr>
            <w:r/>
            <w:r>
              <w:rPr>
                <w:b w:val="0"/>
                <w:i w:val="0"/>
                <w:sz w:val="17"/>
              </w:rPr>
              <w:t>73.9</w:t>
            </w:r>
          </w:p>
        </w:tc>
        <w:tc>
          <w:tcPr>
            <w:tcW w:type="dxa" w:w="1247"/>
          </w:tcPr>
          <w:p>
            <w:pPr>
              <w:spacing w:after="0" w:line="240" w:lineRule="auto"/>
              <w:jc w:val="right"/>
            </w:pPr>
            <w:r/>
            <w:r>
              <w:rPr>
                <w:b w:val="0"/>
                <w:i w:val="0"/>
                <w:sz w:val="17"/>
              </w:rPr>
              <w:t>0.2</w:t>
            </w:r>
          </w:p>
        </w:tc>
      </w:tr>
      <w:tr>
        <w:tc>
          <w:tcPr>
            <w:tcW w:type="dxa" w:w="2041"/>
            <w:shd w:val="clear" w:color="auto" w:fill="FAF9F6"/>
          </w:tcPr>
          <w:p>
            <w:pPr>
              <w:spacing w:after="0" w:line="240" w:lineRule="auto"/>
            </w:pPr>
            <w:r/>
            <w:r>
              <w:rPr>
                <w:b w:val="0"/>
                <w:i w:val="0"/>
                <w:sz w:val="17"/>
              </w:rPr>
              <w:t>Patricks House</w:t>
            </w:r>
          </w:p>
        </w:tc>
        <w:tc>
          <w:tcPr>
            <w:tcW w:type="dxa" w:w="1134"/>
            <w:shd w:val="clear" w:color="auto" w:fill="FAF9F6"/>
          </w:tcPr>
          <w:p>
            <w:pPr>
              <w:spacing w:after="0" w:line="240" w:lineRule="auto"/>
              <w:jc w:val="right"/>
            </w:pPr>
            <w:r/>
            <w:r>
              <w:rPr>
                <w:b w:val="0"/>
                <w:i w:val="0"/>
                <w:sz w:val="17"/>
              </w:rPr>
              <w:t>27.7</w:t>
            </w:r>
          </w:p>
        </w:tc>
        <w:tc>
          <w:tcPr>
            <w:tcW w:type="dxa" w:w="1247"/>
            <w:shd w:val="clear" w:color="auto" w:fill="FAF9F6"/>
          </w:tcPr>
          <w:p>
            <w:pPr>
              <w:spacing w:after="0" w:line="240" w:lineRule="auto"/>
              <w:jc w:val="right"/>
            </w:pPr>
            <w:r/>
            <w:r>
              <w:rPr>
                <w:b w:val="0"/>
                <w:i w:val="0"/>
                <w:sz w:val="17"/>
              </w:rPr>
              <w:t>0.0</w:t>
            </w:r>
          </w:p>
        </w:tc>
        <w:tc>
          <w:tcPr>
            <w:tcW w:type="dxa" w:w="1247"/>
            <w:shd w:val="clear" w:color="auto" w:fill="FAF9F6"/>
          </w:tcPr>
          <w:p>
            <w:pPr>
              <w:spacing w:after="0" w:line="240" w:lineRule="auto"/>
              <w:jc w:val="right"/>
            </w:pPr>
            <w:r/>
            <w:r>
              <w:rPr>
                <w:b w:val="0"/>
                <w:i w:val="0"/>
                <w:sz w:val="17"/>
              </w:rPr>
              <w:t>0.1</w:t>
            </w:r>
          </w:p>
        </w:tc>
        <w:tc>
          <w:tcPr>
            <w:tcW w:type="dxa" w:w="1361"/>
            <w:shd w:val="clear" w:color="auto" w:fill="FAF9F6"/>
          </w:tcPr>
          <w:p>
            <w:pPr>
              <w:spacing w:after="0" w:line="240" w:lineRule="auto"/>
              <w:jc w:val="right"/>
            </w:pPr>
            <w:r/>
            <w:r>
              <w:rPr>
                <w:b w:val="0"/>
                <w:i w:val="0"/>
                <w:sz w:val="17"/>
              </w:rPr>
              <w:t>16.5</w:t>
            </w:r>
          </w:p>
        </w:tc>
        <w:tc>
          <w:tcPr>
            <w:tcW w:type="dxa" w:w="1361"/>
            <w:shd w:val="clear" w:color="auto" w:fill="FAF9F6"/>
          </w:tcPr>
          <w:p>
            <w:pPr>
              <w:spacing w:after="0" w:line="240" w:lineRule="auto"/>
              <w:jc w:val="right"/>
            </w:pPr>
            <w:r/>
            <w:r>
              <w:rPr>
                <w:b w:val="0"/>
                <w:i w:val="0"/>
                <w:sz w:val="17"/>
              </w:rPr>
              <w:t>11.1</w:t>
            </w:r>
          </w:p>
        </w:tc>
        <w:tc>
          <w:tcPr>
            <w:tcW w:type="dxa" w:w="1247"/>
            <w:shd w:val="clear" w:color="auto" w:fill="FAF9F6"/>
          </w:tcPr>
          <w:p>
            <w:pPr>
              <w:spacing w:after="0" w:line="240" w:lineRule="auto"/>
              <w:jc w:val="right"/>
            </w:pPr>
            <w:r/>
            <w:r>
              <w:rPr>
                <w:b w:val="0"/>
                <w:i w:val="0"/>
                <w:sz w:val="17"/>
              </w:rPr>
              <w:t>–</w:t>
            </w:r>
          </w:p>
        </w:tc>
      </w:tr>
      <w:tr>
        <w:tc>
          <w:tcPr>
            <w:tcW w:type="dxa" w:w="2041"/>
          </w:tcPr>
          <w:p>
            <w:pPr>
              <w:spacing w:after="0" w:line="240" w:lineRule="auto"/>
            </w:pPr>
            <w:r/>
            <w:r>
              <w:rPr>
                <w:b w:val="0"/>
                <w:i w:val="0"/>
                <w:sz w:val="17"/>
              </w:rPr>
              <w:t>Workers House</w:t>
            </w:r>
          </w:p>
        </w:tc>
        <w:tc>
          <w:tcPr>
            <w:tcW w:type="dxa" w:w="1134"/>
          </w:tcPr>
          <w:p>
            <w:pPr>
              <w:spacing w:after="0" w:line="240" w:lineRule="auto"/>
              <w:jc w:val="right"/>
            </w:pPr>
            <w:r/>
            <w:r>
              <w:rPr>
                <w:b w:val="0"/>
                <w:i w:val="0"/>
                <w:sz w:val="17"/>
              </w:rPr>
              <w:t>1.7</w:t>
            </w:r>
          </w:p>
        </w:tc>
        <w:tc>
          <w:tcPr>
            <w:tcW w:type="dxa" w:w="1247"/>
          </w:tcPr>
          <w:p>
            <w:pPr>
              <w:spacing w:after="0" w:line="240" w:lineRule="auto"/>
              <w:jc w:val="right"/>
            </w:pPr>
            <w:r/>
            <w:r>
              <w:rPr>
                <w:b w:val="0"/>
                <w:i w:val="0"/>
                <w:sz w:val="17"/>
              </w:rPr>
              <w:t>0.0</w:t>
            </w:r>
          </w:p>
        </w:tc>
        <w:tc>
          <w:tcPr>
            <w:tcW w:type="dxa" w:w="1247"/>
          </w:tcPr>
          <w:p>
            <w:pPr>
              <w:spacing w:after="0" w:line="240" w:lineRule="auto"/>
              <w:jc w:val="right"/>
            </w:pPr>
            <w:r/>
            <w:r>
              <w:rPr>
                <w:b w:val="0"/>
                <w:i w:val="0"/>
                <w:sz w:val="17"/>
              </w:rPr>
              <w:t>0.0</w:t>
            </w:r>
          </w:p>
        </w:tc>
        <w:tc>
          <w:tcPr>
            <w:tcW w:type="dxa" w:w="1361"/>
          </w:tcPr>
          <w:p>
            <w:pPr>
              <w:spacing w:after="0" w:line="240" w:lineRule="auto"/>
              <w:jc w:val="right"/>
            </w:pPr>
            <w:r/>
            <w:r>
              <w:rPr>
                <w:b w:val="0"/>
                <w:i w:val="0"/>
                <w:sz w:val="17"/>
              </w:rPr>
              <w:t>0.0</w:t>
            </w:r>
          </w:p>
        </w:tc>
        <w:tc>
          <w:tcPr>
            <w:tcW w:type="dxa" w:w="1361"/>
          </w:tcPr>
          <w:p>
            <w:pPr>
              <w:spacing w:after="0" w:line="240" w:lineRule="auto"/>
              <w:jc w:val="right"/>
            </w:pPr>
            <w:r/>
            <w:r>
              <w:rPr>
                <w:b w:val="0"/>
                <w:i w:val="0"/>
                <w:sz w:val="17"/>
              </w:rPr>
              <w:t>1.7</w:t>
            </w:r>
          </w:p>
        </w:tc>
        <w:tc>
          <w:tcPr>
            <w:tcW w:type="dxa" w:w="1247"/>
          </w:tcPr>
          <w:p>
            <w:pPr>
              <w:spacing w:after="0" w:line="240" w:lineRule="auto"/>
              <w:jc w:val="right"/>
            </w:pPr>
            <w:r/>
            <w:r>
              <w:rPr>
                <w:b w:val="0"/>
                <w:i w:val="0"/>
                <w:sz w:val="17"/>
              </w:rPr>
              <w:t>–</w:t>
            </w:r>
          </w:p>
        </w:tc>
      </w:tr>
      <w:tr>
        <w:tc>
          <w:tcPr>
            <w:tcW w:type="dxa" w:w="2041"/>
            <w:shd w:val="clear" w:color="auto" w:fill="FAF9F6"/>
          </w:tcPr>
          <w:p>
            <w:pPr>
              <w:spacing w:after="0" w:line="240" w:lineRule="auto"/>
            </w:pPr>
            <w:r/>
            <w:r>
              <w:rPr>
                <w:b w:val="0"/>
                <w:i w:val="0"/>
                <w:sz w:val="17"/>
              </w:rPr>
              <w:t>Moonys</w:t>
            </w:r>
          </w:p>
        </w:tc>
        <w:tc>
          <w:tcPr>
            <w:tcW w:type="dxa" w:w="1134"/>
            <w:shd w:val="clear" w:color="auto" w:fill="FAF9F6"/>
          </w:tcPr>
          <w:p>
            <w:pPr>
              <w:spacing w:after="0" w:line="240" w:lineRule="auto"/>
              <w:jc w:val="right"/>
            </w:pPr>
            <w:r/>
            <w:r>
              <w:rPr>
                <w:b w:val="0"/>
                <w:i w:val="0"/>
                <w:sz w:val="17"/>
              </w:rPr>
              <w:t>643.6</w:t>
            </w:r>
          </w:p>
        </w:tc>
        <w:tc>
          <w:tcPr>
            <w:tcW w:type="dxa" w:w="1247"/>
            <w:shd w:val="clear" w:color="auto" w:fill="FAF9F6"/>
          </w:tcPr>
          <w:p>
            <w:pPr>
              <w:spacing w:after="0" w:line="240" w:lineRule="auto"/>
              <w:jc w:val="right"/>
            </w:pPr>
            <w:r/>
            <w:r>
              <w:rPr>
                <w:b w:val="0"/>
                <w:i w:val="0"/>
                <w:sz w:val="17"/>
              </w:rPr>
              <w:t>113.7</w:t>
            </w:r>
          </w:p>
        </w:tc>
        <w:tc>
          <w:tcPr>
            <w:tcW w:type="dxa" w:w="1247"/>
            <w:shd w:val="clear" w:color="auto" w:fill="FAF9F6"/>
          </w:tcPr>
          <w:p>
            <w:pPr>
              <w:spacing w:after="0" w:line="240" w:lineRule="auto"/>
              <w:jc w:val="right"/>
            </w:pPr>
            <w:r/>
            <w:r>
              <w:rPr>
                <w:b w:val="0"/>
                <w:i w:val="0"/>
                <w:sz w:val="17"/>
              </w:rPr>
              <w:t>94.2</w:t>
            </w:r>
          </w:p>
        </w:tc>
        <w:tc>
          <w:tcPr>
            <w:tcW w:type="dxa" w:w="1361"/>
            <w:shd w:val="clear" w:color="auto" w:fill="FAF9F6"/>
          </w:tcPr>
          <w:p>
            <w:pPr>
              <w:spacing w:after="0" w:line="240" w:lineRule="auto"/>
              <w:jc w:val="right"/>
            </w:pPr>
            <w:r/>
            <w:r>
              <w:rPr>
                <w:b w:val="0"/>
                <w:i w:val="0"/>
                <w:sz w:val="17"/>
              </w:rPr>
              <w:t>276.9</w:t>
            </w:r>
          </w:p>
        </w:tc>
        <w:tc>
          <w:tcPr>
            <w:tcW w:type="dxa" w:w="1361"/>
            <w:shd w:val="clear" w:color="auto" w:fill="FAF9F6"/>
          </w:tcPr>
          <w:p>
            <w:pPr>
              <w:spacing w:after="0" w:line="240" w:lineRule="auto"/>
              <w:jc w:val="right"/>
            </w:pPr>
            <w:r/>
            <w:r>
              <w:rPr>
                <w:b w:val="0"/>
                <w:i w:val="0"/>
                <w:sz w:val="17"/>
              </w:rPr>
              <w:t>158.8</w:t>
            </w:r>
          </w:p>
        </w:tc>
        <w:tc>
          <w:tcPr>
            <w:tcW w:type="dxa" w:w="1247"/>
            <w:shd w:val="clear" w:color="auto" w:fill="FAF9F6"/>
          </w:tcPr>
          <w:p>
            <w:pPr>
              <w:spacing w:after="0" w:line="240" w:lineRule="auto"/>
              <w:jc w:val="right"/>
            </w:pPr>
            <w:r/>
            <w:r>
              <w:rPr>
                <w:b w:val="0"/>
                <w:i w:val="0"/>
                <w:sz w:val="17"/>
              </w:rPr>
              <w:t>–</w:t>
            </w:r>
          </w:p>
        </w:tc>
      </w:tr>
      <w:tr>
        <w:tc>
          <w:tcPr>
            <w:tcW w:type="dxa" w:w="2041"/>
          </w:tcPr>
          <w:p>
            <w:pPr>
              <w:spacing w:after="0" w:line="240" w:lineRule="auto"/>
            </w:pPr>
            <w:r/>
            <w:r>
              <w:rPr>
                <w:b w:val="0"/>
                <w:i w:val="0"/>
                <w:sz w:val="17"/>
              </w:rPr>
              <w:t>Ridge Road</w:t>
            </w:r>
          </w:p>
        </w:tc>
        <w:tc>
          <w:tcPr>
            <w:tcW w:type="dxa" w:w="1134"/>
          </w:tcPr>
          <w:p>
            <w:pPr>
              <w:spacing w:after="0" w:line="240" w:lineRule="auto"/>
              <w:jc w:val="right"/>
            </w:pPr>
            <w:r/>
            <w:r>
              <w:rPr>
                <w:b w:val="0"/>
                <w:i w:val="0"/>
                <w:sz w:val="17"/>
              </w:rPr>
              <w:t>282.6</w:t>
            </w:r>
          </w:p>
        </w:tc>
        <w:tc>
          <w:tcPr>
            <w:tcW w:type="dxa" w:w="1247"/>
          </w:tcPr>
          <w:p>
            <w:pPr>
              <w:spacing w:after="0" w:line="240" w:lineRule="auto"/>
              <w:jc w:val="right"/>
            </w:pPr>
            <w:r/>
            <w:r>
              <w:rPr>
                <w:b w:val="0"/>
                <w:i w:val="0"/>
                <w:sz w:val="17"/>
              </w:rPr>
              <w:t>0.0</w:t>
            </w:r>
          </w:p>
        </w:tc>
        <w:tc>
          <w:tcPr>
            <w:tcW w:type="dxa" w:w="1247"/>
          </w:tcPr>
          <w:p>
            <w:pPr>
              <w:spacing w:after="0" w:line="240" w:lineRule="auto"/>
              <w:jc w:val="right"/>
            </w:pPr>
            <w:r/>
            <w:r>
              <w:rPr>
                <w:b w:val="0"/>
                <w:i w:val="0"/>
                <w:sz w:val="17"/>
              </w:rPr>
              <w:t>57.9</w:t>
            </w:r>
          </w:p>
        </w:tc>
        <w:tc>
          <w:tcPr>
            <w:tcW w:type="dxa" w:w="1361"/>
          </w:tcPr>
          <w:p>
            <w:pPr>
              <w:spacing w:after="0" w:line="240" w:lineRule="auto"/>
              <w:jc w:val="right"/>
            </w:pPr>
            <w:r/>
            <w:r>
              <w:rPr>
                <w:b w:val="0"/>
                <w:i w:val="0"/>
                <w:sz w:val="17"/>
              </w:rPr>
              <w:t>153.3</w:t>
            </w:r>
          </w:p>
        </w:tc>
        <w:tc>
          <w:tcPr>
            <w:tcW w:type="dxa" w:w="1361"/>
          </w:tcPr>
          <w:p>
            <w:pPr>
              <w:spacing w:after="0" w:line="240" w:lineRule="auto"/>
              <w:jc w:val="right"/>
            </w:pPr>
            <w:r/>
            <w:r>
              <w:rPr>
                <w:b w:val="0"/>
                <w:i w:val="0"/>
                <w:sz w:val="17"/>
              </w:rPr>
              <w:t>71.3</w:t>
            </w:r>
          </w:p>
        </w:tc>
        <w:tc>
          <w:tcPr>
            <w:tcW w:type="dxa" w:w="1247"/>
          </w:tcPr>
          <w:p>
            <w:pPr>
              <w:spacing w:after="0" w:line="240" w:lineRule="auto"/>
              <w:jc w:val="right"/>
            </w:pPr>
            <w:r/>
            <w:r>
              <w:rPr>
                <w:b w:val="0"/>
                <w:i w:val="0"/>
                <w:sz w:val="17"/>
              </w:rPr>
              <w:t>0.1</w:t>
            </w:r>
          </w:p>
        </w:tc>
      </w:tr>
      <w:tr>
        <w:tc>
          <w:tcPr>
            <w:tcW w:type="dxa" w:w="2041"/>
            <w:shd w:val="clear" w:color="auto" w:fill="FAF9F6"/>
          </w:tcPr>
          <w:p>
            <w:pPr>
              <w:spacing w:after="0" w:line="240" w:lineRule="auto"/>
            </w:pPr>
            <w:r/>
            <w:r>
              <w:rPr>
                <w:b w:val="0"/>
                <w:i w:val="0"/>
                <w:sz w:val="17"/>
              </w:rPr>
              <w:t>Tims</w:t>
            </w:r>
          </w:p>
        </w:tc>
        <w:tc>
          <w:tcPr>
            <w:tcW w:type="dxa" w:w="1134"/>
            <w:shd w:val="clear" w:color="auto" w:fill="FAF9F6"/>
          </w:tcPr>
          <w:p>
            <w:pPr>
              <w:spacing w:after="0" w:line="240" w:lineRule="auto"/>
              <w:jc w:val="right"/>
            </w:pPr>
            <w:r/>
            <w:r>
              <w:rPr>
                <w:b w:val="0"/>
                <w:i w:val="0"/>
                <w:sz w:val="17"/>
              </w:rPr>
              <w:t>14.3</w:t>
            </w:r>
          </w:p>
        </w:tc>
        <w:tc>
          <w:tcPr>
            <w:tcW w:type="dxa" w:w="1247"/>
            <w:shd w:val="clear" w:color="auto" w:fill="FAF9F6"/>
          </w:tcPr>
          <w:p>
            <w:pPr>
              <w:spacing w:after="0" w:line="240" w:lineRule="auto"/>
              <w:jc w:val="right"/>
            </w:pPr>
            <w:r/>
            <w:r>
              <w:rPr>
                <w:b w:val="0"/>
                <w:i w:val="0"/>
                <w:sz w:val="17"/>
              </w:rPr>
              <w:t>0.0</w:t>
            </w:r>
          </w:p>
        </w:tc>
        <w:tc>
          <w:tcPr>
            <w:tcW w:type="dxa" w:w="1247"/>
            <w:shd w:val="clear" w:color="auto" w:fill="FAF9F6"/>
          </w:tcPr>
          <w:p>
            <w:pPr>
              <w:spacing w:after="0" w:line="240" w:lineRule="auto"/>
              <w:jc w:val="right"/>
            </w:pPr>
            <w:r/>
            <w:r>
              <w:rPr>
                <w:b w:val="0"/>
                <w:i w:val="0"/>
                <w:sz w:val="17"/>
              </w:rPr>
              <w:t>4.9</w:t>
            </w:r>
          </w:p>
        </w:tc>
        <w:tc>
          <w:tcPr>
            <w:tcW w:type="dxa" w:w="1361"/>
            <w:shd w:val="clear" w:color="auto" w:fill="FAF9F6"/>
          </w:tcPr>
          <w:p>
            <w:pPr>
              <w:spacing w:after="0" w:line="240" w:lineRule="auto"/>
              <w:jc w:val="right"/>
            </w:pPr>
            <w:r/>
            <w:r>
              <w:rPr>
                <w:b w:val="0"/>
                <w:i w:val="0"/>
                <w:sz w:val="17"/>
              </w:rPr>
              <w:t>9.4</w:t>
            </w:r>
          </w:p>
        </w:tc>
        <w:tc>
          <w:tcPr>
            <w:tcW w:type="dxa" w:w="1361"/>
            <w:shd w:val="clear" w:color="auto" w:fill="FAF9F6"/>
          </w:tcPr>
          <w:p>
            <w:pPr>
              <w:spacing w:after="0" w:line="240" w:lineRule="auto"/>
              <w:jc w:val="right"/>
            </w:pPr>
            <w:r/>
            <w:r>
              <w:rPr>
                <w:b w:val="0"/>
                <w:i w:val="0"/>
                <w:sz w:val="17"/>
              </w:rPr>
              <w:t>0.0</w:t>
            </w:r>
          </w:p>
        </w:tc>
        <w:tc>
          <w:tcPr>
            <w:tcW w:type="dxa" w:w="1247"/>
            <w:shd w:val="clear" w:color="auto" w:fill="FAF9F6"/>
          </w:tcPr>
          <w:p>
            <w:pPr>
              <w:spacing w:after="0" w:line="240" w:lineRule="auto"/>
              <w:jc w:val="right"/>
            </w:pPr>
            <w:r/>
            <w:r>
              <w:rPr>
                <w:b w:val="0"/>
                <w:i w:val="0"/>
                <w:sz w:val="17"/>
              </w:rPr>
              <w:t>–</w:t>
            </w:r>
          </w:p>
        </w:tc>
      </w:tr>
      <w:tr>
        <w:tc>
          <w:tcPr>
            <w:tcW w:type="dxa" w:w="2041"/>
          </w:tcPr>
          <w:p>
            <w:pPr>
              <w:spacing w:after="0" w:line="240" w:lineRule="auto"/>
            </w:pPr>
            <w:r/>
            <w:r>
              <w:rPr>
                <w:b w:val="0"/>
                <w:i w:val="0"/>
                <w:sz w:val="17"/>
              </w:rPr>
              <w:t>Pakihi</w:t>
            </w:r>
          </w:p>
        </w:tc>
        <w:tc>
          <w:tcPr>
            <w:tcW w:type="dxa" w:w="1134"/>
          </w:tcPr>
          <w:p>
            <w:pPr>
              <w:spacing w:after="0" w:line="240" w:lineRule="auto"/>
              <w:jc w:val="right"/>
            </w:pPr>
            <w:r/>
            <w:r>
              <w:rPr>
                <w:b w:val="0"/>
                <w:i w:val="0"/>
                <w:sz w:val="17"/>
              </w:rPr>
              <w:t>445.6</w:t>
            </w:r>
          </w:p>
        </w:tc>
        <w:tc>
          <w:tcPr>
            <w:tcW w:type="dxa" w:w="1247"/>
          </w:tcPr>
          <w:p>
            <w:pPr>
              <w:spacing w:after="0" w:line="240" w:lineRule="auto"/>
              <w:jc w:val="right"/>
            </w:pPr>
            <w:r/>
            <w:r>
              <w:rPr>
                <w:b w:val="0"/>
                <w:i w:val="0"/>
                <w:sz w:val="17"/>
              </w:rPr>
              <w:t>0.5</w:t>
            </w:r>
          </w:p>
        </w:tc>
        <w:tc>
          <w:tcPr>
            <w:tcW w:type="dxa" w:w="1247"/>
          </w:tcPr>
          <w:p>
            <w:pPr>
              <w:spacing w:after="0" w:line="240" w:lineRule="auto"/>
              <w:jc w:val="right"/>
            </w:pPr>
            <w:r/>
            <w:r>
              <w:rPr>
                <w:b w:val="0"/>
                <w:i w:val="0"/>
                <w:sz w:val="17"/>
              </w:rPr>
              <w:t>243.7</w:t>
            </w:r>
          </w:p>
        </w:tc>
        <w:tc>
          <w:tcPr>
            <w:tcW w:type="dxa" w:w="1361"/>
          </w:tcPr>
          <w:p>
            <w:pPr>
              <w:spacing w:after="0" w:line="240" w:lineRule="auto"/>
              <w:jc w:val="right"/>
            </w:pPr>
            <w:r/>
            <w:r>
              <w:rPr>
                <w:b w:val="0"/>
                <w:i w:val="0"/>
                <w:sz w:val="17"/>
              </w:rPr>
              <w:t>199.4</w:t>
            </w:r>
          </w:p>
        </w:tc>
        <w:tc>
          <w:tcPr>
            <w:tcW w:type="dxa" w:w="1361"/>
          </w:tcPr>
          <w:p>
            <w:pPr>
              <w:spacing w:after="0" w:line="240" w:lineRule="auto"/>
              <w:jc w:val="right"/>
            </w:pPr>
            <w:r/>
            <w:r>
              <w:rPr>
                <w:b w:val="0"/>
                <w:i w:val="0"/>
                <w:sz w:val="17"/>
              </w:rPr>
              <w:t>2.1</w:t>
            </w:r>
          </w:p>
        </w:tc>
        <w:tc>
          <w:tcPr>
            <w:tcW w:type="dxa" w:w="1247"/>
          </w:tcPr>
          <w:p>
            <w:pPr>
              <w:spacing w:after="0" w:line="240" w:lineRule="auto"/>
              <w:jc w:val="right"/>
            </w:pPr>
            <w:r/>
            <w:r>
              <w:rPr>
                <w:b w:val="0"/>
                <w:i w:val="0"/>
                <w:sz w:val="17"/>
              </w:rPr>
              <w:t>–</w:t>
            </w:r>
          </w:p>
        </w:tc>
      </w:tr>
      <w:tr>
        <w:tc>
          <w:tcPr>
            <w:tcW w:type="dxa" w:w="2041"/>
            <w:shd w:val="clear" w:color="auto" w:fill="FAF9F6"/>
          </w:tcPr>
          <w:p>
            <w:pPr>
              <w:spacing w:after="0" w:line="240" w:lineRule="auto"/>
            </w:pPr>
            <w:r/>
            <w:r>
              <w:rPr>
                <w:b w:val="0"/>
                <w:i w:val="0"/>
                <w:sz w:val="17"/>
              </w:rPr>
              <w:t>Total (land in the sale)</w:t>
            </w:r>
          </w:p>
        </w:tc>
        <w:tc>
          <w:tcPr>
            <w:tcW w:type="dxa" w:w="1134"/>
            <w:shd w:val="clear" w:color="auto" w:fill="FAF9F6"/>
          </w:tcPr>
          <w:p>
            <w:pPr>
              <w:spacing w:after="0" w:line="240" w:lineRule="auto"/>
              <w:jc w:val="right"/>
            </w:pPr>
            <w:r/>
            <w:r>
              <w:rPr>
                <w:b w:val="0"/>
                <w:i w:val="0"/>
                <w:sz w:val="17"/>
              </w:rPr>
              <w:t>13,832.0</w:t>
            </w:r>
          </w:p>
        </w:tc>
        <w:tc>
          <w:tcPr>
            <w:tcW w:type="dxa" w:w="1247"/>
            <w:shd w:val="clear" w:color="auto" w:fill="FAF9F6"/>
          </w:tcPr>
          <w:p>
            <w:pPr>
              <w:spacing w:after="0" w:line="240" w:lineRule="auto"/>
              <w:jc w:val="right"/>
            </w:pPr>
            <w:r/>
            <w:r>
              <w:rPr>
                <w:b w:val="0"/>
                <w:i w:val="0"/>
                <w:sz w:val="17"/>
              </w:rPr>
              <w:t>2,495.2</w:t>
            </w:r>
          </w:p>
        </w:tc>
        <w:tc>
          <w:tcPr>
            <w:tcW w:type="dxa" w:w="1247"/>
            <w:shd w:val="clear" w:color="auto" w:fill="FAF9F6"/>
          </w:tcPr>
          <w:p>
            <w:pPr>
              <w:spacing w:after="0" w:line="240" w:lineRule="auto"/>
              <w:jc w:val="right"/>
            </w:pPr>
            <w:r/>
            <w:r>
              <w:rPr>
                <w:b w:val="0"/>
                <w:i w:val="0"/>
                <w:sz w:val="17"/>
              </w:rPr>
              <w:t>4,672.5</w:t>
            </w:r>
          </w:p>
        </w:tc>
        <w:tc>
          <w:tcPr>
            <w:tcW w:type="dxa" w:w="1361"/>
            <w:shd w:val="clear" w:color="auto" w:fill="FAF9F6"/>
          </w:tcPr>
          <w:p>
            <w:pPr>
              <w:spacing w:after="0" w:line="240" w:lineRule="auto"/>
              <w:jc w:val="right"/>
            </w:pPr>
            <w:r/>
            <w:r>
              <w:rPr>
                <w:b w:val="0"/>
                <w:i w:val="0"/>
                <w:sz w:val="17"/>
              </w:rPr>
              <w:t>4,517.7</w:t>
            </w:r>
          </w:p>
        </w:tc>
        <w:tc>
          <w:tcPr>
            <w:tcW w:type="dxa" w:w="1361"/>
            <w:shd w:val="clear" w:color="auto" w:fill="FAF9F6"/>
          </w:tcPr>
          <w:p>
            <w:pPr>
              <w:spacing w:after="0" w:line="240" w:lineRule="auto"/>
              <w:jc w:val="right"/>
            </w:pPr>
            <w:r/>
            <w:r>
              <w:rPr>
                <w:b w:val="0"/>
                <w:i w:val="0"/>
                <w:sz w:val="17"/>
              </w:rPr>
              <w:t>2,140.6</w:t>
            </w:r>
          </w:p>
        </w:tc>
        <w:tc>
          <w:tcPr>
            <w:tcW w:type="dxa" w:w="1247"/>
            <w:shd w:val="clear" w:color="auto" w:fill="FAF9F6"/>
          </w:tcPr>
          <w:p>
            <w:pPr>
              <w:spacing w:after="0" w:line="240" w:lineRule="auto"/>
              <w:jc w:val="right"/>
            </w:pPr>
            <w:r/>
          </w:p>
        </w:tc>
      </w:tr>
    </w:tbl>
    <w:p>
      <w:pPr>
        <w:spacing w:after="40"/>
      </w:pPr>
    </w:p>
    <w:p>
      <w:pPr>
        <w:shd w:val="clear" w:color="auto" w:fill="F2F0EA"/>
        <w:spacing w:after="160"/>
        <w:ind w:left="113"/>
      </w:pPr>
      <w:r>
        <w:rPr>
          <w:b/>
          <w:color w:val="6B6B60"/>
          <w:sz w:val="18"/>
        </w:rPr>
        <w:t xml:space="preserve">Internal note – not for the IM: </w:t>
      </w:r>
      <w:r>
        <w:rPr>
          <w:b w:val="0"/>
          <w:i w:val="0"/>
          <w:color w:val="3A3A35"/>
          <w:sz w:val="18"/>
        </w:rPr>
        <w:t>Moonys shows ~114 ha of exotic cover in the mapping but has no ETS registration and no PF Olsen crop – check on the ground before describing it as plantation. Pakihi is mapped as bush/scrub from imagery but as grassland in the LCDB-based spreadsheet; the imagery mapping is used here.</w:t>
      </w:r>
    </w:p>
    <w:p>
      <w:pPr>
        <w:pStyle w:val="Heading2"/>
      </w:pPr>
      <w:r>
        <w:t>2.3  Location and access</w:t>
      </w:r>
    </w:p>
    <w:p>
      <w:pPr>
        <w:spacing w:after="40"/>
      </w:pPr>
      <w:r>
        <w:rPr>
          <w:b/>
          <w:i w:val="0"/>
        </w:rPr>
        <w:t>A – Waitōtara Valley / Ngamatapouri (South Taranaki District)</w:t>
      </w:r>
    </w:p>
    <w:p>
      <w:r>
        <w:rPr>
          <w:b w:val="0"/>
          <w:i w:val="0"/>
        </w:rPr>
        <w:t>The core of the estate: Back Farm, Front Farm, the Eastern Block, the Home Block, Karapara and Ernies (Makowhai Trust) and Longreach, Patricks House and the Workers House (NFL) lie along Mataimoana, Taumatatahi, Kapara, Makakaho and Waitotara Valley Roads inland from Waverley and Waitōtara. Waverley is 30–70 km by road and Whanganui 55–95 km.</w:t>
      </w:r>
    </w:p>
    <w:p>
      <w:pPr>
        <w:spacing w:after="40"/>
      </w:pPr>
      <w:r>
        <w:rPr>
          <w:b/>
          <w:i w:val="0"/>
        </w:rPr>
        <w:t>B – Waverley / Nukumaru coast (South Taranaki – Whanganui boundary)</w:t>
      </w:r>
    </w:p>
    <w:p>
      <w:r>
        <w:rPr>
          <w:b w:val="0"/>
          <w:i w:val="0"/>
        </w:rPr>
        <w:t>Puau Road, Moonys and Ridge Road sit on the coastal hill country between Waverley and the Waitōtara River mouth, about 30 km from Waverley and 55 km from Whanganui and the Castlecliff port.</w:t>
      </w:r>
    </w:p>
    <w:p>
      <w:pPr>
        <w:spacing w:after="40"/>
      </w:pPr>
      <w:r>
        <w:rPr>
          <w:b/>
          <w:i w:val="0"/>
        </w:rPr>
        <w:t>C – Eastern Taranaki – Whangamomona / Mangaehu (Stratford District)</w:t>
      </w:r>
    </w:p>
    <w:p>
      <w:r>
        <w:rPr>
          <w:b w:val="0"/>
          <w:i w:val="0"/>
        </w:rPr>
        <w:t>Whangamomona (on SH43, the Forgotten World Highway), Tims and Staghaven on Mangaehu Road, and the Soldiers Road forestry right lie in the eastern Taranaki hill country 40–70 km east of Stratford and 80–110 km from New Plymouth and Port Taranaki.</w:t>
      </w:r>
    </w:p>
    <w:p>
      <w:pPr>
        <w:spacing w:after="40"/>
      </w:pPr>
      <w:r>
        <w:rPr>
          <w:b/>
          <w:i w:val="0"/>
        </w:rPr>
        <w:t>D – Eastern Bay of Plenty – Toatoa (Ōpōtiki District)</w:t>
      </w:r>
    </w:p>
    <w:p>
      <w:r>
        <w:rPr>
          <w:b w:val="0"/>
          <w:i w:val="0"/>
        </w:rPr>
        <w:t>Pakihi is 21 km inland from Ōpōtiki on Pakihi Road, 65 km from Whakatāne.</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4819"/>
        <w:gridCol w:w="4819"/>
      </w:tblGrid>
      <w:tr>
        <w:tc>
          <w:tcPr>
            <w:tcW w:type="dxa" w:w="2835"/>
            <w:shd w:val="clear" w:color="auto" w:fill="DBD2C3"/>
          </w:tcPr>
          <w:p>
            <w:pPr>
              <w:spacing w:after="0" w:line="240" w:lineRule="auto"/>
            </w:pPr>
            <w:r/>
            <w:r>
              <w:rPr>
                <w:b/>
                <w:i w:val="0"/>
                <w:sz w:val="17"/>
              </w:rPr>
              <w:t>From</w:t>
            </w:r>
          </w:p>
        </w:tc>
        <w:tc>
          <w:tcPr>
            <w:tcW w:type="dxa" w:w="6803"/>
            <w:shd w:val="clear" w:color="auto" w:fill="DBD2C3"/>
          </w:tcPr>
          <w:p>
            <w:pPr>
              <w:spacing w:after="0" w:line="240" w:lineRule="auto"/>
            </w:pPr>
            <w:r/>
            <w:r>
              <w:rPr>
                <w:b/>
                <w:i w:val="0"/>
                <w:sz w:val="17"/>
              </w:rPr>
              <w:t>Key destinations and road distance (km)</w:t>
            </w:r>
          </w:p>
        </w:tc>
      </w:tr>
      <w:tr>
        <w:tc>
          <w:tcPr>
            <w:tcW w:type="dxa" w:w="2835"/>
          </w:tcPr>
          <w:p>
            <w:pPr>
              <w:spacing w:after="0" w:line="240" w:lineRule="auto"/>
            </w:pPr>
            <w:r/>
            <w:r>
              <w:rPr>
                <w:b w:val="0"/>
                <w:i w:val="0"/>
                <w:sz w:val="17"/>
              </w:rPr>
              <w:t>Back Farm (Mataimoana Road)</w:t>
            </w:r>
          </w:p>
        </w:tc>
        <w:tc>
          <w:tcPr>
            <w:tcW w:type="dxa" w:w="6803"/>
          </w:tcPr>
          <w:p>
            <w:pPr>
              <w:spacing w:after="0" w:line="240" w:lineRule="auto"/>
            </w:pPr>
            <w:r/>
            <w:r>
              <w:rPr>
                <w:b w:val="0"/>
                <w:i w:val="0"/>
                <w:sz w:val="17"/>
              </w:rPr>
              <w:t>Waverley 34 · Whanganui 78 · Hāwera 79 · Castlecliff port, Whanganui 82 · Stratford 109 · New Plymouth / Port Taranaki 154</w:t>
            </w:r>
          </w:p>
        </w:tc>
      </w:tr>
      <w:tr>
        <w:tc>
          <w:tcPr>
            <w:tcW w:type="dxa" w:w="2835"/>
            <w:shd w:val="clear" w:color="auto" w:fill="FAF9F6"/>
          </w:tcPr>
          <w:p>
            <w:pPr>
              <w:spacing w:after="0" w:line="240" w:lineRule="auto"/>
            </w:pPr>
            <w:r/>
            <w:r>
              <w:rPr>
                <w:b w:val="0"/>
                <w:i w:val="0"/>
                <w:sz w:val="17"/>
              </w:rPr>
              <w:t>Longreach (Makakaho Road)</w:t>
            </w:r>
          </w:p>
        </w:tc>
        <w:tc>
          <w:tcPr>
            <w:tcW w:type="dxa" w:w="6803"/>
            <w:shd w:val="clear" w:color="auto" w:fill="FAF9F6"/>
          </w:tcPr>
          <w:p>
            <w:pPr>
              <w:spacing w:after="0" w:line="240" w:lineRule="auto"/>
            </w:pPr>
            <w:r/>
            <w:r>
              <w:rPr>
                <w:b w:val="0"/>
                <w:i w:val="0"/>
                <w:sz w:val="17"/>
              </w:rPr>
              <w:t>Waverley 69 · Whanganui 92 · Castlecliff port, Whanganui 95 · Hāwera 113 · Stratford 143 · New Plymouth / Port Taranaki 188</w:t>
            </w:r>
          </w:p>
        </w:tc>
      </w:tr>
      <w:tr>
        <w:tc>
          <w:tcPr>
            <w:tcW w:type="dxa" w:w="2835"/>
          </w:tcPr>
          <w:p>
            <w:pPr>
              <w:spacing w:after="0" w:line="240" w:lineRule="auto"/>
            </w:pPr>
            <w:r/>
            <w:r>
              <w:rPr>
                <w:b w:val="0"/>
                <w:i w:val="0"/>
                <w:sz w:val="17"/>
              </w:rPr>
              <w:t>Puau Road / Moonys / Ridge Road</w:t>
            </w:r>
          </w:p>
        </w:tc>
        <w:tc>
          <w:tcPr>
            <w:tcW w:type="dxa" w:w="6803"/>
          </w:tcPr>
          <w:p>
            <w:pPr>
              <w:spacing w:after="0" w:line="240" w:lineRule="auto"/>
            </w:pPr>
            <w:r/>
            <w:r>
              <w:rPr>
                <w:b w:val="0"/>
                <w:i w:val="0"/>
                <w:sz w:val="17"/>
              </w:rPr>
              <w:t>Waverley 31 · Whanganui 54 · Castlecliff port, Whanganui 57 · Hāwera 75 · Stratford 105 · New Plymouth / Port Taranaki 150</w:t>
            </w:r>
          </w:p>
        </w:tc>
      </w:tr>
      <w:tr>
        <w:tc>
          <w:tcPr>
            <w:tcW w:type="dxa" w:w="2835"/>
            <w:shd w:val="clear" w:color="auto" w:fill="FAF9F6"/>
          </w:tcPr>
          <w:p>
            <w:pPr>
              <w:spacing w:after="0" w:line="240" w:lineRule="auto"/>
            </w:pPr>
            <w:r/>
            <w:r>
              <w:rPr>
                <w:b w:val="0"/>
                <w:i w:val="0"/>
                <w:sz w:val="17"/>
              </w:rPr>
              <w:t>Whangamomona</w:t>
            </w:r>
          </w:p>
        </w:tc>
        <w:tc>
          <w:tcPr>
            <w:tcW w:type="dxa" w:w="6803"/>
            <w:shd w:val="clear" w:color="auto" w:fill="FAF9F6"/>
          </w:tcPr>
          <w:p>
            <w:pPr>
              <w:spacing w:after="0" w:line="240" w:lineRule="auto"/>
            </w:pPr>
            <w:r/>
            <w:r>
              <w:rPr>
                <w:b w:val="0"/>
                <w:i w:val="0"/>
                <w:sz w:val="17"/>
              </w:rPr>
              <w:t>Stratford 68 · Hāwera 98 · New Plymouth 106 · Port Taranaki 112 · Whanganui 186</w:t>
            </w:r>
          </w:p>
        </w:tc>
      </w:tr>
      <w:tr>
        <w:tc>
          <w:tcPr>
            <w:tcW w:type="dxa" w:w="2835"/>
          </w:tcPr>
          <w:p>
            <w:pPr>
              <w:spacing w:after="0" w:line="240" w:lineRule="auto"/>
            </w:pPr>
            <w:r/>
            <w:r>
              <w:rPr>
                <w:b w:val="0"/>
                <w:i w:val="0"/>
                <w:sz w:val="17"/>
              </w:rPr>
              <w:t>Staghaven / Tims (Mangaehu Road)</w:t>
            </w:r>
          </w:p>
        </w:tc>
        <w:tc>
          <w:tcPr>
            <w:tcW w:type="dxa" w:w="6803"/>
          </w:tcPr>
          <w:p>
            <w:pPr>
              <w:spacing w:after="0" w:line="240" w:lineRule="auto"/>
            </w:pPr>
            <w:r/>
            <w:r>
              <w:rPr>
                <w:b w:val="0"/>
                <w:i w:val="0"/>
                <w:sz w:val="17"/>
              </w:rPr>
              <w:t>Stratford 41 · Hāwera 71 · New Plymouth 79 · Port Taranaki 84 · Whanganui 159</w:t>
            </w:r>
          </w:p>
        </w:tc>
      </w:tr>
      <w:tr>
        <w:tc>
          <w:tcPr>
            <w:tcW w:type="dxa" w:w="2835"/>
            <w:shd w:val="clear" w:color="auto" w:fill="FAF9F6"/>
          </w:tcPr>
          <w:p>
            <w:pPr>
              <w:spacing w:after="0" w:line="240" w:lineRule="auto"/>
            </w:pPr>
            <w:r/>
            <w:r>
              <w:rPr>
                <w:b w:val="0"/>
                <w:i w:val="0"/>
                <w:sz w:val="17"/>
              </w:rPr>
              <w:t>Pakihi (Toatoa)</w:t>
            </w:r>
          </w:p>
        </w:tc>
        <w:tc>
          <w:tcPr>
            <w:tcW w:type="dxa" w:w="6803"/>
            <w:shd w:val="clear" w:color="auto" w:fill="FAF9F6"/>
          </w:tcPr>
          <w:p>
            <w:pPr>
              <w:spacing w:after="0" w:line="240" w:lineRule="auto"/>
            </w:pPr>
            <w:r/>
            <w:r>
              <w:rPr>
                <w:b w:val="0"/>
                <w:i w:val="0"/>
                <w:sz w:val="17"/>
              </w:rPr>
              <w:t>Ōpōtiki 21 · Whakatāne 65 · Gisborne 158</w:t>
            </w:r>
          </w:p>
        </w:tc>
      </w:tr>
    </w:tbl>
    <w:p>
      <w:pPr>
        <w:spacing w:after="40"/>
      </w:pPr>
    </w:p>
    <w:p>
      <w:r>
        <w:rPr>
          <w:b w:val="0"/>
          <w:i/>
          <w:sz w:val="17"/>
        </w:rPr>
        <w:t>Road distances are approximate (OpenStreetMap routing from the block centroid).</w:t>
      </w:r>
    </w:p>
    <w:p>
      <w:r>
        <w:rPr>
          <w:b w:val="0"/>
          <w:i w:val="0"/>
        </w:rPr>
        <w:t xml:space="preserve">Legal access: no legal access issues are known. Most blocks have road frontage; physical access to some planted stands is through neighbouring properties (Front Farm stands 1.01 and 5.01 via the Dobson farm, the Eastern Block via the Larson property or the Makowhai track network, and Puau Road via Wood Country Limited) and those arrangements need to be re-secured. </w:t>
      </w:r>
      <w:r>
        <w:rPr>
          <w:b/>
          <w:i w:val="0"/>
          <w:color w:val="B01E1E"/>
        </w:rPr>
        <w:t>[TBC – legal access details and easements from Stand (Ross Larcombe).]</w:t>
      </w:r>
      <w:r>
        <w:rPr>
          <w:b w:val="0"/>
          <w:i w:val="0"/>
        </w:rPr>
        <w:t xml:space="preserve"> The grazing lease confers rights for persons under the Receivers' control to cross the leased land.</w:t>
      </w:r>
    </w:p>
    <w:p>
      <w:pPr>
        <w:pStyle w:val="Heading2"/>
      </w:pPr>
      <w:r>
        <w:t>2.4  Planted forest and the 2026 programme</w:t>
      </w:r>
    </w:p>
    <w:p>
      <w:r>
        <w:rPr>
          <w:b w:val="0"/>
          <w:i w:val="0"/>
        </w:rPr>
        <w:t>Pinus radiata was established on eight blocks between 2022 and 2024, mostly in 2023 and 2024, at an original target stocking of 1,100 stems/ha. PF Olsen ground-truthed every planted block in April 2026 after an aerial tree-detection survey had under-reported stocking, and assessed each stand as adequately stocked (above 850 stems/ha), for blanking (scattered survival, about 500 stems/ha infill) or for replanting (failed areas, to 850 stems/ha). Pest pressure from deer, goats and pigs and stock incursions were the main causes of loss.</w:t>
      </w:r>
    </w:p>
    <w:p>
      <w:pPr>
        <w:jc w:val="center"/>
      </w:pPr>
      <w:r>
        <w:drawing>
          <wp:inline xmlns:a="http://schemas.openxmlformats.org/drawingml/2006/main" xmlns:pic="http://schemas.openxmlformats.org/drawingml/2006/picture">
            <wp:extent cx="6120000" cy="3988929"/>
            <wp:docPr id="4" name="Picture 4"/>
            <wp:cNvGraphicFramePr>
              <a:graphicFrameLocks noChangeAspect="1"/>
            </wp:cNvGraphicFramePr>
            <a:graphic>
              <a:graphicData uri="http://schemas.openxmlformats.org/drawingml/2006/picture">
                <pic:pic>
                  <pic:nvPicPr>
                    <pic:cNvPr id="0" name="chart3_planted_crop.png"/>
                    <pic:cNvPicPr/>
                  </pic:nvPicPr>
                  <pic:blipFill>
                    <a:blip r:embed="rId12"/>
                    <a:stretch>
                      <a:fillRect/>
                    </a:stretch>
                  </pic:blipFill>
                  <pic:spPr>
                    <a:xfrm>
                      <a:off x="0" y="0"/>
                      <a:ext cx="6120000" cy="3988929"/>
                    </a:xfrm>
                    <a:prstGeom prst="rect"/>
                  </pic:spPr>
                </pic:pic>
              </a:graphicData>
            </a:graphic>
          </wp:inline>
        </w:drawing>
      </w:r>
    </w:p>
    <w:p>
      <w:pPr>
        <w:spacing w:after="200"/>
        <w:jc w:val="center"/>
      </w:pPr>
      <w:r>
        <w:rPr>
          <w:b w:val="0"/>
          <w:i/>
          <w:color w:val="6B6B60"/>
          <w:sz w:val="17"/>
        </w:rPr>
        <w:t>Figure 4 – Planted area, adequately stocked area at April 2026 and after the 2026 programme (PF Olsen).</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1205"/>
        <w:gridCol w:w="1205"/>
        <w:gridCol w:w="1205"/>
        <w:gridCol w:w="1205"/>
        <w:gridCol w:w="1205"/>
        <w:gridCol w:w="1205"/>
        <w:gridCol w:w="1205"/>
        <w:gridCol w:w="1205"/>
      </w:tblGrid>
      <w:tr>
        <w:tc>
          <w:tcPr>
            <w:tcW w:type="dxa" w:w="1701"/>
            <w:shd w:val="clear" w:color="auto" w:fill="DBD2C3"/>
          </w:tcPr>
          <w:p>
            <w:pPr>
              <w:spacing w:after="0" w:line="240" w:lineRule="auto"/>
            </w:pPr>
            <w:r/>
            <w:r>
              <w:rPr>
                <w:b/>
                <w:i w:val="0"/>
                <w:sz w:val="17"/>
              </w:rPr>
              <w:t>Block</w:t>
            </w:r>
          </w:p>
        </w:tc>
        <w:tc>
          <w:tcPr>
            <w:tcW w:type="dxa" w:w="964"/>
            <w:shd w:val="clear" w:color="auto" w:fill="DBD2C3"/>
          </w:tcPr>
          <w:p>
            <w:pPr>
              <w:spacing w:after="0" w:line="240" w:lineRule="auto"/>
            </w:pPr>
            <w:r/>
            <w:r>
              <w:rPr>
                <w:b/>
                <w:i w:val="0"/>
                <w:sz w:val="17"/>
              </w:rPr>
              <w:t>Planted (ha)</w:t>
            </w:r>
          </w:p>
        </w:tc>
        <w:tc>
          <w:tcPr>
            <w:tcW w:type="dxa" w:w="1077"/>
            <w:shd w:val="clear" w:color="auto" w:fill="DBD2C3"/>
          </w:tcPr>
          <w:p>
            <w:pPr>
              <w:spacing w:after="0" w:line="240" w:lineRule="auto"/>
            </w:pPr>
            <w:r/>
            <w:r>
              <w:rPr>
                <w:b/>
                <w:i w:val="0"/>
                <w:sz w:val="17"/>
              </w:rPr>
              <w:t>Planting year(s)</w:t>
            </w:r>
          </w:p>
        </w:tc>
        <w:tc>
          <w:tcPr>
            <w:tcW w:type="dxa" w:w="1191"/>
            <w:shd w:val="clear" w:color="auto" w:fill="DBD2C3"/>
          </w:tcPr>
          <w:p>
            <w:pPr>
              <w:spacing w:after="0" w:line="240" w:lineRule="auto"/>
            </w:pPr>
            <w:r/>
            <w:r>
              <w:rPr>
                <w:b/>
                <w:i w:val="0"/>
                <w:sz w:val="17"/>
              </w:rPr>
              <w:t>Adequate Apr 2026 (ha)</w:t>
            </w:r>
          </w:p>
        </w:tc>
        <w:tc>
          <w:tcPr>
            <w:tcW w:type="dxa" w:w="1020"/>
            <w:shd w:val="clear" w:color="auto" w:fill="DBD2C3"/>
          </w:tcPr>
          <w:p>
            <w:pPr>
              <w:spacing w:after="0" w:line="240" w:lineRule="auto"/>
            </w:pPr>
            <w:r/>
            <w:r>
              <w:rPr>
                <w:b/>
                <w:i w:val="0"/>
                <w:sz w:val="17"/>
              </w:rPr>
              <w:t>2026 replant (ha)</w:t>
            </w:r>
          </w:p>
        </w:tc>
        <w:tc>
          <w:tcPr>
            <w:tcW w:type="dxa" w:w="1077"/>
            <w:shd w:val="clear" w:color="auto" w:fill="DBD2C3"/>
          </w:tcPr>
          <w:p>
            <w:pPr>
              <w:spacing w:after="0" w:line="240" w:lineRule="auto"/>
            </w:pPr>
            <w:r/>
            <w:r>
              <w:rPr>
                <w:b/>
                <w:i w:val="0"/>
                <w:sz w:val="17"/>
              </w:rPr>
              <w:t>2026 blanking (ha)</w:t>
            </w:r>
          </w:p>
        </w:tc>
        <w:tc>
          <w:tcPr>
            <w:tcW w:type="dxa" w:w="1247"/>
            <w:shd w:val="clear" w:color="auto" w:fill="DBD2C3"/>
          </w:tcPr>
          <w:p>
            <w:pPr>
              <w:spacing w:after="0" w:line="240" w:lineRule="auto"/>
            </w:pPr>
            <w:r/>
            <w:r>
              <w:rPr>
                <w:b/>
                <w:i w:val="0"/>
                <w:sz w:val="17"/>
              </w:rPr>
              <w:t>Adequate after 2026 (ha)</w:t>
            </w:r>
          </w:p>
        </w:tc>
        <w:tc>
          <w:tcPr>
            <w:tcW w:type="dxa" w:w="1247"/>
            <w:shd w:val="clear" w:color="auto" w:fill="DBD2C3"/>
          </w:tcPr>
          <w:p>
            <w:pPr>
              <w:spacing w:after="0" w:line="240" w:lineRule="auto"/>
            </w:pPr>
            <w:r/>
            <w:r>
              <w:rPr>
                <w:b/>
                <w:i w:val="0"/>
                <w:sz w:val="17"/>
              </w:rPr>
              <w:t>Further plantable (ha)</w:t>
            </w:r>
          </w:p>
        </w:tc>
      </w:tr>
      <w:tr>
        <w:tc>
          <w:tcPr>
            <w:tcW w:type="dxa" w:w="1701"/>
          </w:tcPr>
          <w:p>
            <w:pPr>
              <w:spacing w:after="0" w:line="240" w:lineRule="auto"/>
            </w:pPr>
            <w:r/>
            <w:r>
              <w:rPr>
                <w:b w:val="0"/>
                <w:i w:val="0"/>
                <w:sz w:val="17"/>
              </w:rPr>
              <w:t>Back Farm</w:t>
            </w:r>
          </w:p>
        </w:tc>
        <w:tc>
          <w:tcPr>
            <w:tcW w:type="dxa" w:w="964"/>
          </w:tcPr>
          <w:p>
            <w:pPr>
              <w:spacing w:after="0" w:line="240" w:lineRule="auto"/>
              <w:jc w:val="right"/>
            </w:pPr>
            <w:r/>
            <w:r>
              <w:rPr>
                <w:b w:val="0"/>
                <w:i w:val="0"/>
                <w:sz w:val="17"/>
              </w:rPr>
              <w:t>785</w:t>
            </w:r>
          </w:p>
        </w:tc>
        <w:tc>
          <w:tcPr>
            <w:tcW w:type="dxa" w:w="1077"/>
          </w:tcPr>
          <w:p>
            <w:pPr>
              <w:spacing w:after="0" w:line="240" w:lineRule="auto"/>
            </w:pPr>
            <w:r/>
            <w:r>
              <w:rPr>
                <w:b w:val="0"/>
                <w:i w:val="0"/>
                <w:sz w:val="17"/>
              </w:rPr>
              <w:t>2022–23</w:t>
            </w:r>
          </w:p>
        </w:tc>
        <w:tc>
          <w:tcPr>
            <w:tcW w:type="dxa" w:w="1191"/>
          </w:tcPr>
          <w:p>
            <w:pPr>
              <w:spacing w:after="0" w:line="240" w:lineRule="auto"/>
              <w:jc w:val="right"/>
            </w:pPr>
            <w:r/>
            <w:r>
              <w:rPr>
                <w:b w:val="0"/>
                <w:i w:val="0"/>
                <w:sz w:val="17"/>
              </w:rPr>
              <w:t>500</w:t>
            </w:r>
          </w:p>
        </w:tc>
        <w:tc>
          <w:tcPr>
            <w:tcW w:type="dxa" w:w="1020"/>
          </w:tcPr>
          <w:p>
            <w:pPr>
              <w:spacing w:after="0" w:line="240" w:lineRule="auto"/>
              <w:jc w:val="right"/>
            </w:pPr>
            <w:r/>
            <w:r>
              <w:rPr>
                <w:b w:val="0"/>
                <w:i w:val="0"/>
                <w:sz w:val="17"/>
              </w:rPr>
              <w:t>50</w:t>
            </w:r>
          </w:p>
        </w:tc>
        <w:tc>
          <w:tcPr>
            <w:tcW w:type="dxa" w:w="1077"/>
          </w:tcPr>
          <w:p>
            <w:pPr>
              <w:spacing w:after="0" w:line="240" w:lineRule="auto"/>
              <w:jc w:val="right"/>
            </w:pPr>
            <w:r/>
            <w:r>
              <w:rPr>
                <w:b w:val="0"/>
                <w:i w:val="0"/>
                <w:sz w:val="17"/>
              </w:rPr>
              <w:t>235</w:t>
            </w:r>
          </w:p>
        </w:tc>
        <w:tc>
          <w:tcPr>
            <w:tcW w:type="dxa" w:w="1247"/>
          </w:tcPr>
          <w:p>
            <w:pPr>
              <w:spacing w:after="0" w:line="240" w:lineRule="auto"/>
              <w:jc w:val="right"/>
            </w:pPr>
            <w:r/>
            <w:r>
              <w:rPr>
                <w:b w:val="0"/>
                <w:i w:val="0"/>
                <w:sz w:val="17"/>
              </w:rPr>
              <w:t>785</w:t>
            </w:r>
          </w:p>
        </w:tc>
        <w:tc>
          <w:tcPr>
            <w:tcW w:type="dxa" w:w="1247"/>
          </w:tcPr>
          <w:p>
            <w:pPr>
              <w:spacing w:after="0" w:line="240" w:lineRule="auto"/>
              <w:jc w:val="right"/>
            </w:pPr>
            <w:r/>
            <w:r>
              <w:rPr>
                <w:b w:val="0"/>
                <w:i w:val="0"/>
                <w:sz w:val="17"/>
              </w:rPr>
              <w:t>3.5</w:t>
            </w:r>
          </w:p>
        </w:tc>
      </w:tr>
      <w:tr>
        <w:tc>
          <w:tcPr>
            <w:tcW w:type="dxa" w:w="1701"/>
            <w:shd w:val="clear" w:color="auto" w:fill="FAF9F6"/>
          </w:tcPr>
          <w:p>
            <w:pPr>
              <w:spacing w:after="0" w:line="240" w:lineRule="auto"/>
            </w:pPr>
            <w:r/>
            <w:r>
              <w:rPr>
                <w:b w:val="0"/>
                <w:i w:val="0"/>
                <w:sz w:val="17"/>
              </w:rPr>
              <w:t>Longreach</w:t>
            </w:r>
          </w:p>
        </w:tc>
        <w:tc>
          <w:tcPr>
            <w:tcW w:type="dxa" w:w="964"/>
            <w:shd w:val="clear" w:color="auto" w:fill="FAF9F6"/>
          </w:tcPr>
          <w:p>
            <w:pPr>
              <w:spacing w:after="0" w:line="240" w:lineRule="auto"/>
              <w:jc w:val="right"/>
            </w:pPr>
            <w:r/>
            <w:r>
              <w:rPr>
                <w:b w:val="0"/>
                <w:i w:val="0"/>
                <w:sz w:val="17"/>
              </w:rPr>
              <w:t>777</w:t>
            </w:r>
          </w:p>
        </w:tc>
        <w:tc>
          <w:tcPr>
            <w:tcW w:type="dxa" w:w="1077"/>
            <w:shd w:val="clear" w:color="auto" w:fill="FAF9F6"/>
          </w:tcPr>
          <w:p>
            <w:pPr>
              <w:spacing w:after="0" w:line="240" w:lineRule="auto"/>
            </w:pPr>
            <w:r/>
            <w:r>
              <w:rPr>
                <w:b w:val="0"/>
                <w:i w:val="0"/>
                <w:sz w:val="17"/>
              </w:rPr>
              <w:t>2024</w:t>
            </w:r>
          </w:p>
        </w:tc>
        <w:tc>
          <w:tcPr>
            <w:tcW w:type="dxa" w:w="1191"/>
            <w:shd w:val="clear" w:color="auto" w:fill="FAF9F6"/>
          </w:tcPr>
          <w:p>
            <w:pPr>
              <w:spacing w:after="0" w:line="240" w:lineRule="auto"/>
              <w:jc w:val="right"/>
            </w:pPr>
            <w:r/>
            <w:r>
              <w:rPr>
                <w:b w:val="0"/>
                <w:i w:val="0"/>
                <w:sz w:val="17"/>
              </w:rPr>
              <w:t>691</w:t>
            </w:r>
          </w:p>
        </w:tc>
        <w:tc>
          <w:tcPr>
            <w:tcW w:type="dxa" w:w="1020"/>
            <w:shd w:val="clear" w:color="auto" w:fill="FAF9F6"/>
          </w:tcPr>
          <w:p>
            <w:pPr>
              <w:spacing w:after="0" w:line="240" w:lineRule="auto"/>
              <w:jc w:val="right"/>
            </w:pPr>
            <w:r/>
            <w:r>
              <w:rPr>
                <w:b w:val="0"/>
                <w:i w:val="0"/>
                <w:sz w:val="17"/>
              </w:rPr>
              <w:t>27</w:t>
            </w:r>
          </w:p>
        </w:tc>
        <w:tc>
          <w:tcPr>
            <w:tcW w:type="dxa" w:w="1077"/>
            <w:shd w:val="clear" w:color="auto" w:fill="FAF9F6"/>
          </w:tcPr>
          <w:p>
            <w:pPr>
              <w:spacing w:after="0" w:line="240" w:lineRule="auto"/>
              <w:jc w:val="right"/>
            </w:pPr>
            <w:r/>
            <w:r>
              <w:rPr>
                <w:b w:val="0"/>
                <w:i w:val="0"/>
                <w:sz w:val="17"/>
              </w:rPr>
              <w:t>59</w:t>
            </w:r>
          </w:p>
        </w:tc>
        <w:tc>
          <w:tcPr>
            <w:tcW w:type="dxa" w:w="1247"/>
            <w:shd w:val="clear" w:color="auto" w:fill="FAF9F6"/>
          </w:tcPr>
          <w:p>
            <w:pPr>
              <w:spacing w:after="0" w:line="240" w:lineRule="auto"/>
              <w:jc w:val="right"/>
            </w:pPr>
            <w:r/>
            <w:r>
              <w:rPr>
                <w:b w:val="0"/>
                <w:i w:val="0"/>
                <w:sz w:val="17"/>
              </w:rPr>
              <w:t>777</w:t>
            </w:r>
          </w:p>
        </w:tc>
        <w:tc>
          <w:tcPr>
            <w:tcW w:type="dxa" w:w="1247"/>
            <w:shd w:val="clear" w:color="auto" w:fill="FAF9F6"/>
          </w:tcPr>
          <w:p>
            <w:pPr>
              <w:spacing w:after="0" w:line="240" w:lineRule="auto"/>
              <w:jc w:val="right"/>
            </w:pPr>
            <w:r/>
            <w:r>
              <w:rPr>
                <w:b w:val="0"/>
                <w:i w:val="0"/>
                <w:sz w:val="17"/>
              </w:rPr>
              <w:t>–</w:t>
            </w:r>
          </w:p>
        </w:tc>
      </w:tr>
      <w:tr>
        <w:tc>
          <w:tcPr>
            <w:tcW w:type="dxa" w:w="1701"/>
          </w:tcPr>
          <w:p>
            <w:pPr>
              <w:spacing w:after="0" w:line="240" w:lineRule="auto"/>
            </w:pPr>
            <w:r/>
            <w:r>
              <w:rPr>
                <w:b w:val="0"/>
                <w:i w:val="0"/>
                <w:sz w:val="17"/>
              </w:rPr>
              <w:t>Eastern Block</w:t>
            </w:r>
          </w:p>
        </w:tc>
        <w:tc>
          <w:tcPr>
            <w:tcW w:type="dxa" w:w="964"/>
          </w:tcPr>
          <w:p>
            <w:pPr>
              <w:spacing w:after="0" w:line="240" w:lineRule="auto"/>
              <w:jc w:val="right"/>
            </w:pPr>
            <w:r/>
            <w:r>
              <w:rPr>
                <w:b w:val="0"/>
                <w:i w:val="0"/>
                <w:sz w:val="17"/>
              </w:rPr>
              <w:t>138</w:t>
            </w:r>
          </w:p>
        </w:tc>
        <w:tc>
          <w:tcPr>
            <w:tcW w:type="dxa" w:w="1077"/>
          </w:tcPr>
          <w:p>
            <w:pPr>
              <w:spacing w:after="0" w:line="240" w:lineRule="auto"/>
            </w:pPr>
            <w:r/>
            <w:r>
              <w:rPr>
                <w:b w:val="0"/>
                <w:i w:val="0"/>
                <w:sz w:val="17"/>
              </w:rPr>
              <w:t>2023–24</w:t>
            </w:r>
          </w:p>
        </w:tc>
        <w:tc>
          <w:tcPr>
            <w:tcW w:type="dxa" w:w="1191"/>
          </w:tcPr>
          <w:p>
            <w:pPr>
              <w:spacing w:after="0" w:line="240" w:lineRule="auto"/>
              <w:jc w:val="right"/>
            </w:pPr>
            <w:r/>
            <w:r>
              <w:rPr>
                <w:b w:val="0"/>
                <w:i w:val="0"/>
                <w:sz w:val="17"/>
              </w:rPr>
              <w:t>0</w:t>
            </w:r>
          </w:p>
        </w:tc>
        <w:tc>
          <w:tcPr>
            <w:tcW w:type="dxa" w:w="1020"/>
          </w:tcPr>
          <w:p>
            <w:pPr>
              <w:spacing w:after="0" w:line="240" w:lineRule="auto"/>
              <w:jc w:val="right"/>
            </w:pPr>
            <w:r/>
            <w:r>
              <w:rPr>
                <w:b w:val="0"/>
                <w:i w:val="0"/>
                <w:sz w:val="17"/>
              </w:rPr>
              <w:t>18</w:t>
            </w:r>
          </w:p>
        </w:tc>
        <w:tc>
          <w:tcPr>
            <w:tcW w:type="dxa" w:w="1077"/>
          </w:tcPr>
          <w:p>
            <w:pPr>
              <w:spacing w:after="0" w:line="240" w:lineRule="auto"/>
              <w:jc w:val="right"/>
            </w:pPr>
            <w:r/>
            <w:r>
              <w:rPr>
                <w:b w:val="0"/>
                <w:i w:val="0"/>
                <w:sz w:val="17"/>
              </w:rPr>
              <w:t>20</w:t>
            </w:r>
          </w:p>
        </w:tc>
        <w:tc>
          <w:tcPr>
            <w:tcW w:type="dxa" w:w="1247"/>
          </w:tcPr>
          <w:p>
            <w:pPr>
              <w:spacing w:after="0" w:line="240" w:lineRule="auto"/>
              <w:jc w:val="right"/>
            </w:pPr>
            <w:r/>
            <w:r>
              <w:rPr>
                <w:b w:val="0"/>
                <w:i w:val="0"/>
                <w:sz w:val="17"/>
              </w:rPr>
              <w:t>38</w:t>
            </w:r>
          </w:p>
        </w:tc>
        <w:tc>
          <w:tcPr>
            <w:tcW w:type="dxa" w:w="1247"/>
          </w:tcPr>
          <w:p>
            <w:pPr>
              <w:spacing w:after="0" w:line="240" w:lineRule="auto"/>
              <w:jc w:val="right"/>
            </w:pPr>
            <w:r/>
            <w:r>
              <w:rPr>
                <w:b w:val="0"/>
                <w:i w:val="0"/>
                <w:sz w:val="17"/>
              </w:rPr>
              <w:t>70.0</w:t>
            </w:r>
          </w:p>
        </w:tc>
      </w:tr>
      <w:tr>
        <w:tc>
          <w:tcPr>
            <w:tcW w:type="dxa" w:w="1701"/>
            <w:shd w:val="clear" w:color="auto" w:fill="FAF9F6"/>
          </w:tcPr>
          <w:p>
            <w:pPr>
              <w:spacing w:after="0" w:line="240" w:lineRule="auto"/>
            </w:pPr>
            <w:r/>
            <w:r>
              <w:rPr>
                <w:b w:val="0"/>
                <w:i w:val="0"/>
                <w:sz w:val="17"/>
              </w:rPr>
              <w:t>Front Farm</w:t>
            </w:r>
          </w:p>
        </w:tc>
        <w:tc>
          <w:tcPr>
            <w:tcW w:type="dxa" w:w="964"/>
            <w:shd w:val="clear" w:color="auto" w:fill="FAF9F6"/>
          </w:tcPr>
          <w:p>
            <w:pPr>
              <w:spacing w:after="0" w:line="240" w:lineRule="auto"/>
              <w:jc w:val="right"/>
            </w:pPr>
            <w:r/>
            <w:r>
              <w:rPr>
                <w:b w:val="0"/>
                <w:i w:val="0"/>
                <w:sz w:val="17"/>
              </w:rPr>
              <w:t>231</w:t>
            </w:r>
          </w:p>
        </w:tc>
        <w:tc>
          <w:tcPr>
            <w:tcW w:type="dxa" w:w="1077"/>
            <w:shd w:val="clear" w:color="auto" w:fill="FAF9F6"/>
          </w:tcPr>
          <w:p>
            <w:pPr>
              <w:spacing w:after="0" w:line="240" w:lineRule="auto"/>
            </w:pPr>
            <w:r/>
            <w:r>
              <w:rPr>
                <w:b w:val="0"/>
                <w:i w:val="0"/>
                <w:sz w:val="17"/>
              </w:rPr>
              <w:t>2023</w:t>
            </w:r>
          </w:p>
        </w:tc>
        <w:tc>
          <w:tcPr>
            <w:tcW w:type="dxa" w:w="1191"/>
            <w:shd w:val="clear" w:color="auto" w:fill="FAF9F6"/>
          </w:tcPr>
          <w:p>
            <w:pPr>
              <w:spacing w:after="0" w:line="240" w:lineRule="auto"/>
              <w:jc w:val="right"/>
            </w:pPr>
            <w:r/>
            <w:r>
              <w:rPr>
                <w:b w:val="0"/>
                <w:i w:val="0"/>
                <w:sz w:val="17"/>
              </w:rPr>
              <w:t>184</w:t>
            </w:r>
          </w:p>
        </w:tc>
        <w:tc>
          <w:tcPr>
            <w:tcW w:type="dxa" w:w="1020"/>
            <w:shd w:val="clear" w:color="auto" w:fill="FAF9F6"/>
          </w:tcPr>
          <w:p>
            <w:pPr>
              <w:spacing w:after="0" w:line="240" w:lineRule="auto"/>
              <w:jc w:val="right"/>
            </w:pPr>
            <w:r/>
            <w:r>
              <w:rPr>
                <w:b w:val="0"/>
                <w:i w:val="0"/>
                <w:sz w:val="17"/>
              </w:rPr>
              <w:t>12</w:t>
            </w:r>
          </w:p>
        </w:tc>
        <w:tc>
          <w:tcPr>
            <w:tcW w:type="dxa" w:w="1077"/>
            <w:shd w:val="clear" w:color="auto" w:fill="FAF9F6"/>
          </w:tcPr>
          <w:p>
            <w:pPr>
              <w:spacing w:after="0" w:line="240" w:lineRule="auto"/>
              <w:jc w:val="right"/>
            </w:pPr>
            <w:r/>
            <w:r>
              <w:rPr>
                <w:b w:val="0"/>
                <w:i w:val="0"/>
                <w:sz w:val="17"/>
              </w:rPr>
              <w:t>35</w:t>
            </w:r>
          </w:p>
        </w:tc>
        <w:tc>
          <w:tcPr>
            <w:tcW w:type="dxa" w:w="1247"/>
            <w:shd w:val="clear" w:color="auto" w:fill="FAF9F6"/>
          </w:tcPr>
          <w:p>
            <w:pPr>
              <w:spacing w:after="0" w:line="240" w:lineRule="auto"/>
              <w:jc w:val="right"/>
            </w:pPr>
            <w:r/>
            <w:r>
              <w:rPr>
                <w:b w:val="0"/>
                <w:i w:val="0"/>
                <w:sz w:val="17"/>
              </w:rPr>
              <w:t>231</w:t>
            </w:r>
          </w:p>
        </w:tc>
        <w:tc>
          <w:tcPr>
            <w:tcW w:type="dxa" w:w="1247"/>
            <w:shd w:val="clear" w:color="auto" w:fill="FAF9F6"/>
          </w:tcPr>
          <w:p>
            <w:pPr>
              <w:spacing w:after="0" w:line="240" w:lineRule="auto"/>
              <w:jc w:val="right"/>
            </w:pPr>
            <w:r/>
            <w:r>
              <w:rPr>
                <w:b w:val="0"/>
                <w:i w:val="0"/>
                <w:sz w:val="17"/>
              </w:rPr>
              <w:t>140.0</w:t>
            </w:r>
          </w:p>
        </w:tc>
      </w:tr>
      <w:tr>
        <w:tc>
          <w:tcPr>
            <w:tcW w:type="dxa" w:w="1701"/>
          </w:tcPr>
          <w:p>
            <w:pPr>
              <w:spacing w:after="0" w:line="240" w:lineRule="auto"/>
            </w:pPr>
            <w:r/>
            <w:r>
              <w:rPr>
                <w:b w:val="0"/>
                <w:i w:val="0"/>
                <w:sz w:val="17"/>
              </w:rPr>
              <w:t>Puau Road</w:t>
            </w:r>
          </w:p>
        </w:tc>
        <w:tc>
          <w:tcPr>
            <w:tcW w:type="dxa" w:w="964"/>
          </w:tcPr>
          <w:p>
            <w:pPr>
              <w:spacing w:after="0" w:line="240" w:lineRule="auto"/>
              <w:jc w:val="right"/>
            </w:pPr>
            <w:r/>
            <w:r>
              <w:rPr>
                <w:b w:val="0"/>
                <w:i w:val="0"/>
                <w:sz w:val="17"/>
              </w:rPr>
              <w:t>52</w:t>
            </w:r>
          </w:p>
        </w:tc>
        <w:tc>
          <w:tcPr>
            <w:tcW w:type="dxa" w:w="1077"/>
          </w:tcPr>
          <w:p>
            <w:pPr>
              <w:spacing w:after="0" w:line="240" w:lineRule="auto"/>
            </w:pPr>
            <w:r/>
            <w:r>
              <w:rPr>
                <w:b w:val="0"/>
                <w:i w:val="0"/>
                <w:sz w:val="17"/>
              </w:rPr>
              <w:t>2024</w:t>
            </w:r>
          </w:p>
        </w:tc>
        <w:tc>
          <w:tcPr>
            <w:tcW w:type="dxa" w:w="1191"/>
          </w:tcPr>
          <w:p>
            <w:pPr>
              <w:spacing w:after="0" w:line="240" w:lineRule="auto"/>
              <w:jc w:val="right"/>
            </w:pPr>
            <w:r/>
            <w:r>
              <w:rPr>
                <w:b w:val="0"/>
                <w:i w:val="0"/>
                <w:sz w:val="17"/>
              </w:rPr>
              <w:t>26</w:t>
            </w:r>
          </w:p>
        </w:tc>
        <w:tc>
          <w:tcPr>
            <w:tcW w:type="dxa" w:w="1020"/>
          </w:tcPr>
          <w:p>
            <w:pPr>
              <w:spacing w:after="0" w:line="240" w:lineRule="auto"/>
              <w:jc w:val="right"/>
            </w:pPr>
            <w:r/>
            <w:r>
              <w:rPr>
                <w:b w:val="0"/>
                <w:i w:val="0"/>
                <w:sz w:val="17"/>
              </w:rPr>
              <w:t>17</w:t>
            </w:r>
          </w:p>
        </w:tc>
        <w:tc>
          <w:tcPr>
            <w:tcW w:type="dxa" w:w="1077"/>
          </w:tcPr>
          <w:p>
            <w:pPr>
              <w:spacing w:after="0" w:line="240" w:lineRule="auto"/>
              <w:jc w:val="right"/>
            </w:pPr>
            <w:r/>
            <w:r>
              <w:rPr>
                <w:b w:val="0"/>
                <w:i w:val="0"/>
                <w:sz w:val="17"/>
              </w:rPr>
              <w:t>8</w:t>
            </w:r>
          </w:p>
        </w:tc>
        <w:tc>
          <w:tcPr>
            <w:tcW w:type="dxa" w:w="1247"/>
          </w:tcPr>
          <w:p>
            <w:pPr>
              <w:spacing w:after="0" w:line="240" w:lineRule="auto"/>
              <w:jc w:val="right"/>
            </w:pPr>
            <w:r/>
            <w:r>
              <w:rPr>
                <w:b w:val="0"/>
                <w:i w:val="0"/>
                <w:sz w:val="17"/>
              </w:rPr>
              <w:t>52</w:t>
            </w:r>
          </w:p>
        </w:tc>
        <w:tc>
          <w:tcPr>
            <w:tcW w:type="dxa" w:w="1247"/>
          </w:tcPr>
          <w:p>
            <w:pPr>
              <w:spacing w:after="0" w:line="240" w:lineRule="auto"/>
              <w:jc w:val="right"/>
            </w:pPr>
            <w:r/>
            <w:r>
              <w:rPr>
                <w:b w:val="0"/>
                <w:i w:val="0"/>
                <w:sz w:val="17"/>
              </w:rPr>
              <w:t>–</w:t>
            </w:r>
          </w:p>
        </w:tc>
      </w:tr>
      <w:tr>
        <w:tc>
          <w:tcPr>
            <w:tcW w:type="dxa" w:w="1701"/>
            <w:shd w:val="clear" w:color="auto" w:fill="FAF9F6"/>
          </w:tcPr>
          <w:p>
            <w:pPr>
              <w:spacing w:after="0" w:line="240" w:lineRule="auto"/>
            </w:pPr>
            <w:r/>
            <w:r>
              <w:rPr>
                <w:b w:val="0"/>
                <w:i w:val="0"/>
                <w:sz w:val="17"/>
              </w:rPr>
              <w:t>Whangamomona</w:t>
            </w:r>
          </w:p>
        </w:tc>
        <w:tc>
          <w:tcPr>
            <w:tcW w:type="dxa" w:w="964"/>
            <w:shd w:val="clear" w:color="auto" w:fill="FAF9F6"/>
          </w:tcPr>
          <w:p>
            <w:pPr>
              <w:spacing w:after="0" w:line="240" w:lineRule="auto"/>
              <w:jc w:val="right"/>
            </w:pPr>
            <w:r/>
            <w:r>
              <w:rPr>
                <w:b w:val="0"/>
                <w:i w:val="0"/>
                <w:sz w:val="17"/>
              </w:rPr>
              <w:t>355</w:t>
            </w:r>
          </w:p>
        </w:tc>
        <w:tc>
          <w:tcPr>
            <w:tcW w:type="dxa" w:w="1077"/>
            <w:shd w:val="clear" w:color="auto" w:fill="FAF9F6"/>
          </w:tcPr>
          <w:p>
            <w:pPr>
              <w:spacing w:after="0" w:line="240" w:lineRule="auto"/>
            </w:pPr>
            <w:r/>
            <w:r>
              <w:rPr>
                <w:b w:val="0"/>
                <w:i w:val="0"/>
                <w:sz w:val="17"/>
              </w:rPr>
              <w:t>2024</w:t>
            </w:r>
          </w:p>
        </w:tc>
        <w:tc>
          <w:tcPr>
            <w:tcW w:type="dxa" w:w="1191"/>
            <w:shd w:val="clear" w:color="auto" w:fill="FAF9F6"/>
          </w:tcPr>
          <w:p>
            <w:pPr>
              <w:spacing w:after="0" w:line="240" w:lineRule="auto"/>
              <w:jc w:val="right"/>
            </w:pPr>
            <w:r/>
            <w:r>
              <w:rPr>
                <w:b w:val="0"/>
                <w:i w:val="0"/>
                <w:sz w:val="17"/>
              </w:rPr>
              <w:t>139</w:t>
            </w:r>
          </w:p>
        </w:tc>
        <w:tc>
          <w:tcPr>
            <w:tcW w:type="dxa" w:w="1020"/>
            <w:shd w:val="clear" w:color="auto" w:fill="FAF9F6"/>
          </w:tcPr>
          <w:p>
            <w:pPr>
              <w:spacing w:after="0" w:line="240" w:lineRule="auto"/>
              <w:jc w:val="right"/>
            </w:pPr>
            <w:r/>
            <w:r>
              <w:rPr>
                <w:b w:val="0"/>
                <w:i w:val="0"/>
                <w:sz w:val="17"/>
              </w:rPr>
              <w:t>194</w:t>
            </w:r>
          </w:p>
        </w:tc>
        <w:tc>
          <w:tcPr>
            <w:tcW w:type="dxa" w:w="1077"/>
            <w:shd w:val="clear" w:color="auto" w:fill="FAF9F6"/>
          </w:tcPr>
          <w:p>
            <w:pPr>
              <w:spacing w:after="0" w:line="240" w:lineRule="auto"/>
              <w:jc w:val="right"/>
            </w:pPr>
            <w:r/>
            <w:r>
              <w:rPr>
                <w:b w:val="0"/>
                <w:i w:val="0"/>
                <w:sz w:val="17"/>
              </w:rPr>
              <w:t>22</w:t>
            </w:r>
          </w:p>
        </w:tc>
        <w:tc>
          <w:tcPr>
            <w:tcW w:type="dxa" w:w="1247"/>
            <w:shd w:val="clear" w:color="auto" w:fill="FAF9F6"/>
          </w:tcPr>
          <w:p>
            <w:pPr>
              <w:spacing w:after="0" w:line="240" w:lineRule="auto"/>
              <w:jc w:val="right"/>
            </w:pPr>
            <w:r/>
            <w:r>
              <w:rPr>
                <w:b w:val="0"/>
                <w:i w:val="0"/>
                <w:sz w:val="17"/>
              </w:rPr>
              <w:t>355</w:t>
            </w:r>
          </w:p>
        </w:tc>
        <w:tc>
          <w:tcPr>
            <w:tcW w:type="dxa" w:w="1247"/>
            <w:shd w:val="clear" w:color="auto" w:fill="FAF9F6"/>
          </w:tcPr>
          <w:p>
            <w:pPr>
              <w:spacing w:after="0" w:line="240" w:lineRule="auto"/>
              <w:jc w:val="right"/>
            </w:pPr>
            <w:r/>
            <w:r>
              <w:rPr>
                <w:b w:val="0"/>
                <w:i w:val="0"/>
                <w:sz w:val="17"/>
              </w:rPr>
              <w:t>5.5</w:t>
            </w:r>
          </w:p>
        </w:tc>
      </w:tr>
      <w:tr>
        <w:tc>
          <w:tcPr>
            <w:tcW w:type="dxa" w:w="1701"/>
          </w:tcPr>
          <w:p>
            <w:pPr>
              <w:spacing w:after="0" w:line="240" w:lineRule="auto"/>
            </w:pPr>
            <w:r/>
            <w:r>
              <w:rPr>
                <w:b w:val="0"/>
                <w:i w:val="0"/>
                <w:sz w:val="17"/>
              </w:rPr>
              <w:t>Soldiers Road (FR)</w:t>
            </w:r>
          </w:p>
        </w:tc>
        <w:tc>
          <w:tcPr>
            <w:tcW w:type="dxa" w:w="964"/>
          </w:tcPr>
          <w:p>
            <w:pPr>
              <w:spacing w:after="0" w:line="240" w:lineRule="auto"/>
              <w:jc w:val="right"/>
            </w:pPr>
            <w:r/>
            <w:r>
              <w:rPr>
                <w:b w:val="0"/>
                <w:i w:val="0"/>
                <w:sz w:val="17"/>
              </w:rPr>
              <w:t>176</w:t>
            </w:r>
          </w:p>
        </w:tc>
        <w:tc>
          <w:tcPr>
            <w:tcW w:type="dxa" w:w="1077"/>
          </w:tcPr>
          <w:p>
            <w:pPr>
              <w:spacing w:after="0" w:line="240" w:lineRule="auto"/>
            </w:pPr>
            <w:r/>
            <w:r>
              <w:rPr>
                <w:b w:val="0"/>
                <w:i w:val="0"/>
                <w:sz w:val="17"/>
              </w:rPr>
              <w:t>2023</w:t>
            </w:r>
          </w:p>
        </w:tc>
        <w:tc>
          <w:tcPr>
            <w:tcW w:type="dxa" w:w="1191"/>
          </w:tcPr>
          <w:p>
            <w:pPr>
              <w:spacing w:after="0" w:line="240" w:lineRule="auto"/>
              <w:jc w:val="right"/>
            </w:pPr>
            <w:r/>
            <w:r>
              <w:rPr>
                <w:b w:val="0"/>
                <w:i w:val="0"/>
                <w:sz w:val="17"/>
              </w:rPr>
              <w:t>50</w:t>
            </w:r>
          </w:p>
        </w:tc>
        <w:tc>
          <w:tcPr>
            <w:tcW w:type="dxa" w:w="1020"/>
          </w:tcPr>
          <w:p>
            <w:pPr>
              <w:spacing w:after="0" w:line="240" w:lineRule="auto"/>
              <w:jc w:val="right"/>
            </w:pPr>
            <w:r/>
            <w:r>
              <w:rPr>
                <w:b w:val="0"/>
                <w:i w:val="0"/>
                <w:sz w:val="17"/>
              </w:rPr>
              <w:t>88</w:t>
            </w:r>
          </w:p>
        </w:tc>
        <w:tc>
          <w:tcPr>
            <w:tcW w:type="dxa" w:w="1077"/>
          </w:tcPr>
          <w:p>
            <w:pPr>
              <w:spacing w:after="0" w:line="240" w:lineRule="auto"/>
              <w:jc w:val="right"/>
            </w:pPr>
            <w:r/>
            <w:r>
              <w:rPr>
                <w:b w:val="0"/>
                <w:i w:val="0"/>
                <w:sz w:val="17"/>
              </w:rPr>
              <w:t>38</w:t>
            </w:r>
          </w:p>
        </w:tc>
        <w:tc>
          <w:tcPr>
            <w:tcW w:type="dxa" w:w="1247"/>
          </w:tcPr>
          <w:p>
            <w:pPr>
              <w:spacing w:after="0" w:line="240" w:lineRule="auto"/>
              <w:jc w:val="right"/>
            </w:pPr>
            <w:r/>
            <w:r>
              <w:rPr>
                <w:b w:val="0"/>
                <w:i w:val="0"/>
                <w:sz w:val="17"/>
              </w:rPr>
              <w:t>176</w:t>
            </w:r>
          </w:p>
        </w:tc>
        <w:tc>
          <w:tcPr>
            <w:tcW w:type="dxa" w:w="1247"/>
          </w:tcPr>
          <w:p>
            <w:pPr>
              <w:spacing w:after="0" w:line="240" w:lineRule="auto"/>
              <w:jc w:val="right"/>
            </w:pPr>
            <w:r/>
            <w:r>
              <w:rPr>
                <w:b w:val="0"/>
                <w:i w:val="0"/>
                <w:sz w:val="17"/>
              </w:rPr>
              <w:t>–</w:t>
            </w:r>
          </w:p>
        </w:tc>
      </w:tr>
      <w:tr>
        <w:tc>
          <w:tcPr>
            <w:tcW w:type="dxa" w:w="1701"/>
            <w:shd w:val="clear" w:color="auto" w:fill="FAF9F6"/>
          </w:tcPr>
          <w:p>
            <w:pPr>
              <w:spacing w:after="0" w:line="240" w:lineRule="auto"/>
            </w:pPr>
            <w:r/>
            <w:r>
              <w:rPr>
                <w:b w:val="0"/>
                <w:i w:val="0"/>
                <w:sz w:val="17"/>
              </w:rPr>
              <w:t>Staghaven</w:t>
            </w:r>
          </w:p>
        </w:tc>
        <w:tc>
          <w:tcPr>
            <w:tcW w:type="dxa" w:w="964"/>
            <w:shd w:val="clear" w:color="auto" w:fill="FAF9F6"/>
          </w:tcPr>
          <w:p>
            <w:pPr>
              <w:spacing w:after="0" w:line="240" w:lineRule="auto"/>
              <w:jc w:val="right"/>
            </w:pPr>
            <w:r/>
            <w:r>
              <w:rPr>
                <w:b w:val="0"/>
                <w:i w:val="0"/>
                <w:sz w:val="17"/>
              </w:rPr>
              <w:t>83</w:t>
            </w:r>
          </w:p>
        </w:tc>
        <w:tc>
          <w:tcPr>
            <w:tcW w:type="dxa" w:w="1077"/>
            <w:shd w:val="clear" w:color="auto" w:fill="FAF9F6"/>
          </w:tcPr>
          <w:p>
            <w:pPr>
              <w:spacing w:after="0" w:line="240" w:lineRule="auto"/>
            </w:pPr>
            <w:r/>
            <w:r>
              <w:rPr>
                <w:b w:val="0"/>
                <w:i w:val="0"/>
                <w:sz w:val="17"/>
              </w:rPr>
              <w:t>2024 (+2011)</w:t>
            </w:r>
          </w:p>
        </w:tc>
        <w:tc>
          <w:tcPr>
            <w:tcW w:type="dxa" w:w="1191"/>
            <w:shd w:val="clear" w:color="auto" w:fill="FAF9F6"/>
          </w:tcPr>
          <w:p>
            <w:pPr>
              <w:spacing w:after="0" w:line="240" w:lineRule="auto"/>
              <w:jc w:val="right"/>
            </w:pPr>
            <w:r/>
            <w:r>
              <w:rPr>
                <w:b w:val="0"/>
                <w:i w:val="0"/>
                <w:sz w:val="17"/>
              </w:rPr>
              <w:t>83</w:t>
            </w:r>
          </w:p>
        </w:tc>
        <w:tc>
          <w:tcPr>
            <w:tcW w:type="dxa" w:w="1020"/>
            <w:shd w:val="clear" w:color="auto" w:fill="FAF9F6"/>
          </w:tcPr>
          <w:p>
            <w:pPr>
              <w:spacing w:after="0" w:line="240" w:lineRule="auto"/>
              <w:jc w:val="right"/>
            </w:pPr>
            <w:r/>
            <w:r>
              <w:rPr>
                <w:b w:val="0"/>
                <w:i w:val="0"/>
                <w:sz w:val="17"/>
              </w:rPr>
              <w:t>–</w:t>
            </w:r>
          </w:p>
        </w:tc>
        <w:tc>
          <w:tcPr>
            <w:tcW w:type="dxa" w:w="1077"/>
            <w:shd w:val="clear" w:color="auto" w:fill="FAF9F6"/>
          </w:tcPr>
          <w:p>
            <w:pPr>
              <w:spacing w:after="0" w:line="240" w:lineRule="auto"/>
              <w:jc w:val="right"/>
            </w:pPr>
            <w:r/>
            <w:r>
              <w:rPr>
                <w:b w:val="0"/>
                <w:i w:val="0"/>
                <w:sz w:val="17"/>
              </w:rPr>
              <w:t>–</w:t>
            </w:r>
          </w:p>
        </w:tc>
        <w:tc>
          <w:tcPr>
            <w:tcW w:type="dxa" w:w="1247"/>
            <w:shd w:val="clear" w:color="auto" w:fill="FAF9F6"/>
          </w:tcPr>
          <w:p>
            <w:pPr>
              <w:spacing w:after="0" w:line="240" w:lineRule="auto"/>
              <w:jc w:val="right"/>
            </w:pPr>
            <w:r/>
            <w:r>
              <w:rPr>
                <w:b w:val="0"/>
                <w:i w:val="0"/>
                <w:sz w:val="17"/>
              </w:rPr>
              <w:t>83</w:t>
            </w:r>
          </w:p>
        </w:tc>
        <w:tc>
          <w:tcPr>
            <w:tcW w:type="dxa" w:w="1247"/>
            <w:shd w:val="clear" w:color="auto" w:fill="FAF9F6"/>
          </w:tcPr>
          <w:p>
            <w:pPr>
              <w:spacing w:after="0" w:line="240" w:lineRule="auto"/>
              <w:jc w:val="right"/>
            </w:pPr>
            <w:r/>
            <w:r>
              <w:rPr>
                <w:b w:val="0"/>
                <w:i w:val="0"/>
                <w:sz w:val="17"/>
              </w:rPr>
              <w:t>–</w:t>
            </w:r>
          </w:p>
        </w:tc>
      </w:tr>
      <w:tr>
        <w:tc>
          <w:tcPr>
            <w:tcW w:type="dxa" w:w="1701"/>
          </w:tcPr>
          <w:p>
            <w:pPr>
              <w:spacing w:after="0" w:line="240" w:lineRule="auto"/>
            </w:pPr>
            <w:r/>
            <w:r>
              <w:rPr>
                <w:b w:val="0"/>
                <w:i w:val="0"/>
                <w:sz w:val="17"/>
              </w:rPr>
              <w:t>Total</w:t>
            </w:r>
          </w:p>
        </w:tc>
        <w:tc>
          <w:tcPr>
            <w:tcW w:type="dxa" w:w="964"/>
          </w:tcPr>
          <w:p>
            <w:pPr>
              <w:spacing w:after="0" w:line="240" w:lineRule="auto"/>
              <w:jc w:val="right"/>
            </w:pPr>
            <w:r/>
            <w:r>
              <w:rPr>
                <w:b w:val="0"/>
                <w:i w:val="0"/>
                <w:sz w:val="17"/>
              </w:rPr>
              <w:t>2,597</w:t>
            </w:r>
          </w:p>
        </w:tc>
        <w:tc>
          <w:tcPr>
            <w:tcW w:type="dxa" w:w="1077"/>
          </w:tcPr>
          <w:p>
            <w:pPr>
              <w:spacing w:after="0" w:line="240" w:lineRule="auto"/>
            </w:pPr>
            <w:r/>
          </w:p>
        </w:tc>
        <w:tc>
          <w:tcPr>
            <w:tcW w:type="dxa" w:w="1191"/>
          </w:tcPr>
          <w:p>
            <w:pPr>
              <w:spacing w:after="0" w:line="240" w:lineRule="auto"/>
              <w:jc w:val="right"/>
            </w:pPr>
            <w:r/>
            <w:r>
              <w:rPr>
                <w:b w:val="0"/>
                <w:i w:val="0"/>
                <w:sz w:val="17"/>
              </w:rPr>
              <w:t>1,673</w:t>
            </w:r>
          </w:p>
        </w:tc>
        <w:tc>
          <w:tcPr>
            <w:tcW w:type="dxa" w:w="1020"/>
          </w:tcPr>
          <w:p>
            <w:pPr>
              <w:spacing w:after="0" w:line="240" w:lineRule="auto"/>
              <w:jc w:val="right"/>
            </w:pPr>
            <w:r/>
            <w:r>
              <w:rPr>
                <w:b w:val="0"/>
                <w:i w:val="0"/>
                <w:sz w:val="17"/>
              </w:rPr>
              <w:t>406</w:t>
            </w:r>
          </w:p>
        </w:tc>
        <w:tc>
          <w:tcPr>
            <w:tcW w:type="dxa" w:w="1077"/>
          </w:tcPr>
          <w:p>
            <w:pPr>
              <w:spacing w:after="0" w:line="240" w:lineRule="auto"/>
              <w:jc w:val="right"/>
            </w:pPr>
            <w:r/>
            <w:r>
              <w:rPr>
                <w:b w:val="0"/>
                <w:i w:val="0"/>
                <w:sz w:val="17"/>
              </w:rPr>
              <w:t>417</w:t>
            </w:r>
          </w:p>
        </w:tc>
        <w:tc>
          <w:tcPr>
            <w:tcW w:type="dxa" w:w="1247"/>
          </w:tcPr>
          <w:p>
            <w:pPr>
              <w:spacing w:after="0" w:line="240" w:lineRule="auto"/>
              <w:jc w:val="right"/>
            </w:pPr>
            <w:r/>
            <w:r>
              <w:rPr>
                <w:b w:val="0"/>
                <w:i w:val="0"/>
                <w:sz w:val="17"/>
              </w:rPr>
              <w:t>2,497</w:t>
            </w:r>
          </w:p>
        </w:tc>
        <w:tc>
          <w:tcPr>
            <w:tcW w:type="dxa" w:w="1247"/>
          </w:tcPr>
          <w:p>
            <w:pPr>
              <w:spacing w:after="0" w:line="240" w:lineRule="auto"/>
              <w:jc w:val="right"/>
            </w:pPr>
            <w:r/>
            <w:r>
              <w:rPr>
                <w:b w:val="0"/>
                <w:i w:val="0"/>
                <w:sz w:val="17"/>
              </w:rPr>
              <w:t>219</w:t>
            </w:r>
          </w:p>
        </w:tc>
      </w:tr>
    </w:tbl>
    <w:p>
      <w:pPr>
        <w:spacing w:after="40"/>
      </w:pPr>
    </w:p>
    <w:p>
      <w:r>
        <w:rPr>
          <w:b w:val="0"/>
          <w:i/>
          <w:sz w:val="17"/>
        </w:rPr>
        <w:t xml:space="preserve">Planting years are from the ETS land status reports (CAA planting year) </w:t>
      </w:r>
      <w:r>
        <w:rPr>
          <w:b/>
          <w:i/>
          <w:color w:val="B01E1E"/>
          <w:sz w:val="17"/>
        </w:rPr>
        <w:t>[TBC – stand records]</w:t>
      </w:r>
      <w:r>
        <w:rPr>
          <w:b w:val="0"/>
          <w:i/>
          <w:sz w:val="17"/>
        </w:rPr>
        <w:t xml:space="preserve">. 'Adequate' means a current stocking above 850 stems/ha. PF Olsen's programme also covered Stag Haven (no work required). The 2026 programme is reported complete ahead of schedule </w:t>
      </w:r>
      <w:r>
        <w:rPr>
          <w:b/>
          <w:i/>
          <w:color w:val="B01E1E"/>
          <w:sz w:val="17"/>
        </w:rPr>
        <w:t>[TBC – completion certificates and survival plots]</w:t>
      </w:r>
      <w:r>
        <w:rPr>
          <w:b w:val="0"/>
          <w:i/>
          <w:sz w:val="17"/>
        </w:rPr>
        <w:t>.</w:t>
      </w:r>
    </w:p>
    <w:p>
      <w:pPr>
        <w:spacing w:after="40"/>
      </w:pPr>
      <w:r>
        <w:rPr>
          <w:b/>
          <w:i w:val="0"/>
        </w:rPr>
        <w:t>Planting timeline (for the IM table):</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2409"/>
        <w:gridCol w:w="2409"/>
        <w:gridCol w:w="2409"/>
        <w:gridCol w:w="2409"/>
      </w:tblGrid>
      <w:tr>
        <w:tc>
          <w:tcPr>
            <w:tcW w:type="dxa" w:w="1134"/>
            <w:shd w:val="clear" w:color="auto" w:fill="DBD2C3"/>
          </w:tcPr>
          <w:p>
            <w:pPr>
              <w:spacing w:after="0" w:line="240" w:lineRule="auto"/>
            </w:pPr>
            <w:r/>
            <w:r>
              <w:rPr>
                <w:b/>
                <w:i w:val="0"/>
                <w:sz w:val="17"/>
              </w:rPr>
              <w:t>Season</w:t>
            </w:r>
          </w:p>
        </w:tc>
        <w:tc>
          <w:tcPr>
            <w:tcW w:type="dxa" w:w="3685"/>
            <w:shd w:val="clear" w:color="auto" w:fill="DBD2C3"/>
          </w:tcPr>
          <w:p>
            <w:pPr>
              <w:spacing w:after="0" w:line="240" w:lineRule="auto"/>
            </w:pPr>
            <w:r/>
            <w:r>
              <w:rPr>
                <w:b/>
                <w:i w:val="0"/>
                <w:sz w:val="17"/>
              </w:rPr>
              <w:t>Area planted (ha)</w:t>
            </w:r>
          </w:p>
        </w:tc>
        <w:tc>
          <w:tcPr>
            <w:tcW w:type="dxa" w:w="1417"/>
            <w:shd w:val="clear" w:color="auto" w:fill="DBD2C3"/>
          </w:tcPr>
          <w:p>
            <w:pPr>
              <w:spacing w:after="0" w:line="240" w:lineRule="auto"/>
            </w:pPr>
            <w:r/>
            <w:r>
              <w:rPr>
                <w:b/>
                <w:i w:val="0"/>
                <w:sz w:val="17"/>
              </w:rPr>
              <w:t>Species</w:t>
            </w:r>
          </w:p>
        </w:tc>
        <w:tc>
          <w:tcPr>
            <w:tcW w:type="dxa" w:w="3402"/>
            <w:shd w:val="clear" w:color="auto" w:fill="DBD2C3"/>
          </w:tcPr>
          <w:p>
            <w:pPr>
              <w:spacing w:after="0" w:line="240" w:lineRule="auto"/>
            </w:pPr>
            <w:r/>
            <w:r>
              <w:rPr>
                <w:b/>
                <w:i w:val="0"/>
                <w:sz w:val="17"/>
              </w:rPr>
              <w:t>Status</w:t>
            </w:r>
          </w:p>
        </w:tc>
      </w:tr>
      <w:tr>
        <w:tc>
          <w:tcPr>
            <w:tcW w:type="dxa" w:w="1134"/>
          </w:tcPr>
          <w:p>
            <w:pPr>
              <w:spacing w:after="0" w:line="240" w:lineRule="auto"/>
            </w:pPr>
            <w:r/>
            <w:r>
              <w:rPr>
                <w:b w:val="0"/>
                <w:i w:val="0"/>
                <w:sz w:val="17"/>
              </w:rPr>
              <w:t>2022</w:t>
            </w:r>
          </w:p>
        </w:tc>
        <w:tc>
          <w:tcPr>
            <w:tcW w:type="dxa" w:w="3685"/>
          </w:tcPr>
          <w:p>
            <w:pPr>
              <w:spacing w:after="0" w:line="240" w:lineRule="auto"/>
            </w:pPr>
            <w:r/>
            <w:r>
              <w:rPr>
                <w:b/>
                <w:i w:val="0"/>
                <w:color w:val="B01E1E"/>
                <w:sz w:val="17"/>
              </w:rPr>
              <w:t>[TBC – c. 330 ha at Back Farm (ETS CAA year)]</w:t>
            </w:r>
          </w:p>
        </w:tc>
        <w:tc>
          <w:tcPr>
            <w:tcW w:type="dxa" w:w="1417"/>
          </w:tcPr>
          <w:p>
            <w:pPr>
              <w:spacing w:after="0" w:line="240" w:lineRule="auto"/>
            </w:pPr>
            <w:r/>
            <w:r>
              <w:rPr>
                <w:b w:val="0"/>
                <w:i w:val="0"/>
                <w:sz w:val="17"/>
              </w:rPr>
              <w:t>Pinus radiata</w:t>
            </w:r>
          </w:p>
        </w:tc>
        <w:tc>
          <w:tcPr>
            <w:tcW w:type="dxa" w:w="3402"/>
          </w:tcPr>
          <w:p>
            <w:pPr>
              <w:spacing w:after="0" w:line="240" w:lineRule="auto"/>
            </w:pPr>
            <w:r/>
            <w:r>
              <w:rPr>
                <w:b w:val="0"/>
                <w:i w:val="0"/>
                <w:sz w:val="17"/>
              </w:rPr>
              <w:t>Established; weakest survival, blanked 2026</w:t>
            </w:r>
          </w:p>
        </w:tc>
      </w:tr>
      <w:tr>
        <w:tc>
          <w:tcPr>
            <w:tcW w:type="dxa" w:w="1134"/>
            <w:shd w:val="clear" w:color="auto" w:fill="FAF9F6"/>
          </w:tcPr>
          <w:p>
            <w:pPr>
              <w:spacing w:after="0" w:line="240" w:lineRule="auto"/>
            </w:pPr>
            <w:r/>
            <w:r>
              <w:rPr>
                <w:b w:val="0"/>
                <w:i w:val="0"/>
                <w:sz w:val="17"/>
              </w:rPr>
              <w:t>2023</w:t>
            </w:r>
          </w:p>
        </w:tc>
        <w:tc>
          <w:tcPr>
            <w:tcW w:type="dxa" w:w="3685"/>
            <w:shd w:val="clear" w:color="auto" w:fill="FAF9F6"/>
          </w:tcPr>
          <w:p>
            <w:pPr>
              <w:spacing w:after="0" w:line="240" w:lineRule="auto"/>
            </w:pPr>
            <w:r/>
            <w:r>
              <w:rPr>
                <w:b/>
                <w:i w:val="0"/>
                <w:color w:val="B01E1E"/>
                <w:sz w:val="17"/>
              </w:rPr>
              <w:t>[TBC – c. 900 ha at Back Farm, Front Farm, Eastern Block, Soldiers Road]</w:t>
            </w:r>
          </w:p>
        </w:tc>
        <w:tc>
          <w:tcPr>
            <w:tcW w:type="dxa" w:w="1417"/>
            <w:shd w:val="clear" w:color="auto" w:fill="FAF9F6"/>
          </w:tcPr>
          <w:p>
            <w:pPr>
              <w:spacing w:after="0" w:line="240" w:lineRule="auto"/>
            </w:pPr>
            <w:r/>
            <w:r>
              <w:rPr>
                <w:b w:val="0"/>
                <w:i w:val="0"/>
                <w:sz w:val="17"/>
              </w:rPr>
              <w:t>Pinus radiata</w:t>
            </w:r>
          </w:p>
        </w:tc>
        <w:tc>
          <w:tcPr>
            <w:tcW w:type="dxa" w:w="3402"/>
            <w:shd w:val="clear" w:color="auto" w:fill="FAF9F6"/>
          </w:tcPr>
          <w:p>
            <w:pPr>
              <w:spacing w:after="0" w:line="240" w:lineRule="auto"/>
            </w:pPr>
            <w:r/>
            <w:r>
              <w:rPr>
                <w:b w:val="0"/>
                <w:i w:val="0"/>
                <w:sz w:val="17"/>
              </w:rPr>
              <w:t>Established</w:t>
            </w:r>
          </w:p>
        </w:tc>
      </w:tr>
      <w:tr>
        <w:tc>
          <w:tcPr>
            <w:tcW w:type="dxa" w:w="1134"/>
          </w:tcPr>
          <w:p>
            <w:pPr>
              <w:spacing w:after="0" w:line="240" w:lineRule="auto"/>
            </w:pPr>
            <w:r/>
            <w:r>
              <w:rPr>
                <w:b w:val="0"/>
                <w:i w:val="0"/>
                <w:sz w:val="17"/>
              </w:rPr>
              <w:t>2024</w:t>
            </w:r>
          </w:p>
        </w:tc>
        <w:tc>
          <w:tcPr>
            <w:tcW w:type="dxa" w:w="3685"/>
          </w:tcPr>
          <w:p>
            <w:pPr>
              <w:spacing w:after="0" w:line="240" w:lineRule="auto"/>
            </w:pPr>
            <w:r/>
            <w:r>
              <w:rPr>
                <w:b/>
                <w:i w:val="0"/>
                <w:color w:val="B01E1E"/>
                <w:sz w:val="17"/>
              </w:rPr>
              <w:t>[TBC – c. 1,300 ha at Longreach, Whangamomona, Puau Road, Eastern Block, Staghaven]</w:t>
            </w:r>
          </w:p>
        </w:tc>
        <w:tc>
          <w:tcPr>
            <w:tcW w:type="dxa" w:w="1417"/>
          </w:tcPr>
          <w:p>
            <w:pPr>
              <w:spacing w:after="0" w:line="240" w:lineRule="auto"/>
            </w:pPr>
            <w:r/>
            <w:r>
              <w:rPr>
                <w:b w:val="0"/>
                <w:i w:val="0"/>
                <w:sz w:val="17"/>
              </w:rPr>
              <w:t>Pinus radiata</w:t>
            </w:r>
          </w:p>
        </w:tc>
        <w:tc>
          <w:tcPr>
            <w:tcW w:type="dxa" w:w="3402"/>
          </w:tcPr>
          <w:p>
            <w:pPr>
              <w:spacing w:after="0" w:line="240" w:lineRule="auto"/>
            </w:pPr>
            <w:r/>
            <w:r>
              <w:rPr>
                <w:b w:val="0"/>
                <w:i w:val="0"/>
                <w:sz w:val="17"/>
              </w:rPr>
              <w:t>Established</w:t>
            </w:r>
          </w:p>
        </w:tc>
      </w:tr>
      <w:tr>
        <w:tc>
          <w:tcPr>
            <w:tcW w:type="dxa" w:w="1134"/>
            <w:shd w:val="clear" w:color="auto" w:fill="FAF9F6"/>
          </w:tcPr>
          <w:p>
            <w:pPr>
              <w:spacing w:after="0" w:line="240" w:lineRule="auto"/>
            </w:pPr>
            <w:r/>
            <w:r>
              <w:rPr>
                <w:b w:val="0"/>
                <w:i w:val="0"/>
                <w:sz w:val="17"/>
              </w:rPr>
              <w:t>2026</w:t>
            </w:r>
          </w:p>
        </w:tc>
        <w:tc>
          <w:tcPr>
            <w:tcW w:type="dxa" w:w="3685"/>
            <w:shd w:val="clear" w:color="auto" w:fill="FAF9F6"/>
          </w:tcPr>
          <w:p>
            <w:pPr>
              <w:spacing w:after="0" w:line="240" w:lineRule="auto"/>
            </w:pPr>
            <w:r/>
            <w:r>
              <w:rPr>
                <w:b w:val="0"/>
                <w:i w:val="0"/>
                <w:sz w:val="17"/>
              </w:rPr>
              <w:t>406 ha replant + 417 ha blanking</w:t>
            </w:r>
          </w:p>
        </w:tc>
        <w:tc>
          <w:tcPr>
            <w:tcW w:type="dxa" w:w="1417"/>
            <w:shd w:val="clear" w:color="auto" w:fill="FAF9F6"/>
          </w:tcPr>
          <w:p>
            <w:pPr>
              <w:spacing w:after="0" w:line="240" w:lineRule="auto"/>
            </w:pPr>
            <w:r/>
            <w:r>
              <w:rPr>
                <w:b w:val="0"/>
                <w:i w:val="0"/>
                <w:sz w:val="17"/>
              </w:rPr>
              <w:t>Pinus radiata</w:t>
            </w:r>
          </w:p>
        </w:tc>
        <w:tc>
          <w:tcPr>
            <w:tcW w:type="dxa" w:w="3402"/>
            <w:shd w:val="clear" w:color="auto" w:fill="FAF9F6"/>
          </w:tcPr>
          <w:p>
            <w:pPr>
              <w:spacing w:after="0" w:line="240" w:lineRule="auto"/>
            </w:pPr>
            <w:r/>
            <w:r>
              <w:rPr>
                <w:b w:val="0"/>
                <w:i w:val="0"/>
                <w:sz w:val="17"/>
              </w:rPr>
              <w:t xml:space="preserve">Completing end September 2026 </w:t>
            </w:r>
            <w:r>
              <w:rPr>
                <w:b/>
                <w:i w:val="0"/>
                <w:color w:val="B01E1E"/>
                <w:sz w:val="17"/>
              </w:rPr>
              <w:t>[TBC]</w:t>
            </w:r>
          </w:p>
        </w:tc>
      </w:tr>
    </w:tbl>
    <w:p>
      <w:pPr>
        <w:spacing w:after="40"/>
      </w:pPr>
    </w:p>
    <w:p>
      <w:r>
        <w:rPr>
          <w:b w:val="0"/>
          <w:i w:val="0"/>
        </w:rPr>
        <w:t>Older stands: about 105 ha of 1995–2011 radiata at Longreach (84 ha of it in a permanent-forest CAA), 66 ha of 1994 radiata at Back Farm (permanent-forest CAA 69) and about 22 ha of 2011 radiata at Staghaven are registered in the ETS under stock-change accounting. Their harvest or retention is a purchaser decision subject to the ETS obligations attached to each accounting area.</w:t>
      </w:r>
    </w:p>
    <w:p>
      <w:r>
        <w:rPr>
          <w:b w:val="0"/>
          <w:i w:val="0"/>
        </w:rPr>
        <w:t>Forest health and protection: Dothistroma needle blight affects about 150 ha at Whangamomona; comprehensive ongoing pest control is required to hold the restored stocking, and several blocks need stock excluded from planted stands.</w:t>
      </w:r>
    </w:p>
    <w:p>
      <w:pPr>
        <w:pStyle w:val="Heading2"/>
      </w:pPr>
      <w:r>
        <w:t>2.5  Emissions Trading Scheme and carbon</w:t>
      </w:r>
    </w:p>
    <w:p>
      <w:r>
        <w:rPr>
          <w:b w:val="0"/>
          <w:i w:val="0"/>
        </w:rPr>
        <w:t>Two ETS participants hold the registered forest land: Nirvana Farm Limited (participant NZ-10251, MPI holding P-054526), as landowner on its own titles and as forestry-right holder over the Makowhai Trust and Land &amp; Bee's titles, and Makowhai Station (NZ-1181, P-054188) as landowner. The young radiata is registered under averaging accounting; the older stands and regenerating indigenous areas are under stock-change accounting, including two permanent-forest accounting areas (to 2060) at Longreach and across Back Farm, the Eastern Block and the Home Block.</w:t>
      </w:r>
    </w:p>
    <w:p>
      <w:pPr>
        <w:jc w:val="center"/>
      </w:pPr>
      <w:r>
        <w:drawing>
          <wp:inline xmlns:a="http://schemas.openxmlformats.org/drawingml/2006/main" xmlns:pic="http://schemas.openxmlformats.org/drawingml/2006/picture">
            <wp:extent cx="6120000" cy="2658375"/>
            <wp:docPr id="5" name="Picture 5"/>
            <wp:cNvGraphicFramePr>
              <a:graphicFrameLocks noChangeAspect="1"/>
            </wp:cNvGraphicFramePr>
            <a:graphic>
              <a:graphicData uri="http://schemas.openxmlformats.org/drawingml/2006/picture">
                <pic:pic>
                  <pic:nvPicPr>
                    <pic:cNvPr id="0" name="chart4_ets.png"/>
                    <pic:cNvPicPr/>
                  </pic:nvPicPr>
                  <pic:blipFill>
                    <a:blip r:embed="rId13"/>
                    <a:stretch>
                      <a:fillRect/>
                    </a:stretch>
                  </pic:blipFill>
                  <pic:spPr>
                    <a:xfrm>
                      <a:off x="0" y="0"/>
                      <a:ext cx="6120000" cy="2658375"/>
                    </a:xfrm>
                    <a:prstGeom prst="rect"/>
                  </pic:spPr>
                </pic:pic>
              </a:graphicData>
            </a:graphic>
          </wp:inline>
        </w:drawing>
      </w:r>
    </w:p>
    <w:p>
      <w:pPr>
        <w:spacing w:after="200"/>
        <w:jc w:val="center"/>
      </w:pPr>
      <w:r>
        <w:rPr>
          <w:b w:val="0"/>
          <w:i/>
          <w:color w:val="6B6B60"/>
          <w:sz w:val="17"/>
        </w:rPr>
        <w:t>Figure 5 – Registered CAA area and CAA unit balance by block (MPI land status reports, NFL 28 Sep 2026 and Makowhai Station Aug 2025). CAA 69 (183 ha, 52,466 units) is shown separately in the table.</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2409"/>
        <w:gridCol w:w="2409"/>
        <w:gridCol w:w="2409"/>
        <w:gridCol w:w="2409"/>
      </w:tblGrid>
      <w:tr>
        <w:tc>
          <w:tcPr>
            <w:tcW w:type="dxa" w:w="2948"/>
            <w:shd w:val="clear" w:color="auto" w:fill="DBD2C3"/>
          </w:tcPr>
          <w:p>
            <w:pPr>
              <w:spacing w:after="0" w:line="240" w:lineRule="auto"/>
            </w:pPr>
            <w:r/>
            <w:r>
              <w:rPr>
                <w:b/>
                <w:i w:val="0"/>
                <w:sz w:val="16"/>
              </w:rPr>
              <w:t>Participant / block</w:t>
            </w:r>
          </w:p>
        </w:tc>
        <w:tc>
          <w:tcPr>
            <w:tcW w:type="dxa" w:w="1077"/>
            <w:shd w:val="clear" w:color="auto" w:fill="DBD2C3"/>
          </w:tcPr>
          <w:p>
            <w:pPr>
              <w:spacing w:after="0" w:line="240" w:lineRule="auto"/>
            </w:pPr>
            <w:r/>
            <w:r>
              <w:rPr>
                <w:b/>
                <w:i w:val="0"/>
                <w:sz w:val="16"/>
              </w:rPr>
              <w:t>CAA area (ha)</w:t>
            </w:r>
          </w:p>
        </w:tc>
        <w:tc>
          <w:tcPr>
            <w:tcW w:type="dxa" w:w="1247"/>
            <w:shd w:val="clear" w:color="auto" w:fill="DBD2C3"/>
          </w:tcPr>
          <w:p>
            <w:pPr>
              <w:spacing w:after="0" w:line="240" w:lineRule="auto"/>
            </w:pPr>
            <w:r/>
            <w:r>
              <w:rPr>
                <w:b/>
                <w:i w:val="0"/>
                <w:sz w:val="16"/>
              </w:rPr>
              <w:t>Unit balance (NZUs)</w:t>
            </w:r>
          </w:p>
        </w:tc>
        <w:tc>
          <w:tcPr>
            <w:tcW w:type="dxa" w:w="4365"/>
            <w:shd w:val="clear" w:color="auto" w:fill="DBD2C3"/>
          </w:tcPr>
          <w:p>
            <w:pPr>
              <w:spacing w:after="0" w:line="240" w:lineRule="auto"/>
            </w:pPr>
            <w:r/>
            <w:r>
              <w:rPr>
                <w:b/>
                <w:i w:val="0"/>
                <w:sz w:val="16"/>
              </w:rPr>
              <w:t>Accounting and planting year</w:t>
            </w:r>
          </w:p>
        </w:tc>
      </w:tr>
      <w:tr>
        <w:tc>
          <w:tcPr>
            <w:tcW w:type="dxa" w:w="2948"/>
          </w:tcPr>
          <w:p>
            <w:pPr>
              <w:spacing w:after="0" w:line="240" w:lineRule="auto"/>
            </w:pPr>
            <w:r/>
            <w:r>
              <w:rPr>
                <w:b w:val="0"/>
                <w:i w:val="0"/>
                <w:sz w:val="16"/>
              </w:rPr>
              <w:t>Back Farm – Nirvana Farm Limited (forestry-right holder)</w:t>
            </w:r>
          </w:p>
        </w:tc>
        <w:tc>
          <w:tcPr>
            <w:tcW w:type="dxa" w:w="1077"/>
          </w:tcPr>
          <w:p>
            <w:pPr>
              <w:spacing w:after="0" w:line="240" w:lineRule="auto"/>
              <w:jc w:val="right"/>
            </w:pPr>
            <w:r/>
            <w:r>
              <w:rPr>
                <w:b w:val="0"/>
                <w:i w:val="0"/>
                <w:sz w:val="16"/>
              </w:rPr>
              <w:t>625.2</w:t>
            </w:r>
          </w:p>
        </w:tc>
        <w:tc>
          <w:tcPr>
            <w:tcW w:type="dxa" w:w="1247"/>
          </w:tcPr>
          <w:p>
            <w:pPr>
              <w:spacing w:after="0" w:line="240" w:lineRule="auto"/>
              <w:jc w:val="right"/>
            </w:pPr>
            <w:r/>
            <w:r>
              <w:rPr>
                <w:b w:val="0"/>
                <w:i w:val="0"/>
                <w:sz w:val="16"/>
              </w:rPr>
              <w:t>7,932</w:t>
            </w:r>
          </w:p>
        </w:tc>
        <w:tc>
          <w:tcPr>
            <w:tcW w:type="dxa" w:w="4365"/>
          </w:tcPr>
          <w:p>
            <w:pPr>
              <w:spacing w:after="0" w:line="240" w:lineRule="auto"/>
            </w:pPr>
            <w:r/>
            <w:r>
              <w:rPr>
                <w:b w:val="0"/>
                <w:i w:val="0"/>
                <w:sz w:val="16"/>
              </w:rPr>
              <w:t>30 CAAs – P. radiata 2022 (188 ha) and 2023 (437 ha), averaging</w:t>
            </w:r>
          </w:p>
        </w:tc>
      </w:tr>
      <w:tr>
        <w:tc>
          <w:tcPr>
            <w:tcW w:type="dxa" w:w="2948"/>
            <w:shd w:val="clear" w:color="auto" w:fill="FAF9F6"/>
          </w:tcPr>
          <w:p>
            <w:pPr>
              <w:spacing w:after="0" w:line="240" w:lineRule="auto"/>
            </w:pPr>
            <w:r/>
            <w:r>
              <w:rPr>
                <w:b w:val="0"/>
                <w:i w:val="0"/>
                <w:sz w:val="16"/>
              </w:rPr>
              <w:t>Back Farm – Nirvana Farm Limited (forestry-right holder)</w:t>
            </w:r>
          </w:p>
        </w:tc>
        <w:tc>
          <w:tcPr>
            <w:tcW w:type="dxa" w:w="1077"/>
            <w:shd w:val="clear" w:color="auto" w:fill="FAF9F6"/>
          </w:tcPr>
          <w:p>
            <w:pPr>
              <w:spacing w:after="0" w:line="240" w:lineRule="auto"/>
              <w:jc w:val="right"/>
            </w:pPr>
            <w:r/>
            <w:r>
              <w:rPr>
                <w:b w:val="0"/>
                <w:i w:val="0"/>
                <w:sz w:val="16"/>
              </w:rPr>
              <w:t>93.2</w:t>
            </w:r>
          </w:p>
        </w:tc>
        <w:tc>
          <w:tcPr>
            <w:tcW w:type="dxa" w:w="1247"/>
            <w:shd w:val="clear" w:color="auto" w:fill="FAF9F6"/>
          </w:tcPr>
          <w:p>
            <w:pPr>
              <w:spacing w:after="0" w:line="240" w:lineRule="auto"/>
              <w:jc w:val="right"/>
            </w:pPr>
            <w:r/>
            <w:r>
              <w:rPr>
                <w:b w:val="0"/>
                <w:i w:val="0"/>
                <w:sz w:val="16"/>
              </w:rPr>
              <w:t>752</w:t>
            </w:r>
          </w:p>
        </w:tc>
        <w:tc>
          <w:tcPr>
            <w:tcW w:type="dxa" w:w="4365"/>
            <w:shd w:val="clear" w:color="auto" w:fill="FAF9F6"/>
          </w:tcPr>
          <w:p>
            <w:pPr>
              <w:spacing w:after="0" w:line="240" w:lineRule="auto"/>
            </w:pPr>
            <w:r/>
            <w:r>
              <w:rPr>
                <w:b w:val="0"/>
                <w:i w:val="0"/>
                <w:sz w:val="16"/>
              </w:rPr>
              <w:t>CAA 47 spans Back Farm and Front Farm titles (451953 &amp; TNH1/1356) – P. radiata 2023</w:t>
            </w:r>
          </w:p>
        </w:tc>
      </w:tr>
      <w:tr>
        <w:tc>
          <w:tcPr>
            <w:tcW w:type="dxa" w:w="2948"/>
          </w:tcPr>
          <w:p>
            <w:pPr>
              <w:spacing w:after="0" w:line="240" w:lineRule="auto"/>
            </w:pPr>
            <w:r/>
            <w:r>
              <w:rPr>
                <w:b w:val="0"/>
                <w:i w:val="0"/>
                <w:sz w:val="16"/>
              </w:rPr>
              <w:t>Back Farm – Makowhai Station (landowner)</w:t>
            </w:r>
          </w:p>
        </w:tc>
        <w:tc>
          <w:tcPr>
            <w:tcW w:type="dxa" w:w="1077"/>
          </w:tcPr>
          <w:p>
            <w:pPr>
              <w:spacing w:after="0" w:line="240" w:lineRule="auto"/>
              <w:jc w:val="right"/>
            </w:pPr>
            <w:r/>
            <w:r>
              <w:rPr>
                <w:b w:val="0"/>
                <w:i w:val="0"/>
                <w:sz w:val="16"/>
              </w:rPr>
              <w:t>144.1</w:t>
            </w:r>
          </w:p>
        </w:tc>
        <w:tc>
          <w:tcPr>
            <w:tcW w:type="dxa" w:w="1247"/>
          </w:tcPr>
          <w:p>
            <w:pPr>
              <w:spacing w:after="0" w:line="240" w:lineRule="auto"/>
              <w:jc w:val="right"/>
            </w:pPr>
            <w:r/>
            <w:r>
              <w:rPr>
                <w:b w:val="0"/>
                <w:i w:val="0"/>
                <w:sz w:val="16"/>
              </w:rPr>
              <w:t>4,371</w:t>
            </w:r>
          </w:p>
        </w:tc>
        <w:tc>
          <w:tcPr>
            <w:tcW w:type="dxa" w:w="4365"/>
          </w:tcPr>
          <w:p>
            <w:pPr>
              <w:spacing w:after="0" w:line="240" w:lineRule="auto"/>
            </w:pPr>
            <w:r/>
            <w:r>
              <w:rPr>
                <w:b w:val="0"/>
                <w:i w:val="0"/>
                <w:sz w:val="16"/>
              </w:rPr>
              <w:t>11 CAAs – P. radiata 2022, averaging</w:t>
            </w:r>
          </w:p>
        </w:tc>
      </w:tr>
      <w:tr>
        <w:tc>
          <w:tcPr>
            <w:tcW w:type="dxa" w:w="2948"/>
            <w:shd w:val="clear" w:color="auto" w:fill="FAF9F6"/>
          </w:tcPr>
          <w:p>
            <w:pPr>
              <w:spacing w:after="0" w:line="240" w:lineRule="auto"/>
            </w:pPr>
            <w:r/>
            <w:r>
              <w:rPr>
                <w:b w:val="0"/>
                <w:i w:val="0"/>
                <w:sz w:val="16"/>
              </w:rPr>
              <w:t>Back Farm – Makowhai Station (landowner)</w:t>
            </w:r>
          </w:p>
        </w:tc>
        <w:tc>
          <w:tcPr>
            <w:tcW w:type="dxa" w:w="1077"/>
            <w:shd w:val="clear" w:color="auto" w:fill="FAF9F6"/>
          </w:tcPr>
          <w:p>
            <w:pPr>
              <w:spacing w:after="0" w:line="240" w:lineRule="auto"/>
              <w:jc w:val="right"/>
            </w:pPr>
            <w:r/>
            <w:r>
              <w:rPr>
                <w:b w:val="0"/>
                <w:i w:val="0"/>
                <w:sz w:val="16"/>
              </w:rPr>
              <w:t>111.9</w:t>
            </w:r>
          </w:p>
        </w:tc>
        <w:tc>
          <w:tcPr>
            <w:tcW w:type="dxa" w:w="1247"/>
            <w:shd w:val="clear" w:color="auto" w:fill="FAF9F6"/>
          </w:tcPr>
          <w:p>
            <w:pPr>
              <w:spacing w:after="0" w:line="240" w:lineRule="auto"/>
              <w:jc w:val="right"/>
            </w:pPr>
            <w:r/>
            <w:r>
              <w:rPr>
                <w:b w:val="0"/>
                <w:i w:val="0"/>
                <w:sz w:val="16"/>
              </w:rPr>
              <w:t>(in CAA 69)</w:t>
            </w:r>
          </w:p>
        </w:tc>
        <w:tc>
          <w:tcPr>
            <w:tcW w:type="dxa" w:w="4365"/>
            <w:shd w:val="clear" w:color="auto" w:fill="FAF9F6"/>
          </w:tcPr>
          <w:p>
            <w:pPr>
              <w:spacing w:after="0" w:line="240" w:lineRule="auto"/>
            </w:pPr>
            <w:r/>
            <w:r>
              <w:rPr>
                <w:b w:val="0"/>
                <w:i w:val="0"/>
                <w:sz w:val="16"/>
              </w:rPr>
              <w:t>Part of permanent-forest CAA 69 (post-1989, stock change to 2060): 65.6 ha 1994 P. radiata and 46 ha indigenous on TNA3/681; CAA 69 unit balance 52,466 across Back Farm, Eastern Block and Home Block</w:t>
            </w:r>
          </w:p>
        </w:tc>
      </w:tr>
      <w:tr>
        <w:tc>
          <w:tcPr>
            <w:tcW w:type="dxa" w:w="2948"/>
          </w:tcPr>
          <w:p>
            <w:pPr>
              <w:spacing w:after="0" w:line="240" w:lineRule="auto"/>
            </w:pPr>
            <w:r/>
            <w:r>
              <w:rPr>
                <w:b w:val="0"/>
                <w:i w:val="0"/>
                <w:sz w:val="16"/>
              </w:rPr>
              <w:t>Longreach – Nirvana Farm Limited (landowner)</w:t>
            </w:r>
          </w:p>
        </w:tc>
        <w:tc>
          <w:tcPr>
            <w:tcW w:type="dxa" w:w="1077"/>
          </w:tcPr>
          <w:p>
            <w:pPr>
              <w:spacing w:after="0" w:line="240" w:lineRule="auto"/>
              <w:jc w:val="right"/>
            </w:pPr>
            <w:r/>
            <w:r>
              <w:rPr>
                <w:b w:val="0"/>
                <w:i w:val="0"/>
                <w:sz w:val="16"/>
              </w:rPr>
              <w:t>723.7</w:t>
            </w:r>
          </w:p>
        </w:tc>
        <w:tc>
          <w:tcPr>
            <w:tcW w:type="dxa" w:w="1247"/>
          </w:tcPr>
          <w:p>
            <w:pPr>
              <w:spacing w:after="0" w:line="240" w:lineRule="auto"/>
              <w:jc w:val="right"/>
            </w:pPr>
            <w:r/>
            <w:r>
              <w:rPr>
                <w:b w:val="0"/>
                <w:i w:val="0"/>
                <w:sz w:val="16"/>
              </w:rPr>
              <w:t>2,262</w:t>
            </w:r>
          </w:p>
        </w:tc>
        <w:tc>
          <w:tcPr>
            <w:tcW w:type="dxa" w:w="4365"/>
          </w:tcPr>
          <w:p>
            <w:pPr>
              <w:spacing w:after="0" w:line="240" w:lineRule="auto"/>
            </w:pPr>
            <w:r/>
            <w:r>
              <w:rPr>
                <w:b w:val="0"/>
                <w:i w:val="0"/>
                <w:sz w:val="16"/>
              </w:rPr>
              <w:t>21 CAAs – P. radiata 2024 plantings, averaging</w:t>
            </w:r>
          </w:p>
        </w:tc>
      </w:tr>
      <w:tr>
        <w:tc>
          <w:tcPr>
            <w:tcW w:type="dxa" w:w="2948"/>
            <w:shd w:val="clear" w:color="auto" w:fill="FAF9F6"/>
          </w:tcPr>
          <w:p>
            <w:pPr>
              <w:spacing w:after="0" w:line="240" w:lineRule="auto"/>
            </w:pPr>
            <w:r/>
            <w:r>
              <w:rPr>
                <w:b w:val="0"/>
                <w:i w:val="0"/>
                <w:sz w:val="16"/>
              </w:rPr>
              <w:t>Longreach – Nirvana Farm Limited (landowner)</w:t>
            </w:r>
          </w:p>
        </w:tc>
        <w:tc>
          <w:tcPr>
            <w:tcW w:type="dxa" w:w="1077"/>
            <w:shd w:val="clear" w:color="auto" w:fill="FAF9F6"/>
          </w:tcPr>
          <w:p>
            <w:pPr>
              <w:spacing w:after="0" w:line="240" w:lineRule="auto"/>
              <w:jc w:val="right"/>
            </w:pPr>
            <w:r/>
            <w:r>
              <w:rPr>
                <w:b w:val="0"/>
                <w:i w:val="0"/>
                <w:sz w:val="16"/>
              </w:rPr>
              <w:t>84.2</w:t>
            </w:r>
          </w:p>
        </w:tc>
        <w:tc>
          <w:tcPr>
            <w:tcW w:type="dxa" w:w="1247"/>
            <w:shd w:val="clear" w:color="auto" w:fill="FAF9F6"/>
          </w:tcPr>
          <w:p>
            <w:pPr>
              <w:spacing w:after="0" w:line="240" w:lineRule="auto"/>
              <w:jc w:val="right"/>
            </w:pPr>
            <w:r/>
            <w:r>
              <w:rPr>
                <w:b w:val="0"/>
                <w:i w:val="0"/>
                <w:sz w:val="16"/>
              </w:rPr>
              <w:t>49,574</w:t>
            </w:r>
          </w:p>
        </w:tc>
        <w:tc>
          <w:tcPr>
            <w:tcW w:type="dxa" w:w="4365"/>
            <w:shd w:val="clear" w:color="auto" w:fill="FAF9F6"/>
          </w:tcPr>
          <w:p>
            <w:pPr>
              <w:spacing w:after="0" w:line="240" w:lineRule="auto"/>
            </w:pPr>
            <w:r/>
            <w:r>
              <w:rPr>
                <w:b w:val="0"/>
                <w:i w:val="0"/>
                <w:sz w:val="16"/>
              </w:rPr>
              <w:t>CAA 24 – permanent forest (PP89, to 28 May 2060): 1995 and 1997 P. radiata, stock change</w:t>
            </w:r>
          </w:p>
        </w:tc>
      </w:tr>
      <w:tr>
        <w:tc>
          <w:tcPr>
            <w:tcW w:type="dxa" w:w="2948"/>
          </w:tcPr>
          <w:p>
            <w:pPr>
              <w:spacing w:after="0" w:line="240" w:lineRule="auto"/>
            </w:pPr>
            <w:r/>
            <w:r>
              <w:rPr>
                <w:b w:val="0"/>
                <w:i w:val="0"/>
                <w:sz w:val="16"/>
              </w:rPr>
              <w:t>Longreach – Nirvana Farm Limited (landowner)</w:t>
            </w:r>
          </w:p>
        </w:tc>
        <w:tc>
          <w:tcPr>
            <w:tcW w:type="dxa" w:w="1077"/>
          </w:tcPr>
          <w:p>
            <w:pPr>
              <w:spacing w:after="0" w:line="240" w:lineRule="auto"/>
              <w:jc w:val="right"/>
            </w:pPr>
            <w:r/>
            <w:r>
              <w:rPr>
                <w:b w:val="0"/>
                <w:i w:val="0"/>
                <w:sz w:val="16"/>
              </w:rPr>
              <w:t>65.3</w:t>
            </w:r>
          </w:p>
        </w:tc>
        <w:tc>
          <w:tcPr>
            <w:tcW w:type="dxa" w:w="1247"/>
          </w:tcPr>
          <w:p>
            <w:pPr>
              <w:spacing w:after="0" w:line="240" w:lineRule="auto"/>
              <w:jc w:val="right"/>
            </w:pPr>
            <w:r/>
            <w:r>
              <w:rPr>
                <w:b w:val="0"/>
                <w:i w:val="0"/>
                <w:sz w:val="16"/>
              </w:rPr>
              <w:t>11,983</w:t>
            </w:r>
          </w:p>
        </w:tc>
        <w:tc>
          <w:tcPr>
            <w:tcW w:type="dxa" w:w="4365"/>
          </w:tcPr>
          <w:p>
            <w:pPr>
              <w:spacing w:after="0" w:line="240" w:lineRule="auto"/>
            </w:pPr>
            <w:r/>
            <w:r>
              <w:rPr>
                <w:b w:val="0"/>
                <w:i w:val="0"/>
                <w:sz w:val="16"/>
              </w:rPr>
              <w:t>16 CAAs – 1995–2011 P. radiata (23 ha) and 1997–2007 indigenous (42 ha), stock change, registered 2015–2020</w:t>
            </w:r>
          </w:p>
        </w:tc>
      </w:tr>
      <w:tr>
        <w:tc>
          <w:tcPr>
            <w:tcW w:type="dxa" w:w="2948"/>
            <w:shd w:val="clear" w:color="auto" w:fill="FAF9F6"/>
          </w:tcPr>
          <w:p>
            <w:pPr>
              <w:spacing w:after="0" w:line="240" w:lineRule="auto"/>
            </w:pPr>
            <w:r/>
            <w:r>
              <w:rPr>
                <w:b w:val="0"/>
                <w:i w:val="0"/>
                <w:sz w:val="16"/>
              </w:rPr>
              <w:t>Eastern Block – Nirvana Farm Limited (forestry-right holder)</w:t>
            </w:r>
          </w:p>
        </w:tc>
        <w:tc>
          <w:tcPr>
            <w:tcW w:type="dxa" w:w="1077"/>
            <w:shd w:val="clear" w:color="auto" w:fill="FAF9F6"/>
          </w:tcPr>
          <w:p>
            <w:pPr>
              <w:spacing w:after="0" w:line="240" w:lineRule="auto"/>
              <w:jc w:val="right"/>
            </w:pPr>
            <w:r/>
            <w:r>
              <w:rPr>
                <w:b w:val="0"/>
                <w:i w:val="0"/>
                <w:sz w:val="16"/>
              </w:rPr>
              <w:t>111.2</w:t>
            </w:r>
          </w:p>
        </w:tc>
        <w:tc>
          <w:tcPr>
            <w:tcW w:type="dxa" w:w="1247"/>
            <w:shd w:val="clear" w:color="auto" w:fill="FAF9F6"/>
          </w:tcPr>
          <w:p>
            <w:pPr>
              <w:spacing w:after="0" w:line="240" w:lineRule="auto"/>
              <w:jc w:val="right"/>
            </w:pPr>
            <w:r/>
            <w:r>
              <w:rPr>
                <w:b w:val="0"/>
                <w:i w:val="0"/>
                <w:sz w:val="16"/>
              </w:rPr>
              <w:t>259</w:t>
            </w:r>
          </w:p>
        </w:tc>
        <w:tc>
          <w:tcPr>
            <w:tcW w:type="dxa" w:w="4365"/>
            <w:shd w:val="clear" w:color="auto" w:fill="FAF9F6"/>
          </w:tcPr>
          <w:p>
            <w:pPr>
              <w:spacing w:after="0" w:line="240" w:lineRule="auto"/>
            </w:pPr>
            <w:r/>
            <w:r>
              <w:rPr>
                <w:b w:val="0"/>
                <w:i w:val="0"/>
                <w:sz w:val="16"/>
              </w:rPr>
              <w:t>15 CAAs – P. radiata 2023 (25 ha) and 2024 (86 ha), averaging</w:t>
            </w:r>
          </w:p>
        </w:tc>
      </w:tr>
      <w:tr>
        <w:tc>
          <w:tcPr>
            <w:tcW w:type="dxa" w:w="2948"/>
          </w:tcPr>
          <w:p>
            <w:pPr>
              <w:spacing w:after="0" w:line="240" w:lineRule="auto"/>
            </w:pPr>
            <w:r/>
            <w:r>
              <w:rPr>
                <w:b w:val="0"/>
                <w:i w:val="0"/>
                <w:sz w:val="16"/>
              </w:rPr>
              <w:t>Front Farm – Nirvana Farm Limited (forestry-right holder)</w:t>
            </w:r>
          </w:p>
        </w:tc>
        <w:tc>
          <w:tcPr>
            <w:tcW w:type="dxa" w:w="1077"/>
          </w:tcPr>
          <w:p>
            <w:pPr>
              <w:spacing w:after="0" w:line="240" w:lineRule="auto"/>
              <w:jc w:val="right"/>
            </w:pPr>
            <w:r/>
            <w:r>
              <w:rPr>
                <w:b w:val="0"/>
                <w:i w:val="0"/>
                <w:sz w:val="16"/>
              </w:rPr>
              <w:t>108.6</w:t>
            </w:r>
          </w:p>
        </w:tc>
        <w:tc>
          <w:tcPr>
            <w:tcW w:type="dxa" w:w="1247"/>
          </w:tcPr>
          <w:p>
            <w:pPr>
              <w:spacing w:after="0" w:line="240" w:lineRule="auto"/>
              <w:jc w:val="right"/>
            </w:pPr>
            <w:r/>
            <w:r>
              <w:rPr>
                <w:b w:val="0"/>
                <w:i w:val="0"/>
                <w:sz w:val="16"/>
              </w:rPr>
              <w:t>752</w:t>
            </w:r>
          </w:p>
        </w:tc>
        <w:tc>
          <w:tcPr>
            <w:tcW w:type="dxa" w:w="4365"/>
          </w:tcPr>
          <w:p>
            <w:pPr>
              <w:spacing w:after="0" w:line="240" w:lineRule="auto"/>
            </w:pPr>
            <w:r/>
            <w:r>
              <w:rPr>
                <w:b w:val="0"/>
                <w:i w:val="0"/>
                <w:sz w:val="16"/>
              </w:rPr>
              <w:t>2 CAAs – P. radiata 2023, averaging (plus CAA 47 shared with Back Farm, 93 ha)</w:t>
            </w:r>
          </w:p>
        </w:tc>
      </w:tr>
      <w:tr>
        <w:tc>
          <w:tcPr>
            <w:tcW w:type="dxa" w:w="2948"/>
            <w:shd w:val="clear" w:color="auto" w:fill="FAF9F6"/>
          </w:tcPr>
          <w:p>
            <w:pPr>
              <w:spacing w:after="0" w:line="240" w:lineRule="auto"/>
            </w:pPr>
            <w:r/>
            <w:r>
              <w:rPr>
                <w:b w:val="0"/>
                <w:i w:val="0"/>
                <w:sz w:val="16"/>
              </w:rPr>
              <w:t>Front Farm – Makowhai Station (landowner)</w:t>
            </w:r>
          </w:p>
        </w:tc>
        <w:tc>
          <w:tcPr>
            <w:tcW w:type="dxa" w:w="1077"/>
            <w:shd w:val="clear" w:color="auto" w:fill="FAF9F6"/>
          </w:tcPr>
          <w:p>
            <w:pPr>
              <w:spacing w:after="0" w:line="240" w:lineRule="auto"/>
              <w:jc w:val="right"/>
            </w:pPr>
            <w:r/>
            <w:r>
              <w:rPr>
                <w:b w:val="0"/>
                <w:i w:val="0"/>
                <w:sz w:val="16"/>
              </w:rPr>
              <w:t>34.0</w:t>
            </w:r>
          </w:p>
        </w:tc>
        <w:tc>
          <w:tcPr>
            <w:tcW w:type="dxa" w:w="1247"/>
            <w:shd w:val="clear" w:color="auto" w:fill="FAF9F6"/>
          </w:tcPr>
          <w:p>
            <w:pPr>
              <w:spacing w:after="0" w:line="240" w:lineRule="auto"/>
              <w:jc w:val="right"/>
            </w:pPr>
            <w:r/>
            <w:r>
              <w:rPr>
                <w:b w:val="0"/>
                <w:i w:val="0"/>
                <w:sz w:val="16"/>
              </w:rPr>
              <w:t>262</w:t>
            </w:r>
          </w:p>
        </w:tc>
        <w:tc>
          <w:tcPr>
            <w:tcW w:type="dxa" w:w="4365"/>
            <w:shd w:val="clear" w:color="auto" w:fill="FAF9F6"/>
          </w:tcPr>
          <w:p>
            <w:pPr>
              <w:spacing w:after="0" w:line="240" w:lineRule="auto"/>
            </w:pPr>
            <w:r/>
            <w:r>
              <w:rPr>
                <w:b w:val="0"/>
                <w:i w:val="0"/>
                <w:sz w:val="16"/>
              </w:rPr>
              <w:t>3 CAAs – P. radiata 2023, averaging</w:t>
            </w:r>
          </w:p>
        </w:tc>
      </w:tr>
      <w:tr>
        <w:tc>
          <w:tcPr>
            <w:tcW w:type="dxa" w:w="2948"/>
          </w:tcPr>
          <w:p>
            <w:pPr>
              <w:spacing w:after="0" w:line="240" w:lineRule="auto"/>
            </w:pPr>
            <w:r/>
            <w:r>
              <w:rPr>
                <w:b w:val="0"/>
                <w:i w:val="0"/>
                <w:sz w:val="16"/>
              </w:rPr>
              <w:t>Puau Road – Nirvana Farm Limited (landowner)</w:t>
            </w:r>
          </w:p>
        </w:tc>
        <w:tc>
          <w:tcPr>
            <w:tcW w:type="dxa" w:w="1077"/>
          </w:tcPr>
          <w:p>
            <w:pPr>
              <w:spacing w:after="0" w:line="240" w:lineRule="auto"/>
              <w:jc w:val="right"/>
            </w:pPr>
            <w:r/>
            <w:r>
              <w:rPr>
                <w:b w:val="0"/>
                <w:i w:val="0"/>
                <w:sz w:val="16"/>
              </w:rPr>
              <w:t>46.1</w:t>
            </w:r>
          </w:p>
        </w:tc>
        <w:tc>
          <w:tcPr>
            <w:tcW w:type="dxa" w:w="1247"/>
          </w:tcPr>
          <w:p>
            <w:pPr>
              <w:spacing w:after="0" w:line="240" w:lineRule="auto"/>
              <w:jc w:val="right"/>
            </w:pPr>
            <w:r/>
            <w:r>
              <w:rPr>
                <w:b w:val="0"/>
                <w:i w:val="0"/>
                <w:sz w:val="16"/>
              </w:rPr>
              <w:t>139</w:t>
            </w:r>
          </w:p>
        </w:tc>
        <w:tc>
          <w:tcPr>
            <w:tcW w:type="dxa" w:w="4365"/>
          </w:tcPr>
          <w:p>
            <w:pPr>
              <w:spacing w:after="0" w:line="240" w:lineRule="auto"/>
            </w:pPr>
            <w:r/>
            <w:r>
              <w:rPr>
                <w:b w:val="0"/>
                <w:i w:val="0"/>
                <w:sz w:val="16"/>
              </w:rPr>
              <w:t>5 CAAs – P. radiata 2024, averaging (titles WN115/77 and WN24A/444)</w:t>
            </w:r>
          </w:p>
        </w:tc>
      </w:tr>
      <w:tr>
        <w:tc>
          <w:tcPr>
            <w:tcW w:type="dxa" w:w="2948"/>
            <w:shd w:val="clear" w:color="auto" w:fill="FAF9F6"/>
          </w:tcPr>
          <w:p>
            <w:pPr>
              <w:spacing w:after="0" w:line="240" w:lineRule="auto"/>
            </w:pPr>
            <w:r/>
            <w:r>
              <w:rPr>
                <w:b w:val="0"/>
                <w:i w:val="0"/>
                <w:sz w:val="16"/>
              </w:rPr>
              <w:t>Whangamomona – Nirvana Farm Limited (landowner)</w:t>
            </w:r>
          </w:p>
        </w:tc>
        <w:tc>
          <w:tcPr>
            <w:tcW w:type="dxa" w:w="1077"/>
            <w:shd w:val="clear" w:color="auto" w:fill="FAF9F6"/>
          </w:tcPr>
          <w:p>
            <w:pPr>
              <w:spacing w:after="0" w:line="240" w:lineRule="auto"/>
              <w:jc w:val="right"/>
            </w:pPr>
            <w:r/>
            <w:r>
              <w:rPr>
                <w:b w:val="0"/>
                <w:i w:val="0"/>
                <w:sz w:val="16"/>
              </w:rPr>
              <w:t>308.6</w:t>
            </w:r>
          </w:p>
        </w:tc>
        <w:tc>
          <w:tcPr>
            <w:tcW w:type="dxa" w:w="1247"/>
            <w:shd w:val="clear" w:color="auto" w:fill="FAF9F6"/>
          </w:tcPr>
          <w:p>
            <w:pPr>
              <w:spacing w:after="0" w:line="240" w:lineRule="auto"/>
              <w:jc w:val="right"/>
            </w:pPr>
            <w:r/>
            <w:r>
              <w:rPr>
                <w:b w:val="0"/>
                <w:i w:val="0"/>
                <w:sz w:val="16"/>
              </w:rPr>
              <w:t>928</w:t>
            </w:r>
          </w:p>
        </w:tc>
        <w:tc>
          <w:tcPr>
            <w:tcW w:type="dxa" w:w="4365"/>
            <w:shd w:val="clear" w:color="auto" w:fill="FAF9F6"/>
          </w:tcPr>
          <w:p>
            <w:pPr>
              <w:spacing w:after="0" w:line="240" w:lineRule="auto"/>
            </w:pPr>
            <w:r/>
            <w:r>
              <w:rPr>
                <w:b w:val="0"/>
                <w:i w:val="0"/>
                <w:sz w:val="16"/>
              </w:rPr>
              <w:t>17 CAAs – P. radiata 2024, averaging</w:t>
            </w:r>
          </w:p>
        </w:tc>
      </w:tr>
      <w:tr>
        <w:tc>
          <w:tcPr>
            <w:tcW w:type="dxa" w:w="2948"/>
          </w:tcPr>
          <w:p>
            <w:pPr>
              <w:spacing w:after="0" w:line="240" w:lineRule="auto"/>
            </w:pPr>
            <w:r/>
            <w:r>
              <w:rPr>
                <w:b w:val="0"/>
                <w:i w:val="0"/>
                <w:sz w:val="16"/>
              </w:rPr>
              <w:t>Soldiers Road (FR) – Nirvana Farm Limited (forestry-right holder)</w:t>
            </w:r>
          </w:p>
        </w:tc>
        <w:tc>
          <w:tcPr>
            <w:tcW w:type="dxa" w:w="1077"/>
          </w:tcPr>
          <w:p>
            <w:pPr>
              <w:spacing w:after="0" w:line="240" w:lineRule="auto"/>
              <w:jc w:val="right"/>
            </w:pPr>
            <w:r/>
            <w:r>
              <w:rPr>
                <w:b w:val="0"/>
                <w:i w:val="0"/>
                <w:sz w:val="16"/>
              </w:rPr>
              <w:t>9.6</w:t>
            </w:r>
          </w:p>
        </w:tc>
        <w:tc>
          <w:tcPr>
            <w:tcW w:type="dxa" w:w="1247"/>
          </w:tcPr>
          <w:p>
            <w:pPr>
              <w:spacing w:after="0" w:line="240" w:lineRule="auto"/>
              <w:jc w:val="right"/>
            </w:pPr>
            <w:r/>
            <w:r>
              <w:rPr>
                <w:b w:val="0"/>
                <w:i w:val="0"/>
                <w:sz w:val="16"/>
              </w:rPr>
              <w:t>59</w:t>
            </w:r>
          </w:p>
        </w:tc>
        <w:tc>
          <w:tcPr>
            <w:tcW w:type="dxa" w:w="4365"/>
          </w:tcPr>
          <w:p>
            <w:pPr>
              <w:spacing w:after="0" w:line="240" w:lineRule="auto"/>
            </w:pPr>
            <w:r/>
            <w:r>
              <w:rPr>
                <w:b w:val="0"/>
                <w:i w:val="0"/>
                <w:sz w:val="16"/>
              </w:rPr>
              <w:t>4 CAAs – P. radiata 2023, averaging. The forestry right describes a carbon accounting area of 160 ha; registration of the balance to be confirmed</w:t>
            </w:r>
          </w:p>
        </w:tc>
      </w:tr>
      <w:tr>
        <w:tc>
          <w:tcPr>
            <w:tcW w:type="dxa" w:w="2948"/>
            <w:shd w:val="clear" w:color="auto" w:fill="FAF9F6"/>
          </w:tcPr>
          <w:p>
            <w:pPr>
              <w:spacing w:after="0" w:line="240" w:lineRule="auto"/>
            </w:pPr>
            <w:r/>
            <w:r>
              <w:rPr>
                <w:b w:val="0"/>
                <w:i w:val="0"/>
                <w:sz w:val="16"/>
              </w:rPr>
              <w:t>Staghaven – Nirvana Farm Limited (landowner)</w:t>
            </w:r>
          </w:p>
        </w:tc>
        <w:tc>
          <w:tcPr>
            <w:tcW w:type="dxa" w:w="1077"/>
            <w:shd w:val="clear" w:color="auto" w:fill="FAF9F6"/>
          </w:tcPr>
          <w:p>
            <w:pPr>
              <w:spacing w:after="0" w:line="240" w:lineRule="auto"/>
              <w:jc w:val="right"/>
            </w:pPr>
            <w:r/>
            <w:r>
              <w:rPr>
                <w:b w:val="0"/>
                <w:i w:val="0"/>
                <w:sz w:val="16"/>
              </w:rPr>
              <w:t>60.9</w:t>
            </w:r>
          </w:p>
        </w:tc>
        <w:tc>
          <w:tcPr>
            <w:tcW w:type="dxa" w:w="1247"/>
            <w:shd w:val="clear" w:color="auto" w:fill="FAF9F6"/>
          </w:tcPr>
          <w:p>
            <w:pPr>
              <w:spacing w:after="0" w:line="240" w:lineRule="auto"/>
              <w:jc w:val="right"/>
            </w:pPr>
            <w:r/>
            <w:r>
              <w:rPr>
                <w:b w:val="0"/>
                <w:i w:val="0"/>
                <w:sz w:val="16"/>
              </w:rPr>
              <w:t>4,654</w:t>
            </w:r>
          </w:p>
        </w:tc>
        <w:tc>
          <w:tcPr>
            <w:tcW w:type="dxa" w:w="4365"/>
            <w:shd w:val="clear" w:color="auto" w:fill="FAF9F6"/>
          </w:tcPr>
          <w:p>
            <w:pPr>
              <w:spacing w:after="0" w:line="240" w:lineRule="auto"/>
            </w:pPr>
            <w:r/>
            <w:r>
              <w:rPr>
                <w:b w:val="0"/>
                <w:i w:val="0"/>
                <w:sz w:val="16"/>
              </w:rPr>
              <w:t>7 CAAs – P. radiata 2024, averaging (unit balance includes the 2011 stands)</w:t>
            </w:r>
          </w:p>
        </w:tc>
      </w:tr>
      <w:tr>
        <w:tc>
          <w:tcPr>
            <w:tcW w:type="dxa" w:w="2948"/>
          </w:tcPr>
          <w:p>
            <w:pPr>
              <w:spacing w:after="0" w:line="240" w:lineRule="auto"/>
            </w:pPr>
            <w:r/>
            <w:r>
              <w:rPr>
                <w:b w:val="0"/>
                <w:i w:val="0"/>
                <w:sz w:val="16"/>
              </w:rPr>
              <w:t>Staghaven – Nirvana Farm Limited (landowner)</w:t>
            </w:r>
          </w:p>
        </w:tc>
        <w:tc>
          <w:tcPr>
            <w:tcW w:type="dxa" w:w="1077"/>
          </w:tcPr>
          <w:p>
            <w:pPr>
              <w:spacing w:after="0" w:line="240" w:lineRule="auto"/>
              <w:jc w:val="right"/>
            </w:pPr>
            <w:r/>
            <w:r>
              <w:rPr>
                <w:b w:val="0"/>
                <w:i w:val="0"/>
                <w:sz w:val="16"/>
              </w:rPr>
              <w:t>21.6</w:t>
            </w:r>
          </w:p>
        </w:tc>
        <w:tc>
          <w:tcPr>
            <w:tcW w:type="dxa" w:w="1247"/>
          </w:tcPr>
          <w:p>
            <w:pPr>
              <w:spacing w:after="0" w:line="240" w:lineRule="auto"/>
              <w:jc w:val="right"/>
            </w:pPr>
            <w:r/>
            <w:r>
              <w:rPr>
                <w:b w:val="0"/>
                <w:i w:val="0"/>
                <w:sz w:val="16"/>
              </w:rPr>
              <w:t>(in CAA 69)</w:t>
            </w:r>
          </w:p>
        </w:tc>
        <w:tc>
          <w:tcPr>
            <w:tcW w:type="dxa" w:w="4365"/>
          </w:tcPr>
          <w:p>
            <w:pPr>
              <w:spacing w:after="0" w:line="240" w:lineRule="auto"/>
            </w:pPr>
            <w:r/>
            <w:r>
              <w:rPr>
                <w:b w:val="0"/>
                <w:i w:val="0"/>
                <w:sz w:val="16"/>
              </w:rPr>
              <w:t>5 CAAs – P. radiata 2011, stock change, registered April 2022 (units included above)</w:t>
            </w:r>
          </w:p>
        </w:tc>
      </w:tr>
      <w:tr>
        <w:tc>
          <w:tcPr>
            <w:tcW w:type="dxa" w:w="2948"/>
            <w:shd w:val="clear" w:color="auto" w:fill="FAF9F6"/>
          </w:tcPr>
          <w:p>
            <w:pPr>
              <w:spacing w:after="0" w:line="240" w:lineRule="auto"/>
            </w:pPr>
            <w:r/>
            <w:r>
              <w:rPr>
                <w:b w:val="0"/>
                <w:i w:val="0"/>
                <w:sz w:val="16"/>
              </w:rPr>
              <w:t>Ernies – Makowhai Station (landowner)</w:t>
            </w:r>
          </w:p>
        </w:tc>
        <w:tc>
          <w:tcPr>
            <w:tcW w:type="dxa" w:w="1077"/>
            <w:shd w:val="clear" w:color="auto" w:fill="FAF9F6"/>
          </w:tcPr>
          <w:p>
            <w:pPr>
              <w:spacing w:after="0" w:line="240" w:lineRule="auto"/>
              <w:jc w:val="right"/>
            </w:pPr>
            <w:r/>
            <w:r>
              <w:rPr>
                <w:b w:val="0"/>
                <w:i w:val="0"/>
                <w:sz w:val="16"/>
              </w:rPr>
              <w:t>120.9</w:t>
            </w:r>
          </w:p>
        </w:tc>
        <w:tc>
          <w:tcPr>
            <w:tcW w:type="dxa" w:w="1247"/>
            <w:shd w:val="clear" w:color="auto" w:fill="FAF9F6"/>
          </w:tcPr>
          <w:p>
            <w:pPr>
              <w:spacing w:after="0" w:line="240" w:lineRule="auto"/>
              <w:jc w:val="right"/>
            </w:pPr>
            <w:r/>
            <w:r>
              <w:rPr>
                <w:b w:val="0"/>
                <w:i w:val="0"/>
                <w:sz w:val="16"/>
              </w:rPr>
              <w:t>13,159</w:t>
            </w:r>
          </w:p>
        </w:tc>
        <w:tc>
          <w:tcPr>
            <w:tcW w:type="dxa" w:w="4365"/>
            <w:shd w:val="clear" w:color="auto" w:fill="FAF9F6"/>
          </w:tcPr>
          <w:p>
            <w:pPr>
              <w:spacing w:after="0" w:line="240" w:lineRule="auto"/>
            </w:pPr>
            <w:r/>
            <w:r>
              <w:rPr>
                <w:b w:val="0"/>
                <w:i w:val="0"/>
                <w:sz w:val="16"/>
              </w:rPr>
              <w:t>2 CAAs – post-1989 regenerating indigenous forest (1991 and 1998), stock change, registered 2014</w:t>
            </w:r>
          </w:p>
        </w:tc>
      </w:tr>
      <w:tr>
        <w:tc>
          <w:tcPr>
            <w:tcW w:type="dxa" w:w="2948"/>
          </w:tcPr>
          <w:p>
            <w:pPr>
              <w:spacing w:after="0" w:line="240" w:lineRule="auto"/>
            </w:pPr>
            <w:r/>
            <w:r>
              <w:rPr>
                <w:b w:val="0"/>
                <w:i w:val="0"/>
                <w:sz w:val="16"/>
              </w:rPr>
              <w:t>Makowhai Station – CAA 69 permanent forest (Back Farm, Eastern Block, Home Block)</w:t>
            </w:r>
          </w:p>
        </w:tc>
        <w:tc>
          <w:tcPr>
            <w:tcW w:type="dxa" w:w="1077"/>
          </w:tcPr>
          <w:p>
            <w:pPr>
              <w:spacing w:after="0" w:line="240" w:lineRule="auto"/>
              <w:jc w:val="right"/>
            </w:pPr>
            <w:r/>
            <w:r>
              <w:rPr>
                <w:b w:val="0"/>
                <w:i w:val="0"/>
                <w:sz w:val="16"/>
              </w:rPr>
              <w:t>183.2</w:t>
            </w:r>
          </w:p>
        </w:tc>
        <w:tc>
          <w:tcPr>
            <w:tcW w:type="dxa" w:w="1247"/>
          </w:tcPr>
          <w:p>
            <w:pPr>
              <w:spacing w:after="0" w:line="240" w:lineRule="auto"/>
              <w:jc w:val="right"/>
            </w:pPr>
            <w:r/>
            <w:r>
              <w:rPr>
                <w:b w:val="0"/>
                <w:i w:val="0"/>
                <w:sz w:val="16"/>
              </w:rPr>
              <w:t>52,466</w:t>
            </w:r>
          </w:p>
        </w:tc>
        <w:tc>
          <w:tcPr>
            <w:tcW w:type="dxa" w:w="4365"/>
          </w:tcPr>
          <w:p>
            <w:pPr>
              <w:spacing w:after="0" w:line="240" w:lineRule="auto"/>
            </w:pPr>
            <w:r/>
            <w:r>
              <w:rPr>
                <w:b w:val="0"/>
                <w:i w:val="0"/>
                <w:sz w:val="16"/>
              </w:rPr>
              <w:t>Stock change, permanent forestry to 3 Feb 2060: 65.6 ha 1994 P. radiata and 117.6 ha indigenous</w:t>
            </w:r>
          </w:p>
        </w:tc>
      </w:tr>
      <w:tr>
        <w:tc>
          <w:tcPr>
            <w:tcW w:type="dxa" w:w="2948"/>
            <w:shd w:val="clear" w:color="auto" w:fill="FAF9F6"/>
          </w:tcPr>
          <w:p>
            <w:pPr>
              <w:spacing w:after="0" w:line="240" w:lineRule="auto"/>
            </w:pPr>
            <w:r/>
            <w:r>
              <w:rPr>
                <w:b w:val="0"/>
                <w:i w:val="0"/>
                <w:sz w:val="16"/>
              </w:rPr>
              <w:t>Total</w:t>
            </w:r>
          </w:p>
        </w:tc>
        <w:tc>
          <w:tcPr>
            <w:tcW w:type="dxa" w:w="1077"/>
            <w:shd w:val="clear" w:color="auto" w:fill="FAF9F6"/>
          </w:tcPr>
          <w:p>
            <w:pPr>
              <w:spacing w:after="0" w:line="240" w:lineRule="auto"/>
              <w:jc w:val="right"/>
            </w:pPr>
            <w:r/>
            <w:r>
              <w:rPr>
                <w:b w:val="0"/>
                <w:i w:val="0"/>
                <w:sz w:val="16"/>
              </w:rPr>
              <w:t>2,740.2</w:t>
            </w:r>
          </w:p>
        </w:tc>
        <w:tc>
          <w:tcPr>
            <w:tcW w:type="dxa" w:w="1247"/>
            <w:shd w:val="clear" w:color="auto" w:fill="FAF9F6"/>
          </w:tcPr>
          <w:p>
            <w:pPr>
              <w:spacing w:after="0" w:line="240" w:lineRule="auto"/>
              <w:jc w:val="right"/>
            </w:pPr>
            <w:r/>
            <w:r>
              <w:rPr>
                <w:b w:val="0"/>
                <w:i w:val="0"/>
                <w:sz w:val="16"/>
              </w:rPr>
              <w:t>149,552</w:t>
            </w:r>
          </w:p>
        </w:tc>
        <w:tc>
          <w:tcPr>
            <w:tcW w:type="dxa" w:w="4365"/>
            <w:shd w:val="clear" w:color="auto" w:fill="FAF9F6"/>
          </w:tcPr>
          <w:p>
            <w:pPr>
              <w:spacing w:after="0" w:line="240" w:lineRule="auto"/>
            </w:pPr>
            <w:r/>
            <w:r>
              <w:rPr>
                <w:b w:val="0"/>
                <w:i w:val="0"/>
                <w:sz w:val="16"/>
              </w:rPr>
              <w:t>NFL 79,294 NZUs · Makowhai Station 70,258 NZUs</w:t>
            </w:r>
          </w:p>
        </w:tc>
      </w:tr>
    </w:tbl>
    <w:p>
      <w:pPr>
        <w:spacing w:after="40"/>
      </w:pPr>
    </w:p>
    <w:p>
      <w:r>
        <w:rPr>
          <w:b w:val="0"/>
          <w:i/>
          <w:sz w:val="17"/>
        </w:rPr>
        <w:t xml:space="preserve">CAA unit balances are the units allocated to each carbon accounting area as recorded by MPI; they are not the balance of units held in the participants' holding accounts. </w:t>
      </w:r>
      <w:r>
        <w:rPr>
          <w:b/>
          <w:i/>
          <w:color w:val="B01E1E"/>
          <w:sz w:val="17"/>
        </w:rPr>
        <w:t>[TBC – NZU holding account balances and reconciliation from JTL / NZGT.]</w:t>
      </w:r>
    </w:p>
    <w:p>
      <w:pPr>
        <w:pStyle w:val="ListBullet"/>
        <w:spacing w:after="40"/>
      </w:pPr>
      <w:r>
        <w:rPr>
          <w:b w:val="0"/>
          <w:i w:val="0"/>
        </w:rPr>
        <w:t>Carbon account control: the NFL carbon account is controlled by NZGT as trustee, which will control the transfer of units at settlement. Some Makowhai Trust holdings sit in a separate holding account; all NZUs are intended to be transferred to NFL ahead of settlement. NZUs are to be transferred with the property.</w:t>
      </w:r>
    </w:p>
    <w:p>
      <w:pPr>
        <w:pStyle w:val="ListBullet"/>
        <w:spacing w:after="40"/>
      </w:pPr>
      <w:r>
        <w:rPr>
          <w:b w:val="0"/>
          <w:i w:val="0"/>
        </w:rPr>
        <w:t xml:space="preserve">Forward sale: approximately 1.6 million NZUs to year 14 of the young crop were forward-sold to the financier at about $33 per unit (CBRE, October 2024). The Receivers advise that this contract will be extinguished on sale </w:t>
      </w:r>
      <w:r>
        <w:rPr>
          <w:b/>
          <w:i w:val="0"/>
          <w:color w:val="B01E1E"/>
        </w:rPr>
        <w:t>[TBC – wording to be agreed with the Receivers and Vitol]</w:t>
      </w:r>
      <w:r>
        <w:rPr>
          <w:b w:val="0"/>
          <w:i w:val="0"/>
        </w:rPr>
        <w:t>; a short-term forward offtake with a purchaser is a possible structure.</w:t>
      </w:r>
    </w:p>
    <w:p>
      <w:pPr>
        <w:pStyle w:val="ListBullet"/>
        <w:spacing w:after="40"/>
      </w:pPr>
      <w:r>
        <w:rPr>
          <w:b w:val="0"/>
          <w:i w:val="0"/>
        </w:rPr>
        <w:t>Eligible land: about 3,190 ha of grassland and scrub on the titled land is indicatively post-1989 (MfE LUCAS baseline) and therefore potentially eligible for registration, subject to MPI determination and the current registration ballot for new exotic forest.</w:t>
      </w:r>
    </w:p>
    <w:p>
      <w:pPr>
        <w:pStyle w:val="ListBullet"/>
        <w:spacing w:after="40"/>
      </w:pPr>
      <w:r>
        <w:rPr>
          <w:b w:val="0"/>
          <w:i w:val="0"/>
        </w:rPr>
        <w:t>Section 194A notices for both participants, the land status reports and the CAA geospatial data (27 September 2026) are in the data room. A carbon specialist (JTL – Jason Loveridge) is supplying the ETS information pack.</w:t>
      </w:r>
    </w:p>
    <w:p>
      <w:pPr>
        <w:pStyle w:val="Heading2"/>
      </w:pPr>
      <w:r>
        <w:t>2.6  Tenure, titles and security</w:t>
      </w:r>
    </w:p>
    <w:p>
      <w:r>
        <w:rPr>
          <w:b w:val="0"/>
          <w:i w:val="0"/>
        </w:rPr>
        <w:t>The land is held in 29 Nirvana Farm Limited titles (6,044.8 ha) and 27 Makowhai Trust titles (7,787.2 ha). All are freehold (fee simple) except the two Puau Road titles, which are Crown renewable leases. Nirvana Farm Limited also holds two registered forestry rights that form part of the offering: Forestry Right 12717687.18 over the planted areas of the Makowhai Trust titles (Back Farm, Front Farm and the Eastern Block) and Forestry Right 12717687.19 over the Land &amp; Bee's Limited title at Soldiers Road (RT 153235, 362 ha).</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2409"/>
        <w:gridCol w:w="2409"/>
        <w:gridCol w:w="2409"/>
        <w:gridCol w:w="2409"/>
      </w:tblGrid>
      <w:tr>
        <w:tc>
          <w:tcPr>
            <w:tcW w:type="dxa" w:w="2948"/>
            <w:shd w:val="clear" w:color="auto" w:fill="DBD2C3"/>
          </w:tcPr>
          <w:p>
            <w:pPr>
              <w:spacing w:after="0" w:line="240" w:lineRule="auto"/>
            </w:pPr>
            <w:r/>
            <w:r>
              <w:rPr>
                <w:b/>
                <w:i w:val="0"/>
                <w:sz w:val="17"/>
              </w:rPr>
              <w:t>Property / interest</w:t>
            </w:r>
          </w:p>
        </w:tc>
        <w:tc>
          <w:tcPr>
            <w:tcW w:type="dxa" w:w="2041"/>
            <w:shd w:val="clear" w:color="auto" w:fill="DBD2C3"/>
          </w:tcPr>
          <w:p>
            <w:pPr>
              <w:spacing w:after="0" w:line="240" w:lineRule="auto"/>
            </w:pPr>
            <w:r/>
            <w:r>
              <w:rPr>
                <w:b/>
                <w:i w:val="0"/>
                <w:sz w:val="17"/>
              </w:rPr>
              <w:t>Interest</w:t>
            </w:r>
          </w:p>
        </w:tc>
        <w:tc>
          <w:tcPr>
            <w:tcW w:type="dxa" w:w="1020"/>
            <w:shd w:val="clear" w:color="auto" w:fill="DBD2C3"/>
          </w:tcPr>
          <w:p>
            <w:pPr>
              <w:spacing w:after="0" w:line="240" w:lineRule="auto"/>
            </w:pPr>
            <w:r/>
            <w:r>
              <w:rPr>
                <w:b/>
                <w:i w:val="0"/>
                <w:sz w:val="17"/>
              </w:rPr>
              <w:t>Included</w:t>
            </w:r>
          </w:p>
        </w:tc>
        <w:tc>
          <w:tcPr>
            <w:tcW w:type="dxa" w:w="3628"/>
            <w:shd w:val="clear" w:color="auto" w:fill="DBD2C3"/>
          </w:tcPr>
          <w:p>
            <w:pPr>
              <w:spacing w:after="0" w:line="240" w:lineRule="auto"/>
            </w:pPr>
            <w:r/>
            <w:r>
              <w:rPr>
                <w:b/>
                <w:i w:val="0"/>
                <w:sz w:val="17"/>
              </w:rPr>
              <w:t>Notes</w:t>
            </w:r>
          </w:p>
        </w:tc>
      </w:tr>
      <w:tr>
        <w:tc>
          <w:tcPr>
            <w:tcW w:type="dxa" w:w="2948"/>
          </w:tcPr>
          <w:p>
            <w:pPr>
              <w:spacing w:after="0" w:line="240" w:lineRule="auto"/>
            </w:pPr>
            <w:r/>
            <w:r>
              <w:rPr>
                <w:b w:val="0"/>
                <w:i w:val="0"/>
                <w:sz w:val="17"/>
              </w:rPr>
              <w:t>Nirvana Farm Limited land (10 blocks incl. Staghaven)</w:t>
            </w:r>
          </w:p>
        </w:tc>
        <w:tc>
          <w:tcPr>
            <w:tcW w:type="dxa" w:w="2041"/>
          </w:tcPr>
          <w:p>
            <w:pPr>
              <w:spacing w:after="0" w:line="240" w:lineRule="auto"/>
            </w:pPr>
            <w:r/>
            <w:r>
              <w:rPr>
                <w:b w:val="0"/>
                <w:i w:val="0"/>
                <w:sz w:val="17"/>
              </w:rPr>
              <w:t>Freehold and two Crown leases</w:t>
            </w:r>
          </w:p>
        </w:tc>
        <w:tc>
          <w:tcPr>
            <w:tcW w:type="dxa" w:w="1020"/>
          </w:tcPr>
          <w:p>
            <w:pPr>
              <w:spacing w:after="0" w:line="240" w:lineRule="auto"/>
            </w:pPr>
            <w:r/>
            <w:r>
              <w:rPr>
                <w:b w:val="0"/>
                <w:i w:val="0"/>
                <w:sz w:val="17"/>
              </w:rPr>
              <w:t>Yes</w:t>
            </w:r>
          </w:p>
        </w:tc>
        <w:tc>
          <w:tcPr>
            <w:tcW w:type="dxa" w:w="3628"/>
          </w:tcPr>
          <w:p>
            <w:pPr>
              <w:spacing w:after="0" w:line="240" w:lineRule="auto"/>
            </w:pPr>
            <w:r/>
            <w:r>
              <w:rPr>
                <w:b w:val="0"/>
                <w:i w:val="0"/>
                <w:sz w:val="17"/>
              </w:rPr>
              <w:t>Vitol mortgage 12717687.17 and land covenant 12717687.16 to be discharged at settlement; PHC Treasury caveat</w:t>
            </w:r>
          </w:p>
        </w:tc>
      </w:tr>
      <w:tr>
        <w:tc>
          <w:tcPr>
            <w:tcW w:type="dxa" w:w="2948"/>
            <w:shd w:val="clear" w:color="auto" w:fill="FAF9F6"/>
          </w:tcPr>
          <w:p>
            <w:pPr>
              <w:spacing w:after="0" w:line="240" w:lineRule="auto"/>
            </w:pPr>
            <w:r/>
            <w:r>
              <w:rPr>
                <w:b w:val="0"/>
                <w:i w:val="0"/>
                <w:sz w:val="17"/>
              </w:rPr>
              <w:t>Makowhai Trust land (6 blocks)</w:t>
            </w:r>
          </w:p>
        </w:tc>
        <w:tc>
          <w:tcPr>
            <w:tcW w:type="dxa" w:w="2041"/>
            <w:shd w:val="clear" w:color="auto" w:fill="FAF9F6"/>
          </w:tcPr>
          <w:p>
            <w:pPr>
              <w:spacing w:after="0" w:line="240" w:lineRule="auto"/>
            </w:pPr>
            <w:r/>
            <w:r>
              <w:rPr>
                <w:b w:val="0"/>
                <w:i w:val="0"/>
                <w:sz w:val="17"/>
              </w:rPr>
              <w:t>Freehold – receivers appointed over the titles</w:t>
            </w:r>
          </w:p>
        </w:tc>
        <w:tc>
          <w:tcPr>
            <w:tcW w:type="dxa" w:w="1020"/>
            <w:shd w:val="clear" w:color="auto" w:fill="FAF9F6"/>
          </w:tcPr>
          <w:p>
            <w:pPr>
              <w:spacing w:after="0" w:line="240" w:lineRule="auto"/>
            </w:pPr>
            <w:r/>
            <w:r>
              <w:rPr>
                <w:b w:val="0"/>
                <w:i w:val="0"/>
                <w:sz w:val="17"/>
              </w:rPr>
              <w:t>Yes</w:t>
            </w:r>
          </w:p>
        </w:tc>
        <w:tc>
          <w:tcPr>
            <w:tcW w:type="dxa" w:w="3628"/>
            <w:shd w:val="clear" w:color="auto" w:fill="FAF9F6"/>
          </w:tcPr>
          <w:p>
            <w:pPr>
              <w:spacing w:after="0" w:line="240" w:lineRule="auto"/>
            </w:pPr>
            <w:r/>
            <w:r>
              <w:rPr>
                <w:b w:val="0"/>
                <w:i w:val="0"/>
                <w:sz w:val="17"/>
              </w:rPr>
              <w:t>Vitol mortgage 12717687.20 to be discharged at settlement; PHC Treasury caveat</w:t>
            </w:r>
          </w:p>
        </w:tc>
      </w:tr>
      <w:tr>
        <w:tc>
          <w:tcPr>
            <w:tcW w:type="dxa" w:w="2948"/>
          </w:tcPr>
          <w:p>
            <w:pPr>
              <w:spacing w:after="0" w:line="240" w:lineRule="auto"/>
            </w:pPr>
            <w:r/>
            <w:r>
              <w:rPr>
                <w:b w:val="0"/>
                <w:i w:val="0"/>
                <w:sz w:val="17"/>
              </w:rPr>
              <w:t>Forestry Right 12717687.18 (Makowhai Trust land)</w:t>
            </w:r>
          </w:p>
        </w:tc>
        <w:tc>
          <w:tcPr>
            <w:tcW w:type="dxa" w:w="2041"/>
          </w:tcPr>
          <w:p>
            <w:pPr>
              <w:spacing w:after="0" w:line="240" w:lineRule="auto"/>
            </w:pPr>
            <w:r/>
            <w:r>
              <w:rPr>
                <w:b w:val="0"/>
                <w:i w:val="0"/>
                <w:sz w:val="17"/>
              </w:rPr>
              <w:t>Registered forestry right held by NFL</w:t>
            </w:r>
          </w:p>
        </w:tc>
        <w:tc>
          <w:tcPr>
            <w:tcW w:type="dxa" w:w="1020"/>
          </w:tcPr>
          <w:p>
            <w:pPr>
              <w:spacing w:after="0" w:line="240" w:lineRule="auto"/>
            </w:pPr>
            <w:r/>
            <w:r>
              <w:rPr>
                <w:b w:val="0"/>
                <w:i w:val="0"/>
                <w:sz w:val="17"/>
              </w:rPr>
              <w:t>Yes</w:t>
            </w:r>
          </w:p>
        </w:tc>
        <w:tc>
          <w:tcPr>
            <w:tcW w:type="dxa" w:w="3628"/>
          </w:tcPr>
          <w:p>
            <w:pPr>
              <w:spacing w:after="0" w:line="240" w:lineRule="auto"/>
            </w:pPr>
            <w:r/>
            <w:r>
              <w:rPr>
                <w:b w:val="0"/>
                <w:i w:val="0"/>
                <w:sz w:val="17"/>
              </w:rPr>
              <w:t xml:space="preserve">Mortgaged to Vitol (12717687.21); copy in the data room </w:t>
            </w:r>
            <w:r>
              <w:rPr>
                <w:b/>
                <w:i w:val="0"/>
                <w:color w:val="B01E1E"/>
                <w:sz w:val="17"/>
              </w:rPr>
              <w:t>[TBC]</w:t>
            </w:r>
          </w:p>
        </w:tc>
      </w:tr>
      <w:tr>
        <w:tc>
          <w:tcPr>
            <w:tcW w:type="dxa" w:w="2948"/>
            <w:shd w:val="clear" w:color="auto" w:fill="FAF9F6"/>
          </w:tcPr>
          <w:p>
            <w:pPr>
              <w:spacing w:after="0" w:line="240" w:lineRule="auto"/>
            </w:pPr>
            <w:r/>
            <w:r>
              <w:rPr>
                <w:b w:val="0"/>
                <w:i w:val="0"/>
                <w:sz w:val="17"/>
              </w:rPr>
              <w:t>Forestry Right 12717687.19 (Soldiers Road, 153235)</w:t>
            </w:r>
          </w:p>
        </w:tc>
        <w:tc>
          <w:tcPr>
            <w:tcW w:type="dxa" w:w="2041"/>
            <w:shd w:val="clear" w:color="auto" w:fill="FAF9F6"/>
          </w:tcPr>
          <w:p>
            <w:pPr>
              <w:spacing w:after="0" w:line="240" w:lineRule="auto"/>
            </w:pPr>
            <w:r/>
            <w:r>
              <w:rPr>
                <w:b w:val="0"/>
                <w:i w:val="0"/>
                <w:sz w:val="17"/>
              </w:rPr>
              <w:t>Registered forestry right held by NFL</w:t>
            </w:r>
          </w:p>
        </w:tc>
        <w:tc>
          <w:tcPr>
            <w:tcW w:type="dxa" w:w="1020"/>
            <w:shd w:val="clear" w:color="auto" w:fill="FAF9F6"/>
          </w:tcPr>
          <w:p>
            <w:pPr>
              <w:spacing w:after="0" w:line="240" w:lineRule="auto"/>
            </w:pPr>
            <w:r/>
            <w:r>
              <w:rPr>
                <w:b w:val="0"/>
                <w:i w:val="0"/>
                <w:sz w:val="17"/>
              </w:rPr>
              <w:t>Yes – FR only</w:t>
            </w:r>
          </w:p>
        </w:tc>
        <w:tc>
          <w:tcPr>
            <w:tcW w:type="dxa" w:w="3628"/>
            <w:shd w:val="clear" w:color="auto" w:fill="FAF9F6"/>
          </w:tcPr>
          <w:p>
            <w:pPr>
              <w:spacing w:after="0" w:line="240" w:lineRule="auto"/>
            </w:pPr>
            <w:r/>
            <w:r>
              <w:rPr>
                <w:b w:val="0"/>
                <w:i w:val="0"/>
                <w:sz w:val="17"/>
              </w:rPr>
              <w:t>Land owned by Land &amp; Bee's Limited is not included; mortgaged to Vitol (12717687.22)</w:t>
            </w:r>
          </w:p>
        </w:tc>
      </w:tr>
      <w:tr>
        <w:tc>
          <w:tcPr>
            <w:tcW w:type="dxa" w:w="2948"/>
          </w:tcPr>
          <w:p>
            <w:pPr>
              <w:spacing w:after="0" w:line="240" w:lineRule="auto"/>
            </w:pPr>
            <w:r/>
            <w:r>
              <w:rPr>
                <w:b w:val="0"/>
                <w:i w:val="0"/>
                <w:sz w:val="17"/>
              </w:rPr>
              <w:t>Magons, Buchanans, Kaipikari, Arnold Road, Carroll Street, Whangamomona Road (TNC3/222), Staghaven TNH4/170</w:t>
            </w:r>
          </w:p>
        </w:tc>
        <w:tc>
          <w:tcPr>
            <w:tcW w:type="dxa" w:w="2041"/>
          </w:tcPr>
          <w:p>
            <w:pPr>
              <w:spacing w:after="0" w:line="240" w:lineRule="auto"/>
            </w:pPr>
            <w:r/>
            <w:r>
              <w:rPr>
                <w:b w:val="0"/>
                <w:i w:val="0"/>
                <w:sz w:val="17"/>
              </w:rPr>
              <w:t>–</w:t>
            </w:r>
          </w:p>
        </w:tc>
        <w:tc>
          <w:tcPr>
            <w:tcW w:type="dxa" w:w="1020"/>
          </w:tcPr>
          <w:p>
            <w:pPr>
              <w:spacing w:after="0" w:line="240" w:lineRule="auto"/>
            </w:pPr>
            <w:r/>
            <w:r>
              <w:rPr>
                <w:b w:val="0"/>
                <w:i w:val="0"/>
                <w:sz w:val="17"/>
              </w:rPr>
              <w:t>No</w:t>
            </w:r>
          </w:p>
        </w:tc>
        <w:tc>
          <w:tcPr>
            <w:tcW w:type="dxa" w:w="3628"/>
          </w:tcPr>
          <w:p>
            <w:pPr>
              <w:spacing w:after="0" w:line="240" w:lineRule="auto"/>
            </w:pPr>
            <w:r/>
            <w:r>
              <w:rPr>
                <w:b w:val="0"/>
                <w:i w:val="0"/>
                <w:sz w:val="17"/>
              </w:rPr>
              <w:t>Not part of the sale</w:t>
            </w:r>
          </w:p>
        </w:tc>
      </w:tr>
      <w:tr>
        <w:tc>
          <w:tcPr>
            <w:tcW w:type="dxa" w:w="2948"/>
            <w:shd w:val="clear" w:color="auto" w:fill="FAF9F6"/>
          </w:tcPr>
          <w:p>
            <w:pPr>
              <w:spacing w:after="0" w:line="240" w:lineRule="auto"/>
            </w:pPr>
            <w:r/>
            <w:r>
              <w:rPr>
                <w:b w:val="0"/>
                <w:i w:val="0"/>
                <w:sz w:val="17"/>
              </w:rPr>
              <w:t>Honey assets and hives</w:t>
            </w:r>
          </w:p>
        </w:tc>
        <w:tc>
          <w:tcPr>
            <w:tcW w:type="dxa" w:w="2041"/>
            <w:shd w:val="clear" w:color="auto" w:fill="FAF9F6"/>
          </w:tcPr>
          <w:p>
            <w:pPr>
              <w:spacing w:after="0" w:line="240" w:lineRule="auto"/>
            </w:pPr>
            <w:r/>
            <w:r>
              <w:rPr>
                <w:b w:val="0"/>
                <w:i w:val="0"/>
                <w:sz w:val="17"/>
              </w:rPr>
              <w:t>–</w:t>
            </w:r>
          </w:p>
        </w:tc>
        <w:tc>
          <w:tcPr>
            <w:tcW w:type="dxa" w:w="1020"/>
            <w:shd w:val="clear" w:color="auto" w:fill="FAF9F6"/>
          </w:tcPr>
          <w:p>
            <w:pPr>
              <w:spacing w:after="0" w:line="240" w:lineRule="auto"/>
            </w:pPr>
            <w:r/>
            <w:r>
              <w:rPr>
                <w:b w:val="0"/>
                <w:i w:val="0"/>
                <w:sz w:val="17"/>
              </w:rPr>
              <w:t>No</w:t>
            </w:r>
          </w:p>
        </w:tc>
        <w:tc>
          <w:tcPr>
            <w:tcW w:type="dxa" w:w="3628"/>
            <w:shd w:val="clear" w:color="auto" w:fill="FAF9F6"/>
          </w:tcPr>
          <w:p>
            <w:pPr>
              <w:spacing w:after="0" w:line="240" w:lineRule="auto"/>
            </w:pPr>
            <w:r/>
            <w:r>
              <w:rPr>
                <w:b w:val="0"/>
                <w:i w:val="0"/>
                <w:sz w:val="17"/>
              </w:rPr>
              <w:t>Owned by the former owner, who will need hive agreements with a purchaser to keep hives on the land</w:t>
            </w:r>
          </w:p>
        </w:tc>
      </w:tr>
    </w:tbl>
    <w:p>
      <w:pPr>
        <w:spacing w:after="40"/>
      </w:pPr>
    </w:p>
    <w:p>
      <w:pPr>
        <w:spacing w:after="40"/>
      </w:pPr>
      <w:r>
        <w:rPr>
          <w:b/>
          <w:i w:val="0"/>
        </w:rPr>
        <w:t>Crown leases (Puau Road)</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4819"/>
        <w:gridCol w:w="4819"/>
      </w:tblGrid>
      <w:tr>
        <w:tc>
          <w:tcPr>
            <w:tcW w:type="dxa" w:w="2835"/>
            <w:shd w:val="clear" w:color="auto" w:fill="F2F0EA"/>
          </w:tcPr>
          <w:p>
            <w:pPr>
              <w:spacing w:after="0" w:line="240" w:lineRule="auto"/>
            </w:pPr>
            <w:r/>
            <w:r>
              <w:rPr>
                <w:b/>
                <w:i w:val="0"/>
                <w:sz w:val="19"/>
              </w:rPr>
              <w:t>Titles</w:t>
            </w:r>
          </w:p>
        </w:tc>
        <w:tc>
          <w:tcPr>
            <w:tcW w:type="dxa" w:w="6803"/>
          </w:tcPr>
          <w:p>
            <w:pPr>
              <w:spacing w:after="0" w:line="240" w:lineRule="auto"/>
            </w:pPr>
            <w:r/>
            <w:r>
              <w:rPr>
                <w:b w:val="0"/>
                <w:i w:val="0"/>
                <w:sz w:val="19"/>
              </w:rPr>
              <w:t>948076 (720.34 ha, Section 1B Block I Nukumaru SD) and 948077 (884.24 ha, Section 1 Block I Nukumaru SD) – Puau Road</w:t>
            </w:r>
          </w:p>
        </w:tc>
      </w:tr>
      <w:tr>
        <w:tc>
          <w:tcPr>
            <w:tcW w:type="dxa" w:w="2835"/>
            <w:shd w:val="clear" w:color="auto" w:fill="F2F0EA"/>
          </w:tcPr>
          <w:p>
            <w:pPr>
              <w:spacing w:after="0" w:line="240" w:lineRule="auto"/>
            </w:pPr>
            <w:r/>
            <w:r>
              <w:rPr>
                <w:b/>
                <w:i w:val="0"/>
                <w:sz w:val="19"/>
              </w:rPr>
              <w:t>Type</w:t>
            </w:r>
          </w:p>
        </w:tc>
        <w:tc>
          <w:tcPr>
            <w:tcW w:type="dxa" w:w="6803"/>
          </w:tcPr>
          <w:p>
            <w:pPr>
              <w:spacing w:after="0" w:line="240" w:lineRule="auto"/>
            </w:pPr>
            <w:r/>
            <w:r>
              <w:rPr>
                <w:b w:val="0"/>
                <w:i w:val="0"/>
                <w:sz w:val="19"/>
              </w:rPr>
              <w:t>Renewable leases under section 82 of the Land Act 1948 (instruments RL 11709159.1 and .2)</w:t>
            </w:r>
          </w:p>
        </w:tc>
      </w:tr>
      <w:tr>
        <w:tc>
          <w:tcPr>
            <w:tcW w:type="dxa" w:w="2835"/>
            <w:shd w:val="clear" w:color="auto" w:fill="F2F0EA"/>
          </w:tcPr>
          <w:p>
            <w:pPr>
              <w:spacing w:after="0" w:line="240" w:lineRule="auto"/>
            </w:pPr>
            <w:r/>
            <w:r>
              <w:rPr>
                <w:b/>
                <w:i w:val="0"/>
                <w:sz w:val="19"/>
              </w:rPr>
              <w:t>Term</w:t>
            </w:r>
          </w:p>
        </w:tc>
        <w:tc>
          <w:tcPr>
            <w:tcW w:type="dxa" w:w="6803"/>
          </w:tcPr>
          <w:p>
            <w:pPr>
              <w:spacing w:after="0" w:line="240" w:lineRule="auto"/>
            </w:pPr>
            <w:r/>
            <w:r>
              <w:rPr>
                <w:b w:val="0"/>
                <w:i w:val="0"/>
                <w:sz w:val="19"/>
              </w:rPr>
              <w:t>33 years commencing 1 July 2020</w:t>
            </w:r>
          </w:p>
        </w:tc>
      </w:tr>
      <w:tr>
        <w:tc>
          <w:tcPr>
            <w:tcW w:type="dxa" w:w="2835"/>
            <w:shd w:val="clear" w:color="auto" w:fill="F2F0EA"/>
          </w:tcPr>
          <w:p>
            <w:pPr>
              <w:spacing w:after="0" w:line="240" w:lineRule="auto"/>
            </w:pPr>
            <w:r/>
            <w:r>
              <w:rPr>
                <w:b/>
                <w:i w:val="0"/>
                <w:sz w:val="19"/>
              </w:rPr>
              <w:t>Rent</w:t>
            </w:r>
          </w:p>
        </w:tc>
        <w:tc>
          <w:tcPr>
            <w:tcW w:type="dxa" w:w="6803"/>
          </w:tcPr>
          <w:p>
            <w:pPr>
              <w:spacing w:after="0" w:line="240" w:lineRule="auto"/>
            </w:pPr>
            <w:r/>
            <w:r>
              <w:rPr>
                <w:b/>
                <w:i w:val="0"/>
                <w:color w:val="B01E1E"/>
                <w:sz w:val="19"/>
              </w:rPr>
              <w:t>[TBC – copy of lease in the data room]</w:t>
            </w:r>
          </w:p>
        </w:tc>
      </w:tr>
      <w:tr>
        <w:tc>
          <w:tcPr>
            <w:tcW w:type="dxa" w:w="2835"/>
            <w:shd w:val="clear" w:color="auto" w:fill="F2F0EA"/>
          </w:tcPr>
          <w:p>
            <w:pPr>
              <w:spacing w:after="0" w:line="240" w:lineRule="auto"/>
            </w:pPr>
            <w:r/>
            <w:r>
              <w:rPr>
                <w:b/>
                <w:i w:val="0"/>
                <w:sz w:val="19"/>
              </w:rPr>
              <w:t>Note</w:t>
            </w:r>
          </w:p>
        </w:tc>
        <w:tc>
          <w:tcPr>
            <w:tcW w:type="dxa" w:w="6803"/>
          </w:tcPr>
          <w:p>
            <w:pPr>
              <w:spacing w:after="0" w:line="240" w:lineRule="auto"/>
            </w:pPr>
            <w:r/>
            <w:r>
              <w:rPr>
                <w:b w:val="0"/>
                <w:i w:val="0"/>
                <w:sz w:val="19"/>
              </w:rPr>
              <w:t>Reassignment is expected to be straightforward (receivers' advice); 948077 is also within the Pukekahu Farms grazing lease. No pine has been planted on the leased titles.</w:t>
            </w:r>
          </w:p>
        </w:tc>
      </w:tr>
    </w:tbl>
    <w:p>
      <w:pPr>
        <w:spacing w:after="40"/>
      </w:pPr>
    </w:p>
    <w:p>
      <w:pPr>
        <w:pStyle w:val="Heading2"/>
      </w:pPr>
      <w:r>
        <w:t>2.7  Leases and occupation</w:t>
      </w:r>
    </w:p>
    <w:p>
      <w:pPr>
        <w:spacing w:after="40"/>
      </w:pPr>
      <w:r>
        <w:rPr>
          <w:b/>
          <w:i w:val="0"/>
        </w:rPr>
        <w:t>Farming lease – Pukekahu Farms Limited</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4819"/>
        <w:gridCol w:w="4819"/>
      </w:tblGrid>
      <w:tr>
        <w:tc>
          <w:tcPr>
            <w:tcW w:type="dxa" w:w="2835"/>
            <w:shd w:val="clear" w:color="auto" w:fill="F2F0EA"/>
          </w:tcPr>
          <w:p>
            <w:pPr>
              <w:spacing w:after="0" w:line="240" w:lineRule="auto"/>
            </w:pPr>
            <w:r/>
            <w:r>
              <w:rPr>
                <w:b/>
                <w:i w:val="0"/>
                <w:sz w:val="19"/>
              </w:rPr>
              <w:t>Tenant</w:t>
            </w:r>
          </w:p>
        </w:tc>
        <w:tc>
          <w:tcPr>
            <w:tcW w:type="dxa" w:w="6803"/>
          </w:tcPr>
          <w:p>
            <w:pPr>
              <w:spacing w:after="0" w:line="240" w:lineRule="auto"/>
            </w:pPr>
            <w:r/>
            <w:r>
              <w:rPr>
                <w:b w:val="0"/>
                <w:i w:val="0"/>
                <w:sz w:val="19"/>
              </w:rPr>
              <w:t>Pukekahu Farms Limited (guarantors Paul William Kinder and Virginia Kinder-Matthews, Whanganui)</w:t>
            </w:r>
          </w:p>
        </w:tc>
      </w:tr>
      <w:tr>
        <w:tc>
          <w:tcPr>
            <w:tcW w:type="dxa" w:w="2835"/>
            <w:shd w:val="clear" w:color="auto" w:fill="F2F0EA"/>
          </w:tcPr>
          <w:p>
            <w:pPr>
              <w:spacing w:after="0" w:line="240" w:lineRule="auto"/>
            </w:pPr>
            <w:r/>
            <w:r>
              <w:rPr>
                <w:b/>
                <w:i w:val="0"/>
                <w:sz w:val="19"/>
              </w:rPr>
              <w:t>Landlord</w:t>
            </w:r>
          </w:p>
        </w:tc>
        <w:tc>
          <w:tcPr>
            <w:tcW w:type="dxa" w:w="6803"/>
          </w:tcPr>
          <w:p>
            <w:pPr>
              <w:spacing w:after="0" w:line="240" w:lineRule="auto"/>
            </w:pPr>
            <w:r/>
            <w:r>
              <w:rPr>
                <w:b w:val="0"/>
                <w:i w:val="0"/>
                <w:sz w:val="19"/>
              </w:rPr>
              <w:t>Nirvana Farm Limited (55% of rent) and the trustees of the Makowhai Trust (45%)</w:t>
            </w:r>
          </w:p>
        </w:tc>
      </w:tr>
      <w:tr>
        <w:tc>
          <w:tcPr>
            <w:tcW w:type="dxa" w:w="2835"/>
            <w:shd w:val="clear" w:color="auto" w:fill="F2F0EA"/>
          </w:tcPr>
          <w:p>
            <w:pPr>
              <w:spacing w:after="0" w:line="240" w:lineRule="auto"/>
            </w:pPr>
            <w:r/>
            <w:r>
              <w:rPr>
                <w:b/>
                <w:i w:val="0"/>
                <w:sz w:val="19"/>
              </w:rPr>
              <w:t>Term</w:t>
            </w:r>
          </w:p>
        </w:tc>
        <w:tc>
          <w:tcPr>
            <w:tcW w:type="dxa" w:w="6803"/>
          </w:tcPr>
          <w:p>
            <w:pPr>
              <w:spacing w:after="0" w:line="240" w:lineRule="auto"/>
            </w:pPr>
            <w:r/>
            <w:r>
              <w:rPr>
                <w:b w:val="0"/>
                <w:i w:val="0"/>
                <w:sz w:val="19"/>
              </w:rPr>
              <w:t>Five years from 1 January 2025, expiring 31 December 2029</w:t>
            </w:r>
          </w:p>
        </w:tc>
      </w:tr>
      <w:tr>
        <w:tc>
          <w:tcPr>
            <w:tcW w:type="dxa" w:w="2835"/>
            <w:shd w:val="clear" w:color="auto" w:fill="F2F0EA"/>
          </w:tcPr>
          <w:p>
            <w:pPr>
              <w:spacing w:after="0" w:line="240" w:lineRule="auto"/>
            </w:pPr>
            <w:r/>
            <w:r>
              <w:rPr>
                <w:b/>
                <w:i w:val="0"/>
                <w:sz w:val="19"/>
              </w:rPr>
              <w:t>Leased land</w:t>
            </w:r>
          </w:p>
        </w:tc>
        <w:tc>
          <w:tcPr>
            <w:tcW w:type="dxa" w:w="6803"/>
          </w:tcPr>
          <w:p>
            <w:pPr>
              <w:spacing w:after="0" w:line="240" w:lineRule="auto"/>
            </w:pPr>
            <w:r/>
            <w:r>
              <w:rPr>
                <w:b w:val="0"/>
                <w:i w:val="0"/>
                <w:sz w:val="19"/>
              </w:rPr>
              <w:t>Record of Title 948077 (884.24 ha, Puau Road – Crown lease), 451953 (338.57 ha, Front Farm) and TNE3/649 (1,037.11 ha, Eastern Block) – that part shaded on the lease plans, about 2,200 ha</w:t>
            </w:r>
          </w:p>
        </w:tc>
      </w:tr>
      <w:tr>
        <w:tc>
          <w:tcPr>
            <w:tcW w:type="dxa" w:w="2835"/>
            <w:shd w:val="clear" w:color="auto" w:fill="F2F0EA"/>
          </w:tcPr>
          <w:p>
            <w:pPr>
              <w:spacing w:after="0" w:line="240" w:lineRule="auto"/>
            </w:pPr>
            <w:r/>
            <w:r>
              <w:rPr>
                <w:b/>
                <w:i w:val="0"/>
                <w:sz w:val="19"/>
              </w:rPr>
              <w:t>Rent</w:t>
            </w:r>
          </w:p>
        </w:tc>
        <w:tc>
          <w:tcPr>
            <w:tcW w:type="dxa" w:w="6803"/>
          </w:tcPr>
          <w:p>
            <w:pPr>
              <w:spacing w:after="0" w:line="240" w:lineRule="auto"/>
            </w:pPr>
            <w:r/>
            <w:r>
              <w:rPr>
                <w:b w:val="0"/>
                <w:i w:val="0"/>
                <w:sz w:val="19"/>
              </w:rPr>
              <w:t>$105,000 plus GST per annum ($57,750 to NFL, $47,250 to the Makowhai Trust)</w:t>
            </w:r>
          </w:p>
        </w:tc>
      </w:tr>
      <w:tr>
        <w:tc>
          <w:tcPr>
            <w:tcW w:type="dxa" w:w="2835"/>
            <w:shd w:val="clear" w:color="auto" w:fill="F2F0EA"/>
          </w:tcPr>
          <w:p>
            <w:pPr>
              <w:spacing w:after="0" w:line="240" w:lineRule="auto"/>
            </w:pPr>
            <w:r/>
            <w:r>
              <w:rPr>
                <w:b/>
                <w:i w:val="0"/>
                <w:sz w:val="19"/>
              </w:rPr>
              <w:t>Prepayment</w:t>
            </w:r>
          </w:p>
        </w:tc>
        <w:tc>
          <w:tcPr>
            <w:tcW w:type="dxa" w:w="6803"/>
          </w:tcPr>
          <w:p>
            <w:pPr>
              <w:spacing w:after="0" w:line="240" w:lineRule="auto"/>
            </w:pPr>
            <w:r/>
            <w:r>
              <w:rPr>
                <w:b w:val="0"/>
                <w:i w:val="0"/>
                <w:sz w:val="19"/>
              </w:rPr>
              <w:t>Rent for years 1 and 2 was paid in advance; rent for years 3–5 was prepaid at a discounted $250,000 plus GST. No rent is receivable by a purchaser for the balance of the term.</w:t>
            </w:r>
          </w:p>
        </w:tc>
      </w:tr>
      <w:tr>
        <w:tc>
          <w:tcPr>
            <w:tcW w:type="dxa" w:w="2835"/>
            <w:shd w:val="clear" w:color="auto" w:fill="F2F0EA"/>
          </w:tcPr>
          <w:p>
            <w:pPr>
              <w:spacing w:after="0" w:line="240" w:lineRule="auto"/>
            </w:pPr>
            <w:r/>
            <w:r>
              <w:rPr>
                <w:b/>
                <w:i w:val="0"/>
                <w:sz w:val="19"/>
              </w:rPr>
              <w:t>Permitted use</w:t>
            </w:r>
          </w:p>
        </w:tc>
        <w:tc>
          <w:tcPr>
            <w:tcW w:type="dxa" w:w="6803"/>
          </w:tcPr>
          <w:p>
            <w:pPr>
              <w:spacing w:after="0" w:line="240" w:lineRule="auto"/>
            </w:pPr>
            <w:r/>
            <w:r>
              <w:rPr>
                <w:b w:val="0"/>
                <w:i w:val="0"/>
                <w:sz w:val="19"/>
              </w:rPr>
              <w:t>Grazing of sheep and cattle only; no pigs. Tenant may not cut scrub or trees, light fires or apply chemicals near scrub.</w:t>
            </w:r>
          </w:p>
        </w:tc>
      </w:tr>
      <w:tr>
        <w:tc>
          <w:tcPr>
            <w:tcW w:type="dxa" w:w="2835"/>
            <w:shd w:val="clear" w:color="auto" w:fill="F2F0EA"/>
          </w:tcPr>
          <w:p>
            <w:pPr>
              <w:spacing w:after="0" w:line="240" w:lineRule="auto"/>
            </w:pPr>
            <w:r/>
            <w:r>
              <w:rPr>
                <w:b/>
                <w:i w:val="0"/>
                <w:sz w:val="19"/>
              </w:rPr>
              <w:t>Rights reserved</w:t>
            </w:r>
          </w:p>
        </w:tc>
        <w:tc>
          <w:tcPr>
            <w:tcW w:type="dxa" w:w="6803"/>
          </w:tcPr>
          <w:p>
            <w:pPr>
              <w:spacing w:after="0" w:line="240" w:lineRule="auto"/>
            </w:pPr>
            <w:r/>
            <w:r>
              <w:rPr>
                <w:b w:val="0"/>
                <w:i w:val="0"/>
                <w:sz w:val="19"/>
              </w:rPr>
              <w:t>Landlord retains exclusive beekeeping and honey rights, timber, access for forestry and ETS (Climate Change Response Act) purposes; the lease is subject to the registered forestry rights and confers no rights over existing forestry.</w:t>
            </w:r>
          </w:p>
        </w:tc>
      </w:tr>
      <w:tr>
        <w:tc>
          <w:tcPr>
            <w:tcW w:type="dxa" w:w="2835"/>
            <w:shd w:val="clear" w:color="auto" w:fill="F2F0EA"/>
          </w:tcPr>
          <w:p>
            <w:pPr>
              <w:spacing w:after="0" w:line="240" w:lineRule="auto"/>
            </w:pPr>
            <w:r/>
            <w:r>
              <w:rPr>
                <w:b/>
                <w:i w:val="0"/>
                <w:sz w:val="19"/>
              </w:rPr>
              <w:t>Early termination</w:t>
            </w:r>
          </w:p>
        </w:tc>
        <w:tc>
          <w:tcPr>
            <w:tcW w:type="dxa" w:w="6803"/>
          </w:tcPr>
          <w:p>
            <w:pPr>
              <w:spacing w:after="0" w:line="240" w:lineRule="auto"/>
            </w:pPr>
            <w:r/>
            <w:r>
              <w:rPr>
                <w:b w:val="0"/>
                <w:i w:val="0"/>
                <w:sz w:val="19"/>
              </w:rPr>
              <w:t>Landlord may terminate on five months' written notice, on refunding prepaid rent at $83,333.33 plus GST per annum pro rata plus $8,333.33 per month to 31 December 2029.</w:t>
            </w:r>
          </w:p>
        </w:tc>
      </w:tr>
      <w:tr>
        <w:tc>
          <w:tcPr>
            <w:tcW w:type="dxa" w:w="2835"/>
            <w:shd w:val="clear" w:color="auto" w:fill="F2F0EA"/>
          </w:tcPr>
          <w:p>
            <w:pPr>
              <w:spacing w:after="0" w:line="240" w:lineRule="auto"/>
            </w:pPr>
            <w:r/>
            <w:r>
              <w:rPr>
                <w:b/>
                <w:i w:val="0"/>
                <w:sz w:val="19"/>
              </w:rPr>
              <w:t>Dwellings</w:t>
            </w:r>
          </w:p>
        </w:tc>
        <w:tc>
          <w:tcPr>
            <w:tcW w:type="dxa" w:w="6803"/>
          </w:tcPr>
          <w:p>
            <w:pPr>
              <w:spacing w:after="0" w:line="240" w:lineRule="auto"/>
            </w:pPr>
            <w:r/>
            <w:r>
              <w:rPr>
                <w:b w:val="0"/>
                <w:i w:val="0"/>
                <w:sz w:val="19"/>
              </w:rPr>
              <w:t>The tenant is to maintain the two dwellings on the leased land.</w:t>
            </w:r>
          </w:p>
        </w:tc>
      </w:tr>
    </w:tbl>
    <w:p>
      <w:pPr>
        <w:spacing w:after="40"/>
      </w:pPr>
    </w:p>
    <w:p>
      <w:pPr>
        <w:shd w:val="clear" w:color="auto" w:fill="F2F0EA"/>
        <w:spacing w:after="160"/>
        <w:ind w:left="113"/>
      </w:pPr>
      <w:r>
        <w:rPr>
          <w:b/>
          <w:color w:val="6B6B60"/>
          <w:sz w:val="18"/>
        </w:rPr>
        <w:t xml:space="preserve">Internal note – not for the IM: </w:t>
      </w:r>
      <w:r>
        <w:rPr>
          <w:b w:val="0"/>
          <w:i w:val="0"/>
          <w:color w:val="3A3A35"/>
          <w:sz w:val="18"/>
        </w:rPr>
        <w:t>The prepaid rent is the key disclosure: a purchaser inherits a tenant to December 2029 with no rent receivable, but can terminate on five months' notice by refunding the prepaid balance (about $83,333 pa plus $8,333 per month to 31 Dec 2029). The Receivers also advise the Eastern Block lease was not formally consented to by the financier and could be cleared. Consider whether to market with the lease in place.</w:t>
      </w:r>
    </w:p>
    <w:p>
      <w:pPr>
        <w:spacing w:after="40"/>
      </w:pPr>
      <w:r>
        <w:rPr>
          <w:b/>
          <w:i w:val="0"/>
        </w:rPr>
        <w:t>Dwellings and occupation</w:t>
      </w:r>
    </w:p>
    <w:p>
      <w:r>
        <w:rPr>
          <w:b w:val="0"/>
          <w:i w:val="0"/>
        </w:rPr>
        <w:t xml:space="preserve">Dwellings are on Patricks House, the Workers House, Front Farm and the Eastern Block (the two dwellings on the leased land) </w:t>
      </w:r>
      <w:r>
        <w:rPr>
          <w:b/>
          <w:i w:val="0"/>
          <w:color w:val="B01E1E"/>
        </w:rPr>
        <w:t>[TBC – full list of dwellings, condition and who occupies each; Stand to verify]</w:t>
      </w:r>
      <w:r>
        <w:rPr>
          <w:b w:val="0"/>
          <w:i w:val="0"/>
        </w:rPr>
        <w:t>. The former owner's residence is believed not to be on the estate. The lessee occupies Front Farm.</w:t>
      </w:r>
    </w:p>
    <w:p>
      <w:pPr>
        <w:pStyle w:val="Heading2"/>
      </w:pPr>
      <w:r>
        <w:t>2.8  Land characteristics</w:t>
      </w:r>
    </w:p>
    <w:p>
      <w:r>
        <w:rPr>
          <w:b w:val="0"/>
          <w:i w:val="0"/>
        </w:rPr>
        <w:t>The estate is typical eastern Taranaki and Waitōtara hill country: mudstone and sandstone ridges with steep faces, easier flats and terraces along the valley floors, and extensive regenerating mānuka/kānuka on the harder faces. Slope from the LINZ 8 m DEM puts most of the open grassland on medium-hill to very steep contour, with the easiest country on Front Farm, Puau Road, Longreach and the Eastern Block.</w:t>
      </w:r>
    </w:p>
    <w:p>
      <w:pPr>
        <w:jc w:val="center"/>
      </w:pPr>
      <w:r>
        <w:drawing>
          <wp:inline xmlns:a="http://schemas.openxmlformats.org/drawingml/2006/main" xmlns:pic="http://schemas.openxmlformats.org/drawingml/2006/picture">
            <wp:extent cx="6120000" cy="3270375"/>
            <wp:docPr id="6" name="Picture 6"/>
            <wp:cNvGraphicFramePr>
              <a:graphicFrameLocks noChangeAspect="1"/>
            </wp:cNvGraphicFramePr>
            <a:graphic>
              <a:graphicData uri="http://schemas.openxmlformats.org/drawingml/2006/picture">
                <pic:pic>
                  <pic:nvPicPr>
                    <pic:cNvPr id="0" name="chart5_grass_slope.png"/>
                    <pic:cNvPicPr/>
                  </pic:nvPicPr>
                  <pic:blipFill>
                    <a:blip r:embed="rId14"/>
                    <a:stretch>
                      <a:fillRect/>
                    </a:stretch>
                  </pic:blipFill>
                  <pic:spPr>
                    <a:xfrm>
                      <a:off x="0" y="0"/>
                      <a:ext cx="6120000" cy="3270375"/>
                    </a:xfrm>
                    <a:prstGeom prst="rect"/>
                  </pic:spPr>
                </pic:pic>
              </a:graphicData>
            </a:graphic>
          </wp:inline>
        </w:drawing>
      </w:r>
    </w:p>
    <w:p>
      <w:pPr>
        <w:spacing w:after="200"/>
        <w:jc w:val="center"/>
      </w:pPr>
      <w:r>
        <w:rPr>
          <w:b w:val="0"/>
          <w:i/>
          <w:color w:val="6B6B60"/>
          <w:sz w:val="17"/>
        </w:rPr>
        <w:t>Figure 6 – Open grassland by slope class on blocks with 50 ha or more of open ground.</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4819"/>
        <w:gridCol w:w="4819"/>
      </w:tblGrid>
      <w:tr>
        <w:tc>
          <w:tcPr>
            <w:tcW w:type="dxa" w:w="2835"/>
            <w:shd w:val="clear" w:color="auto" w:fill="DBD2C3"/>
          </w:tcPr>
          <w:p>
            <w:pPr>
              <w:spacing w:after="0" w:line="240" w:lineRule="auto"/>
            </w:pPr>
            <w:r/>
            <w:r>
              <w:rPr>
                <w:b/>
                <w:i w:val="0"/>
                <w:sz w:val="18"/>
              </w:rPr>
              <w:t>Climate</w:t>
            </w:r>
          </w:p>
        </w:tc>
        <w:tc>
          <w:tcPr>
            <w:tcW w:type="dxa" w:w="6803"/>
            <w:shd w:val="clear" w:color="auto" w:fill="DBD2C3"/>
          </w:tcPr>
          <w:p>
            <w:pPr>
              <w:spacing w:after="0" w:line="240" w:lineRule="auto"/>
            </w:pPr>
            <w:r/>
            <w:r>
              <w:rPr>
                <w:b/>
                <w:i w:val="0"/>
                <w:sz w:val="18"/>
              </w:rPr>
              <w:t>Value</w:t>
            </w:r>
          </w:p>
        </w:tc>
      </w:tr>
      <w:tr>
        <w:tc>
          <w:tcPr>
            <w:tcW w:type="dxa" w:w="2835"/>
          </w:tcPr>
          <w:p>
            <w:pPr>
              <w:spacing w:after="0" w:line="240" w:lineRule="auto"/>
            </w:pPr>
            <w:r/>
            <w:r>
              <w:rPr>
                <w:b w:val="0"/>
                <w:i w:val="0"/>
                <w:sz w:val="18"/>
              </w:rPr>
              <w:t>Annual sunshine hours</w:t>
            </w:r>
          </w:p>
        </w:tc>
        <w:tc>
          <w:tcPr>
            <w:tcW w:type="dxa" w:w="6803"/>
          </w:tcPr>
          <w:p>
            <w:pPr>
              <w:spacing w:after="0" w:line="240" w:lineRule="auto"/>
            </w:pPr>
            <w:r/>
            <w:r>
              <w:rPr>
                <w:b/>
                <w:i w:val="0"/>
                <w:color w:val="B01E1E"/>
                <w:sz w:val="18"/>
              </w:rPr>
              <w:t>[TBC – NIWA 1981–2010 grid at Ngamatapouri / Whangamomona]</w:t>
            </w:r>
          </w:p>
        </w:tc>
      </w:tr>
      <w:tr>
        <w:tc>
          <w:tcPr>
            <w:tcW w:type="dxa" w:w="2835"/>
            <w:shd w:val="clear" w:color="auto" w:fill="FAF9F6"/>
          </w:tcPr>
          <w:p>
            <w:pPr>
              <w:spacing w:after="0" w:line="240" w:lineRule="auto"/>
            </w:pPr>
            <w:r/>
            <w:r>
              <w:rPr>
                <w:b w:val="0"/>
                <w:i w:val="0"/>
                <w:sz w:val="18"/>
              </w:rPr>
              <w:t>Median annual temperature</w:t>
            </w:r>
          </w:p>
        </w:tc>
        <w:tc>
          <w:tcPr>
            <w:tcW w:type="dxa" w:w="6803"/>
            <w:shd w:val="clear" w:color="auto" w:fill="FAF9F6"/>
          </w:tcPr>
          <w:p>
            <w:pPr>
              <w:spacing w:after="0" w:line="240" w:lineRule="auto"/>
            </w:pPr>
            <w:r/>
            <w:r>
              <w:rPr>
                <w:b/>
                <w:i w:val="0"/>
                <w:color w:val="B01E1E"/>
                <w:sz w:val="18"/>
              </w:rPr>
              <w:t>[TBC]</w:t>
            </w:r>
          </w:p>
        </w:tc>
      </w:tr>
      <w:tr>
        <w:tc>
          <w:tcPr>
            <w:tcW w:type="dxa" w:w="2835"/>
          </w:tcPr>
          <w:p>
            <w:pPr>
              <w:spacing w:after="0" w:line="240" w:lineRule="auto"/>
            </w:pPr>
            <w:r/>
            <w:r>
              <w:rPr>
                <w:b w:val="0"/>
                <w:i w:val="0"/>
                <w:sz w:val="18"/>
              </w:rPr>
              <w:t>Annual rainfall</w:t>
            </w:r>
          </w:p>
        </w:tc>
        <w:tc>
          <w:tcPr>
            <w:tcW w:type="dxa" w:w="6803"/>
          </w:tcPr>
          <w:p>
            <w:pPr>
              <w:spacing w:after="0" w:line="240" w:lineRule="auto"/>
            </w:pPr>
            <w:r/>
            <w:r>
              <w:rPr>
                <w:b/>
                <w:i w:val="0"/>
                <w:color w:val="B01E1E"/>
                <w:sz w:val="18"/>
              </w:rPr>
              <w:t>[TBC – c. 1,400–2,000 mm across the estate; NIWA grid]</w:t>
            </w:r>
          </w:p>
        </w:tc>
      </w:tr>
      <w:tr>
        <w:tc>
          <w:tcPr>
            <w:tcW w:type="dxa" w:w="2835"/>
            <w:shd w:val="clear" w:color="auto" w:fill="FAF9F6"/>
          </w:tcPr>
          <w:p>
            <w:pPr>
              <w:spacing w:after="0" w:line="240" w:lineRule="auto"/>
            </w:pPr>
            <w:r/>
            <w:r>
              <w:rPr>
                <w:b w:val="0"/>
                <w:i w:val="0"/>
                <w:sz w:val="18"/>
              </w:rPr>
              <w:t>Land Use Capability</w:t>
            </w:r>
          </w:p>
        </w:tc>
        <w:tc>
          <w:tcPr>
            <w:tcW w:type="dxa" w:w="6803"/>
            <w:shd w:val="clear" w:color="auto" w:fill="FAF9F6"/>
          </w:tcPr>
          <w:p>
            <w:pPr>
              <w:spacing w:after="0" w:line="240" w:lineRule="auto"/>
            </w:pPr>
            <w:r/>
            <w:r>
              <w:rPr>
                <w:b/>
                <w:i w:val="0"/>
                <w:color w:val="B01E1E"/>
                <w:sz w:val="18"/>
              </w:rPr>
              <w:t>[TBC – LUC 6 and 7 dominate; LRIS NZLRI classes to be tabulated per block]</w:t>
            </w:r>
          </w:p>
        </w:tc>
      </w:tr>
      <w:tr>
        <w:tc>
          <w:tcPr>
            <w:tcW w:type="dxa" w:w="2835"/>
          </w:tcPr>
          <w:p>
            <w:pPr>
              <w:spacing w:after="0" w:line="240" w:lineRule="auto"/>
            </w:pPr>
            <w:r/>
            <w:r>
              <w:rPr>
                <w:b w:val="0"/>
                <w:i w:val="0"/>
                <w:sz w:val="18"/>
              </w:rPr>
              <w:t>Aspect</w:t>
            </w:r>
          </w:p>
        </w:tc>
        <w:tc>
          <w:tcPr>
            <w:tcW w:type="dxa" w:w="6803"/>
          </w:tcPr>
          <w:p>
            <w:pPr>
              <w:spacing w:after="0" w:line="240" w:lineRule="auto"/>
            </w:pPr>
            <w:r/>
            <w:r>
              <w:rPr>
                <w:b/>
                <w:i w:val="0"/>
                <w:color w:val="B01E1E"/>
                <w:sz w:val="18"/>
              </w:rPr>
              <w:t>[TBC – aspect histogram from the DEM for the IM chart]</w:t>
            </w:r>
          </w:p>
        </w:tc>
      </w:tr>
    </w:tbl>
    <w:p>
      <w:pPr>
        <w:spacing w:after="40"/>
      </w:pPr>
    </w:p>
    <w:p>
      <w:pPr>
        <w:shd w:val="clear" w:color="auto" w:fill="F2F0EA"/>
        <w:spacing w:after="160"/>
        <w:ind w:left="113"/>
      </w:pPr>
      <w:r>
        <w:rPr>
          <w:b/>
          <w:color w:val="6B6B60"/>
          <w:sz w:val="18"/>
        </w:rPr>
        <w:t xml:space="preserve">Internal note – not for the IM: </w:t>
      </w:r>
      <w:r>
        <w:rPr>
          <w:b w:val="0"/>
          <w:i w:val="0"/>
          <w:color w:val="3A3A35"/>
          <w:sz w:val="18"/>
        </w:rPr>
        <w:t>The IM template's climate tiles, LUC and aspect chart currently carry placeholder data. Rainfall and sunshine can be pulled from the MfE/NIWA grids with the same script used for Dargaville; LUC from LRIS is not licensed for commercial use, so use the NZLRI classes via the LINZ/MWLR open layer or leave as a qualitative statement.</w:t>
      </w:r>
    </w:p>
    <w:p>
      <w:pPr>
        <w:pStyle w:val="Heading2"/>
      </w:pPr>
      <w:r>
        <w:t>2.9  Improvements</w:t>
      </w:r>
    </w:p>
    <w:p>
      <w:r>
        <w:rPr>
          <w:b w:val="0"/>
          <w:i w:val="0"/>
        </w:rPr>
        <w:t xml:space="preserve">Improvements are secondary to the land and forest. Known structures include dwellings at Patricks House, the Workers House and on the leased land (Front Farm and the Eastern Block), woolsheds and yards at Back Farm, Front Farm and Whangamomona, and farm tracks throughout. </w:t>
      </w:r>
      <w:r>
        <w:rPr>
          <w:b/>
          <w:i w:val="0"/>
          <w:color w:val="B01E1E"/>
        </w:rPr>
        <w:t>[TBC – schedule of buildings by block, age, condition and services; CBRE's October 2024 report carried improvement values for each block but no descriptions.]</w:t>
      </w:r>
      <w:r>
        <w:rPr>
          <w:b w:val="0"/>
          <w:i w:val="0"/>
        </w:rPr>
        <w:t xml:space="preserve"> No production figures exist for the farming or honey operations.</w:t>
      </w:r>
    </w:p>
    <w:p>
      <w:pPr>
        <w:pStyle w:val="Heading2"/>
      </w:pPr>
      <w:r>
        <w:t>2.10  Sale process</w:t>
      </w:r>
    </w:p>
    <w:p>
      <w:r>
        <w:rPr>
          <w:b w:val="0"/>
          <w:i w:val="0"/>
        </w:rPr>
        <w:t xml:space="preserve">The estate is offered for sale by expressions of interest closing at </w:t>
      </w:r>
      <w:r>
        <w:rPr>
          <w:b/>
          <w:i w:val="0"/>
          <w:color w:val="B01E1E"/>
        </w:rPr>
        <w:t>[TBC time]</w:t>
      </w:r>
      <w:r>
        <w:rPr>
          <w:b w:val="0"/>
          <w:i w:val="0"/>
        </w:rPr>
        <w:t xml:space="preserve"> on </w:t>
      </w:r>
      <w:r>
        <w:rPr>
          <w:b/>
          <w:i w:val="0"/>
          <w:color w:val="B01E1E"/>
        </w:rPr>
        <w:t>[TBC date]</w:t>
      </w:r>
      <w:r>
        <w:rPr>
          <w:b w:val="0"/>
          <w:i w:val="0"/>
        </w:rPr>
        <w:t>, with international coverage. The process can be tailored to individual purchasers' needs – offers may be made for the whole estate or for individual blocks or groups of blocks – and early offers are unlikely to be accepted. Prices are plus GST (if any). The sale is a receivership sale by the Receivers as agents of the vendors in exercise of their powers as receivers, on an "as is, where is" basis without warranties. Inspections are strictly by appointment with the Receivers' prior approval.</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2409"/>
        <w:gridCol w:w="2409"/>
        <w:gridCol w:w="2409"/>
        <w:gridCol w:w="2409"/>
      </w:tblGrid>
      <w:tr>
        <w:tc>
          <w:tcPr>
            <w:tcW w:type="dxa" w:w="2268"/>
            <w:shd w:val="clear" w:color="auto" w:fill="DBD2C3"/>
          </w:tcPr>
          <w:p>
            <w:pPr>
              <w:spacing w:after="0" w:line="240" w:lineRule="auto"/>
            </w:pPr>
            <w:r/>
            <w:r>
              <w:rPr>
                <w:b/>
                <w:i w:val="0"/>
                <w:sz w:val="18"/>
              </w:rPr>
              <w:t>Contact</w:t>
            </w:r>
          </w:p>
        </w:tc>
        <w:tc>
          <w:tcPr>
            <w:tcW w:type="dxa" w:w="2268"/>
            <w:shd w:val="clear" w:color="auto" w:fill="DBD2C3"/>
          </w:tcPr>
          <w:p>
            <w:pPr>
              <w:spacing w:after="0" w:line="240" w:lineRule="auto"/>
            </w:pPr>
            <w:r/>
            <w:r>
              <w:rPr>
                <w:b/>
                <w:i w:val="0"/>
                <w:sz w:val="18"/>
              </w:rPr>
              <w:t>Role</w:t>
            </w:r>
          </w:p>
        </w:tc>
        <w:tc>
          <w:tcPr>
            <w:tcW w:type="dxa" w:w="1984"/>
            <w:shd w:val="clear" w:color="auto" w:fill="DBD2C3"/>
          </w:tcPr>
          <w:p>
            <w:pPr>
              <w:spacing w:after="0" w:line="240" w:lineRule="auto"/>
            </w:pPr>
            <w:r/>
            <w:r>
              <w:rPr>
                <w:b/>
                <w:i w:val="0"/>
                <w:sz w:val="18"/>
              </w:rPr>
              <w:t>Phone</w:t>
            </w:r>
          </w:p>
        </w:tc>
        <w:tc>
          <w:tcPr>
            <w:tcW w:type="dxa" w:w="3118"/>
            <w:shd w:val="clear" w:color="auto" w:fill="DBD2C3"/>
          </w:tcPr>
          <w:p>
            <w:pPr>
              <w:spacing w:after="0" w:line="240" w:lineRule="auto"/>
            </w:pPr>
            <w:r/>
            <w:r>
              <w:rPr>
                <w:b/>
                <w:i w:val="0"/>
                <w:sz w:val="18"/>
              </w:rPr>
              <w:t>Email</w:t>
            </w:r>
          </w:p>
        </w:tc>
      </w:tr>
      <w:tr>
        <w:tc>
          <w:tcPr>
            <w:tcW w:type="dxa" w:w="2268"/>
          </w:tcPr>
          <w:p>
            <w:pPr>
              <w:spacing w:after="0" w:line="240" w:lineRule="auto"/>
            </w:pPr>
            <w:r/>
            <w:r>
              <w:rPr>
                <w:b w:val="0"/>
                <w:i w:val="0"/>
                <w:sz w:val="18"/>
              </w:rPr>
              <w:t>Warwick Searle</w:t>
            </w:r>
          </w:p>
        </w:tc>
        <w:tc>
          <w:tcPr>
            <w:tcW w:type="dxa" w:w="2268"/>
          </w:tcPr>
          <w:p>
            <w:pPr>
              <w:spacing w:after="0" w:line="240" w:lineRule="auto"/>
            </w:pPr>
            <w:r/>
            <w:r>
              <w:rPr>
                <w:b w:val="0"/>
                <w:i w:val="0"/>
                <w:sz w:val="18"/>
              </w:rPr>
              <w:t>National Director – Forestry</w:t>
            </w:r>
          </w:p>
        </w:tc>
        <w:tc>
          <w:tcPr>
            <w:tcW w:type="dxa" w:w="1984"/>
          </w:tcPr>
          <w:p>
            <w:pPr>
              <w:spacing w:after="0" w:line="240" w:lineRule="auto"/>
            </w:pPr>
            <w:r/>
            <w:r>
              <w:rPr>
                <w:b w:val="0"/>
                <w:i w:val="0"/>
                <w:sz w:val="18"/>
              </w:rPr>
              <w:t>+64 21 362 778</w:t>
            </w:r>
          </w:p>
        </w:tc>
        <w:tc>
          <w:tcPr>
            <w:tcW w:type="dxa" w:w="3118"/>
          </w:tcPr>
          <w:p>
            <w:pPr>
              <w:spacing w:after="0" w:line="240" w:lineRule="auto"/>
            </w:pPr>
            <w:r/>
            <w:r>
              <w:rPr>
                <w:b w:val="0"/>
                <w:i w:val="0"/>
                <w:sz w:val="18"/>
              </w:rPr>
              <w:t>warwick@forestrysales.co.nz</w:t>
            </w:r>
          </w:p>
        </w:tc>
      </w:tr>
      <w:tr>
        <w:tc>
          <w:tcPr>
            <w:tcW w:type="dxa" w:w="2268"/>
            <w:shd w:val="clear" w:color="auto" w:fill="FAF9F6"/>
          </w:tcPr>
          <w:p>
            <w:pPr>
              <w:spacing w:after="0" w:line="240" w:lineRule="auto"/>
            </w:pPr>
            <w:r/>
            <w:r>
              <w:rPr>
                <w:b w:val="0"/>
                <w:i w:val="0"/>
                <w:sz w:val="18"/>
              </w:rPr>
              <w:t>James Burke</w:t>
            </w:r>
          </w:p>
        </w:tc>
        <w:tc>
          <w:tcPr>
            <w:tcW w:type="dxa" w:w="2268"/>
            <w:shd w:val="clear" w:color="auto" w:fill="FAF9F6"/>
          </w:tcPr>
          <w:p>
            <w:pPr>
              <w:spacing w:after="0" w:line="240" w:lineRule="auto"/>
            </w:pPr>
            <w:r/>
            <w:r>
              <w:rPr>
                <w:b w:val="0"/>
                <w:i w:val="0"/>
                <w:sz w:val="18"/>
              </w:rPr>
              <w:t>Forestry Sales</w:t>
            </w:r>
          </w:p>
        </w:tc>
        <w:tc>
          <w:tcPr>
            <w:tcW w:type="dxa" w:w="1984"/>
            <w:shd w:val="clear" w:color="auto" w:fill="FAF9F6"/>
          </w:tcPr>
          <w:p>
            <w:pPr>
              <w:spacing w:after="0" w:line="240" w:lineRule="auto"/>
            </w:pPr>
            <w:r/>
            <w:r>
              <w:rPr>
                <w:b w:val="0"/>
                <w:i w:val="0"/>
                <w:sz w:val="18"/>
              </w:rPr>
              <w:t>+64 21 824 145</w:t>
            </w:r>
          </w:p>
        </w:tc>
        <w:tc>
          <w:tcPr>
            <w:tcW w:type="dxa" w:w="3118"/>
            <w:shd w:val="clear" w:color="auto" w:fill="FAF9F6"/>
          </w:tcPr>
          <w:p>
            <w:pPr>
              <w:spacing w:after="0" w:line="240" w:lineRule="auto"/>
            </w:pPr>
            <w:r/>
            <w:r>
              <w:rPr>
                <w:b w:val="0"/>
                <w:i w:val="0"/>
                <w:sz w:val="18"/>
              </w:rPr>
              <w:t>james@forestrysales.co.nz</w:t>
            </w:r>
          </w:p>
        </w:tc>
      </w:tr>
      <w:tr>
        <w:tc>
          <w:tcPr>
            <w:tcW w:type="dxa" w:w="2268"/>
          </w:tcPr>
          <w:p>
            <w:pPr>
              <w:spacing w:after="0" w:line="240" w:lineRule="auto"/>
            </w:pPr>
            <w:r/>
            <w:r>
              <w:rPr>
                <w:b w:val="0"/>
                <w:i w:val="0"/>
                <w:sz w:val="18"/>
              </w:rPr>
              <w:t>George Cashmore</w:t>
            </w:r>
          </w:p>
        </w:tc>
        <w:tc>
          <w:tcPr>
            <w:tcW w:type="dxa" w:w="2268"/>
          </w:tcPr>
          <w:p>
            <w:pPr>
              <w:spacing w:after="0" w:line="240" w:lineRule="auto"/>
            </w:pPr>
            <w:r/>
            <w:r>
              <w:rPr>
                <w:b w:val="0"/>
                <w:i w:val="0"/>
                <w:sz w:val="18"/>
              </w:rPr>
              <w:t>Forestry Sales</w:t>
            </w:r>
          </w:p>
        </w:tc>
        <w:tc>
          <w:tcPr>
            <w:tcW w:type="dxa" w:w="1984"/>
          </w:tcPr>
          <w:p>
            <w:pPr>
              <w:spacing w:after="0" w:line="240" w:lineRule="auto"/>
            </w:pPr>
            <w:r/>
            <w:r>
              <w:rPr>
                <w:b w:val="0"/>
                <w:i w:val="0"/>
                <w:sz w:val="18"/>
              </w:rPr>
              <w:t>+64 21 0264 1362</w:t>
            </w:r>
          </w:p>
        </w:tc>
        <w:tc>
          <w:tcPr>
            <w:tcW w:type="dxa" w:w="3118"/>
          </w:tcPr>
          <w:p>
            <w:pPr>
              <w:spacing w:after="0" w:line="240" w:lineRule="auto"/>
            </w:pPr>
            <w:r/>
            <w:r>
              <w:rPr>
                <w:b w:val="0"/>
                <w:i w:val="0"/>
                <w:sz w:val="18"/>
              </w:rPr>
              <w:t>george@forestrysales.co.nz</w:t>
            </w:r>
          </w:p>
        </w:tc>
      </w:tr>
    </w:tbl>
    <w:p>
      <w:pPr>
        <w:spacing w:after="40"/>
      </w:pPr>
    </w:p>
    <w:p>
      <w:r>
        <w:rPr>
          <w:b w:val="0"/>
          <w:i w:val="0"/>
        </w:rPr>
        <w:t xml:space="preserve">Data room: </w:t>
      </w:r>
      <w:r>
        <w:rPr>
          <w:b/>
          <w:i w:val="0"/>
          <w:color w:val="B01E1E"/>
        </w:rPr>
        <w:t>[TBC – link]</w:t>
      </w:r>
      <w:r>
        <w:rPr>
          <w:b w:val="0"/>
          <w:i w:val="0"/>
        </w:rPr>
        <w:t>. Includes the PF Olsen ground survey (April 2026), ETS land status reports and section 194A notices, CAA geospatial data, titles and instrument searches, the forestry rights, the Pukekahu Farms lease and the Crown leases.</w:t>
      </w:r>
    </w:p>
    <w:p>
      <w:r>
        <w:br w:type="page"/>
      </w:r>
    </w:p>
    <w:p>
      <w:pPr>
        <w:pStyle w:val="Heading1"/>
      </w:pPr>
      <w:r>
        <w:t>3  Block summaries</w:t>
      </w:r>
    </w:p>
    <w:p>
      <w:r>
        <w:rPr>
          <w:b w:val="0"/>
          <w:i w:val="0"/>
        </w:rPr>
        <w:t>Blocks are presented by location and size, Pinus radiata blocks first. Each summary gives the facts for the IM block page, a short narrative, and the items still to be confirmed for that block.</w:t>
      </w:r>
    </w:p>
    <w:p>
      <w:pPr>
        <w:pStyle w:val="ListBullet"/>
        <w:spacing w:after="40"/>
      </w:pPr>
      <w:r>
        <w:rPr>
          <w:b w:val="0"/>
          <w:i w:val="0"/>
        </w:rPr>
        <w:t>Pinus radiata blocks: Back Farm, Longreach, Eastern Block, Front Farm (Waitōtara Valley / Ngamatapouri); Puau Road (Nukumaru); Whangamomona, Soldiers Road forestry right, Staghaven (eastern Taranaki).</w:t>
      </w:r>
    </w:p>
    <w:p>
      <w:pPr>
        <w:pStyle w:val="ListBullet"/>
        <w:spacing w:after="40"/>
      </w:pPr>
      <w:r>
        <w:rPr>
          <w:b w:val="0"/>
          <w:i w:val="0"/>
        </w:rPr>
        <w:t>Native, mānuka and dwelling blocks: Ernies, Karapara, Home Block, Patricks House, Workers House (Waitōtara Valley); Moonys, Ridge Road (Nukumaru); Tims (Mangaehu Road); Pakihi (Ōpōtiki).</w:t>
      </w:r>
    </w:p>
    <w:p>
      <w:r>
        <w:br w:type="page"/>
      </w:r>
    </w:p>
    <w:p>
      <w:pPr>
        <w:pStyle w:val="Heading2"/>
      </w:pPr>
      <w:r>
        <w:t>3.1  Back Farm</w:t>
      </w:r>
    </w:p>
    <w:p>
      <w:pPr>
        <w:spacing w:after="120"/>
      </w:pPr>
      <w:r>
        <w:rPr>
          <w:b w:val="0"/>
          <w:i/>
          <w:color w:val="717D4A"/>
        </w:rPr>
        <w:t>Waitōtara Valley / Ngamatapouri (South Taranaki District) · Pinus radiata block</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4819"/>
        <w:gridCol w:w="4819"/>
      </w:tblGrid>
      <w:tr>
        <w:tc>
          <w:tcPr>
            <w:tcW w:type="dxa" w:w="2608"/>
            <w:shd w:val="clear" w:color="auto" w:fill="F2F0EA"/>
          </w:tcPr>
          <w:p>
            <w:pPr>
              <w:spacing w:after="0" w:line="240" w:lineRule="auto"/>
            </w:pPr>
            <w:r/>
            <w:r>
              <w:rPr>
                <w:b/>
                <w:i w:val="0"/>
                <w:sz w:val="18"/>
              </w:rPr>
              <w:t>Vendor / interest</w:t>
            </w:r>
          </w:p>
        </w:tc>
        <w:tc>
          <w:tcPr>
            <w:tcW w:type="dxa" w:w="7030"/>
          </w:tcPr>
          <w:p>
            <w:pPr>
              <w:spacing w:after="0" w:line="240" w:lineRule="auto"/>
            </w:pPr>
            <w:r/>
            <w:r>
              <w:rPr>
                <w:b w:val="0"/>
                <w:i w:val="0"/>
                <w:sz w:val="18"/>
              </w:rPr>
              <w:t>Trustees of the Makowhai Trust – titles in receivership (A Grenfell and K Johnstone, McGrathNicol)</w:t>
            </w:r>
          </w:p>
        </w:tc>
      </w:tr>
      <w:tr>
        <w:tc>
          <w:tcPr>
            <w:tcW w:type="dxa" w:w="2608"/>
            <w:shd w:val="clear" w:color="auto" w:fill="F2F0EA"/>
          </w:tcPr>
          <w:p>
            <w:pPr>
              <w:spacing w:after="0" w:line="240" w:lineRule="auto"/>
            </w:pPr>
            <w:r/>
            <w:r>
              <w:rPr>
                <w:b/>
                <w:i w:val="0"/>
                <w:sz w:val="18"/>
              </w:rPr>
              <w:t>Records of title</w:t>
            </w:r>
          </w:p>
        </w:tc>
        <w:tc>
          <w:tcPr>
            <w:tcW w:type="dxa" w:w="7030"/>
          </w:tcPr>
          <w:p>
            <w:pPr>
              <w:spacing w:after="0" w:line="240" w:lineRule="auto"/>
            </w:pPr>
            <w:r/>
            <w:r>
              <w:rPr>
                <w:b w:val="0"/>
                <w:i w:val="0"/>
                <w:sz w:val="18"/>
              </w:rPr>
              <w:t>TNA3/681, TNB4/1080, TNB4/1081, TNB4/1082, TNB4/1083, TNE4/125, TNF3/568, TNH1/1356 (Taranaki Land District)</w:t>
            </w:r>
          </w:p>
        </w:tc>
      </w:tr>
      <w:tr>
        <w:tc>
          <w:tcPr>
            <w:tcW w:type="dxa" w:w="2608"/>
            <w:shd w:val="clear" w:color="auto" w:fill="F2F0EA"/>
          </w:tcPr>
          <w:p>
            <w:pPr>
              <w:spacing w:after="0" w:line="240" w:lineRule="auto"/>
            </w:pPr>
            <w:r/>
            <w:r>
              <w:rPr>
                <w:b/>
                <w:i w:val="0"/>
                <w:sz w:val="18"/>
              </w:rPr>
              <w:t>Title area</w:t>
            </w:r>
          </w:p>
        </w:tc>
        <w:tc>
          <w:tcPr>
            <w:tcW w:type="dxa" w:w="7030"/>
          </w:tcPr>
          <w:p>
            <w:pPr>
              <w:spacing w:after="0" w:line="240" w:lineRule="auto"/>
            </w:pPr>
            <w:r/>
            <w:r>
              <w:rPr>
                <w:b w:val="0"/>
                <w:i w:val="0"/>
                <w:sz w:val="18"/>
              </w:rPr>
              <w:t>2,104.37 ha</w:t>
            </w:r>
          </w:p>
        </w:tc>
      </w:tr>
      <w:tr>
        <w:tc>
          <w:tcPr>
            <w:tcW w:type="dxa" w:w="2608"/>
            <w:shd w:val="clear" w:color="auto" w:fill="F2F0EA"/>
          </w:tcPr>
          <w:p>
            <w:pPr>
              <w:spacing w:after="0" w:line="240" w:lineRule="auto"/>
            </w:pPr>
            <w:r/>
            <w:r>
              <w:rPr>
                <w:b/>
                <w:i w:val="0"/>
                <w:sz w:val="18"/>
              </w:rPr>
              <w:t>Location / address</w:t>
            </w:r>
          </w:p>
        </w:tc>
        <w:tc>
          <w:tcPr>
            <w:tcW w:type="dxa" w:w="7030"/>
          </w:tcPr>
          <w:p>
            <w:pPr>
              <w:spacing w:after="0" w:line="240" w:lineRule="auto"/>
            </w:pPr>
            <w:r/>
            <w:r>
              <w:rPr>
                <w:b w:val="0"/>
                <w:i w:val="0"/>
                <w:sz w:val="18"/>
              </w:rPr>
              <w:t>Mataimoana Road, Waverley (187 Mataimoana Road)</w:t>
            </w:r>
          </w:p>
        </w:tc>
      </w:tr>
      <w:tr>
        <w:tc>
          <w:tcPr>
            <w:tcW w:type="dxa" w:w="2608"/>
            <w:shd w:val="clear" w:color="auto" w:fill="F2F0EA"/>
          </w:tcPr>
          <w:p>
            <w:pPr>
              <w:spacing w:after="0" w:line="240" w:lineRule="auto"/>
            </w:pPr>
            <w:r/>
            <w:r>
              <w:rPr>
                <w:b/>
                <w:i w:val="0"/>
                <w:sz w:val="18"/>
              </w:rPr>
              <w:t>Territorial authority</w:t>
            </w:r>
          </w:p>
        </w:tc>
        <w:tc>
          <w:tcPr>
            <w:tcW w:type="dxa" w:w="7030"/>
          </w:tcPr>
          <w:p>
            <w:pPr>
              <w:spacing w:after="0" w:line="240" w:lineRule="auto"/>
            </w:pPr>
            <w:r/>
            <w:r>
              <w:rPr>
                <w:b w:val="0"/>
                <w:i w:val="0"/>
                <w:sz w:val="18"/>
              </w:rPr>
              <w:t>South Taranaki District</w:t>
            </w:r>
          </w:p>
        </w:tc>
      </w:tr>
      <w:tr>
        <w:tc>
          <w:tcPr>
            <w:tcW w:type="dxa" w:w="2608"/>
            <w:shd w:val="clear" w:color="auto" w:fill="F2F0EA"/>
          </w:tcPr>
          <w:p>
            <w:pPr>
              <w:spacing w:after="0" w:line="240" w:lineRule="auto"/>
            </w:pPr>
            <w:r/>
            <w:r>
              <w:rPr>
                <w:b/>
                <w:i w:val="0"/>
                <w:sz w:val="18"/>
              </w:rPr>
              <w:t>Regional council</w:t>
            </w:r>
          </w:p>
        </w:tc>
        <w:tc>
          <w:tcPr>
            <w:tcW w:type="dxa" w:w="7030"/>
          </w:tcPr>
          <w:p>
            <w:pPr>
              <w:spacing w:after="0" w:line="240" w:lineRule="auto"/>
            </w:pPr>
            <w:r/>
            <w:r>
              <w:rPr>
                <w:b w:val="0"/>
                <w:i w:val="0"/>
                <w:sz w:val="18"/>
              </w:rPr>
              <w:t>Taranaki Regional Council</w:t>
            </w:r>
          </w:p>
        </w:tc>
      </w:tr>
      <w:tr>
        <w:tc>
          <w:tcPr>
            <w:tcW w:type="dxa" w:w="2608"/>
            <w:shd w:val="clear" w:color="auto" w:fill="F2F0EA"/>
          </w:tcPr>
          <w:p>
            <w:pPr>
              <w:spacing w:after="0" w:line="240" w:lineRule="auto"/>
            </w:pPr>
            <w:r/>
            <w:r>
              <w:rPr>
                <w:b/>
                <w:i w:val="0"/>
                <w:sz w:val="18"/>
              </w:rPr>
              <w:t>Land cover (July 2026 mapping)</w:t>
            </w:r>
          </w:p>
        </w:tc>
        <w:tc>
          <w:tcPr>
            <w:tcW w:type="dxa" w:w="7030"/>
          </w:tcPr>
          <w:p>
            <w:pPr>
              <w:spacing w:after="0" w:line="240" w:lineRule="auto"/>
            </w:pPr>
            <w:r/>
            <w:r>
              <w:rPr>
                <w:b w:val="0"/>
                <w:i w:val="0"/>
                <w:sz w:val="18"/>
              </w:rPr>
              <w:t>Pine / exotic 785.6 ha · Native bush 565.2 ha · Mānuka / kānuka 486.5 ha · Open grassland 264.0 ha</w:t>
            </w:r>
          </w:p>
        </w:tc>
      </w:tr>
      <w:tr>
        <w:tc>
          <w:tcPr>
            <w:tcW w:type="dxa" w:w="2608"/>
            <w:shd w:val="clear" w:color="auto" w:fill="F2F0EA"/>
          </w:tcPr>
          <w:p>
            <w:pPr>
              <w:spacing w:after="0" w:line="240" w:lineRule="auto"/>
            </w:pPr>
            <w:r/>
            <w:r>
              <w:rPr>
                <w:b/>
                <w:i w:val="0"/>
                <w:sz w:val="18"/>
              </w:rPr>
              <w:t>Open grassland by slope</w:t>
            </w:r>
          </w:p>
        </w:tc>
        <w:tc>
          <w:tcPr>
            <w:tcW w:type="dxa" w:w="7030"/>
          </w:tcPr>
          <w:p>
            <w:pPr>
              <w:spacing w:after="0" w:line="240" w:lineRule="auto"/>
            </w:pPr>
            <w:r/>
            <w:r>
              <w:rPr>
                <w:b w:val="0"/>
                <w:i w:val="0"/>
                <w:sz w:val="18"/>
              </w:rPr>
              <w:t>flat 18.7 · rolling 40.1 · medium hill 119.9 · very steep 85.4 ha</w:t>
            </w:r>
          </w:p>
        </w:tc>
      </w:tr>
      <w:tr>
        <w:tc>
          <w:tcPr>
            <w:tcW w:type="dxa" w:w="2608"/>
            <w:shd w:val="clear" w:color="auto" w:fill="F2F0EA"/>
          </w:tcPr>
          <w:p>
            <w:pPr>
              <w:spacing w:after="0" w:line="240" w:lineRule="auto"/>
            </w:pPr>
            <w:r/>
            <w:r>
              <w:rPr>
                <w:b/>
                <w:i w:val="0"/>
                <w:sz w:val="18"/>
              </w:rPr>
              <w:t>Pinus radiata crop (PF Olsen, April 2026)</w:t>
            </w:r>
          </w:p>
        </w:tc>
        <w:tc>
          <w:tcPr>
            <w:tcW w:type="dxa" w:w="7030"/>
          </w:tcPr>
          <w:p>
            <w:pPr>
              <w:spacing w:after="0" w:line="240" w:lineRule="auto"/>
            </w:pPr>
            <w:r/>
            <w:r>
              <w:rPr>
                <w:b w:val="0"/>
                <w:i w:val="0"/>
                <w:sz w:val="18"/>
              </w:rPr>
              <w:t>785 ha planted · 500 ha adequately stocked at April 2026 · 50 ha replant + 235 ha blanking in 2026 · 785 ha adequately stocked after 2026 · 3.5 ha further plantable</w:t>
            </w:r>
          </w:p>
        </w:tc>
      </w:tr>
      <w:tr>
        <w:tc>
          <w:tcPr>
            <w:tcW w:type="dxa" w:w="2608"/>
            <w:shd w:val="clear" w:color="auto" w:fill="F2F0EA"/>
          </w:tcPr>
          <w:p>
            <w:pPr>
              <w:spacing w:after="0" w:line="240" w:lineRule="auto"/>
            </w:pPr>
            <w:r/>
            <w:r>
              <w:rPr>
                <w:b/>
                <w:i w:val="0"/>
                <w:sz w:val="18"/>
              </w:rPr>
              <w:t>ETS carbon accounting areas</w:t>
            </w:r>
          </w:p>
        </w:tc>
        <w:tc>
          <w:tcPr>
            <w:tcW w:type="dxa" w:w="7030"/>
          </w:tcPr>
          <w:p>
            <w:pPr>
              <w:spacing w:after="0" w:line="240" w:lineRule="auto"/>
            </w:pPr>
            <w:r/>
            <w:r>
              <w:rPr>
                <w:b w:val="0"/>
                <w:i w:val="0"/>
                <w:sz w:val="18"/>
              </w:rPr>
              <w:t>Nirvana Farm Limited (forestry-right holder): 625.2 ha, 7,932 NZUs – 30 CAAs – P. radiata 2022 (188 ha) and 2023 (437 ha), averaging; Nirvana Farm Limited (forestry-right holder): 93.2 ha, 752 NZUs – CAA 47 spans Back Farm and Front Farm titles (451953 &amp; TNH1/1356) – P. radiata 2023; Makowhai Station (landowner): 144.1 ha, 4,371 NZUs – 11 CAAs – P. radiata 2022, averaging; Makowhai Station (landowner): 111.9 ha – Part of permanent-forest CAA 69 (post-1989, stock change to 2060): 65.6 ha 1994 P. radiata and 46 ha indigenous on TNA3/681; CAA 69 unit balance 52,466 across Back Farm, Eastern Block and Home Block</w:t>
            </w:r>
          </w:p>
        </w:tc>
      </w:tr>
      <w:tr>
        <w:tc>
          <w:tcPr>
            <w:tcW w:type="dxa" w:w="2608"/>
            <w:shd w:val="clear" w:color="auto" w:fill="F2F0EA"/>
          </w:tcPr>
          <w:p>
            <w:pPr>
              <w:spacing w:after="0" w:line="240" w:lineRule="auto"/>
            </w:pPr>
            <w:r/>
            <w:r>
              <w:rPr>
                <w:b/>
                <w:i w:val="0"/>
                <w:sz w:val="18"/>
              </w:rPr>
              <w:t>Indicatively ETS-eligible land</w:t>
            </w:r>
          </w:p>
        </w:tc>
        <w:tc>
          <w:tcPr>
            <w:tcW w:type="dxa" w:w="7030"/>
          </w:tcPr>
          <w:p>
            <w:pPr>
              <w:spacing w:after="0" w:line="240" w:lineRule="auto"/>
            </w:pPr>
            <w:r/>
            <w:r>
              <w:rPr>
                <w:b w:val="0"/>
                <w:i w:val="0"/>
                <w:sz w:val="18"/>
              </w:rPr>
              <w:t>about 281.0 ha (post-1989 grassland and scrub, MPI to determine)</w:t>
            </w:r>
          </w:p>
        </w:tc>
      </w:tr>
      <w:tr>
        <w:tc>
          <w:tcPr>
            <w:tcW w:type="dxa" w:w="2608"/>
            <w:shd w:val="clear" w:color="auto" w:fill="F2F0EA"/>
          </w:tcPr>
          <w:p>
            <w:pPr>
              <w:spacing w:after="0" w:line="240" w:lineRule="auto"/>
            </w:pPr>
            <w:r/>
            <w:r>
              <w:rPr>
                <w:b/>
                <w:i w:val="0"/>
                <w:sz w:val="18"/>
              </w:rPr>
              <w:t>Leases / occupation</w:t>
            </w:r>
          </w:p>
        </w:tc>
        <w:tc>
          <w:tcPr>
            <w:tcW w:type="dxa" w:w="7030"/>
          </w:tcPr>
          <w:p>
            <w:pPr>
              <w:spacing w:after="0" w:line="240" w:lineRule="auto"/>
            </w:pPr>
            <w:r/>
            <w:r>
              <w:rPr>
                <w:b w:val="0"/>
                <w:i w:val="0"/>
                <w:sz w:val="18"/>
              </w:rPr>
              <w:t xml:space="preserve">None known </w:t>
            </w:r>
            <w:r>
              <w:rPr>
                <w:b/>
                <w:i w:val="0"/>
                <w:color w:val="B01E1E"/>
                <w:sz w:val="18"/>
              </w:rPr>
              <w:t>[TBC]</w:t>
            </w:r>
          </w:p>
        </w:tc>
      </w:tr>
      <w:tr>
        <w:tc>
          <w:tcPr>
            <w:tcW w:type="dxa" w:w="2608"/>
            <w:shd w:val="clear" w:color="auto" w:fill="F2F0EA"/>
          </w:tcPr>
          <w:p>
            <w:pPr>
              <w:spacing w:after="0" w:line="240" w:lineRule="auto"/>
            </w:pPr>
            <w:r/>
            <w:r>
              <w:rPr>
                <w:b/>
                <w:i w:val="0"/>
                <w:sz w:val="18"/>
              </w:rPr>
              <w:t>Access</w:t>
            </w:r>
          </w:p>
        </w:tc>
        <w:tc>
          <w:tcPr>
            <w:tcW w:type="dxa" w:w="7030"/>
          </w:tcPr>
          <w:p>
            <w:pPr>
              <w:spacing w:after="0" w:line="240" w:lineRule="auto"/>
            </w:pPr>
            <w:r/>
            <w:r>
              <w:rPr>
                <w:b w:val="0"/>
                <w:i w:val="0"/>
                <w:sz w:val="18"/>
              </w:rPr>
              <w:t>Road frontage to Mataimoana Road. Main track from Mataimoana Road to the woolshed needs minor maintenance; aerial lifting of seedlings and chemical needed for parts of the block.</w:t>
            </w:r>
          </w:p>
        </w:tc>
      </w:tr>
      <w:tr>
        <w:tc>
          <w:tcPr>
            <w:tcW w:type="dxa" w:w="2608"/>
            <w:shd w:val="clear" w:color="auto" w:fill="F2F0EA"/>
          </w:tcPr>
          <w:p>
            <w:pPr>
              <w:spacing w:after="0" w:line="240" w:lineRule="auto"/>
            </w:pPr>
            <w:r/>
            <w:r>
              <w:rPr>
                <w:b/>
                <w:i w:val="0"/>
                <w:sz w:val="18"/>
              </w:rPr>
              <w:t>Improvements</w:t>
            </w:r>
          </w:p>
        </w:tc>
        <w:tc>
          <w:tcPr>
            <w:tcW w:type="dxa" w:w="7030"/>
          </w:tcPr>
          <w:p>
            <w:pPr>
              <w:spacing w:after="0" w:line="240" w:lineRule="auto"/>
            </w:pPr>
            <w:r/>
            <w:r>
              <w:rPr>
                <w:b/>
                <w:i w:val="0"/>
                <w:color w:val="B01E1E"/>
                <w:sz w:val="18"/>
              </w:rPr>
              <w:t>[TBC – schedule of buildings]</w:t>
            </w:r>
            <w:r>
              <w:rPr>
                <w:b w:val="0"/>
                <w:i w:val="0"/>
                <w:sz w:val="18"/>
              </w:rPr>
              <w:t xml:space="preserve"> (CBRE Oct 2024 carried $450,000 of improvements)</w:t>
            </w:r>
          </w:p>
        </w:tc>
      </w:tr>
      <w:tr>
        <w:tc>
          <w:tcPr>
            <w:tcW w:type="dxa" w:w="2608"/>
            <w:shd w:val="clear" w:color="auto" w:fill="F2F0EA"/>
          </w:tcPr>
          <w:p>
            <w:pPr>
              <w:spacing w:after="0" w:line="240" w:lineRule="auto"/>
            </w:pPr>
            <w:r/>
            <w:r>
              <w:rPr>
                <w:b/>
                <w:i w:val="0"/>
                <w:sz w:val="18"/>
              </w:rPr>
              <w:t>Rating valuation / rates</w:t>
            </w:r>
          </w:p>
        </w:tc>
        <w:tc>
          <w:tcPr>
            <w:tcW w:type="dxa" w:w="7030"/>
          </w:tcPr>
          <w:p>
            <w:pPr>
              <w:spacing w:after="0" w:line="240" w:lineRule="auto"/>
            </w:pPr>
            <w:r/>
            <w:r>
              <w:rPr>
                <w:b/>
                <w:i w:val="0"/>
                <w:color w:val="B01E1E"/>
                <w:sz w:val="18"/>
              </w:rPr>
              <w:t>[TBC]</w:t>
            </w:r>
          </w:p>
        </w:tc>
      </w:tr>
    </w:tbl>
    <w:p>
      <w:pPr>
        <w:spacing w:after="40"/>
      </w:pPr>
    </w:p>
    <w:p>
      <w:pPr>
        <w:pStyle w:val="Heading3"/>
      </w:pPr>
      <w:r>
        <w:t>Description</w:t>
      </w:r>
    </w:p>
    <w:p>
      <w:r>
        <w:rPr>
          <w:b w:val="0"/>
          <w:i w:val="0"/>
        </w:rPr>
        <w:t>The largest planted block in the estate and the core of the Makowhai Trust land. Roughly 785 ha of Pinus radiata was established across 2022 and 2023 on the easier faces of a 2,104 ha hill-country holding, with the balance in native bush and regenerating mānuka/kānuka and about 264 ha of open grassland. PF Olsen's April 2026 ground survey found the 2023 plantings growing well and the 2022 areas the weakest, and programmed 50 ha of replanting and 235 ha of blanking for the 2026 season to bring the whole 785 ha back to a stocking above 850 stems/ha. Deer, with some goats and pigs, are present and an aerial shoot before planting was recommended. An older 65 ha stand of 1994 radiata sits within the permanent-forest carbon accounting area on TNA3/681.</w:t>
      </w:r>
    </w:p>
    <w:p>
      <w:pPr>
        <w:pStyle w:val="Heading3"/>
      </w:pPr>
      <w:r>
        <w:t>Points to note</w:t>
      </w:r>
    </w:p>
    <w:p>
      <w:pPr>
        <w:pStyle w:val="ListBullet"/>
        <w:spacing w:after="40"/>
      </w:pPr>
      <w:r>
        <w:rPr>
          <w:b w:val="0"/>
          <w:i w:val="0"/>
        </w:rPr>
        <w:t>Pest control (deer, goats, pigs) is the main survival risk on the 2026 worked areas.</w:t>
      </w:r>
    </w:p>
    <w:p>
      <w:pPr>
        <w:pStyle w:val="ListBullet"/>
        <w:spacing w:after="40"/>
      </w:pPr>
      <w:r>
        <w:rPr>
          <w:b w:val="0"/>
          <w:i w:val="0"/>
        </w:rPr>
        <w:t>The 2022 plantings carry the lowest survival; the 2023 plantings are performing well.</w:t>
      </w:r>
    </w:p>
    <w:p>
      <w:pPr>
        <w:pStyle w:val="ListBullet"/>
        <w:spacing w:after="40"/>
      </w:pPr>
      <w:r>
        <w:rPr>
          <w:b w:val="0"/>
          <w:i w:val="0"/>
        </w:rPr>
        <w:t>Planted areas are registered by Nirvana Farm Limited under its forestry right over the Makowhai Trust titles, with a further 144 ha registered by Makowhai Station as landowner.</w:t>
      </w:r>
    </w:p>
    <w:p>
      <w:pPr>
        <w:pStyle w:val="Heading3"/>
      </w:pPr>
      <w:r>
        <w:t>Items to confirm</w:t>
      </w:r>
    </w:p>
    <w:p>
      <w:pPr>
        <w:pStyle w:val="ListBullet"/>
        <w:spacing w:after="40"/>
      </w:pPr>
      <w:r>
        <w:rPr>
          <w:b/>
          <w:i w:val="0"/>
          <w:color w:val="B01E1E"/>
        </w:rPr>
        <w:t>[TBC]</w:t>
      </w:r>
      <w:r>
        <w:rPr>
          <w:b w:val="0"/>
          <w:i w:val="0"/>
        </w:rPr>
        <w:t xml:space="preserve"> Completion certificate and survival plots for the 2026 replant/blanking.</w:t>
      </w:r>
    </w:p>
    <w:p>
      <w:pPr>
        <w:pStyle w:val="ListBullet"/>
        <w:spacing w:after="40"/>
      </w:pPr>
      <w:r>
        <w:rPr>
          <w:b/>
          <w:i w:val="0"/>
          <w:color w:val="B01E1E"/>
        </w:rPr>
        <w:t>[TBC]</w:t>
      </w:r>
      <w:r>
        <w:rPr>
          <w:b w:val="0"/>
          <w:i w:val="0"/>
        </w:rPr>
        <w:t xml:space="preserve"> Description of the woolshed and any other improvements (CBRE carried $450,000 of improvements).</w:t>
      </w:r>
    </w:p>
    <w:p>
      <w:pPr>
        <w:pStyle w:val="ListBullet"/>
        <w:spacing w:after="40"/>
      </w:pPr>
      <w:r>
        <w:rPr>
          <w:b/>
          <w:i w:val="0"/>
          <w:color w:val="B01E1E"/>
        </w:rPr>
        <w:t>[TBC]</w:t>
      </w:r>
      <w:r>
        <w:rPr>
          <w:b w:val="0"/>
          <w:i w:val="0"/>
        </w:rPr>
        <w:t xml:space="preserve"> Whether the 65.6 ha 1994 stand is to be harvested or retained as permanent forest.</w:t>
      </w:r>
    </w:p>
    <w:p>
      <w:r>
        <w:br w:type="page"/>
      </w:r>
    </w:p>
    <w:p>
      <w:pPr>
        <w:pStyle w:val="Heading2"/>
      </w:pPr>
      <w:r>
        <w:t>3.2  Longreach</w:t>
      </w:r>
    </w:p>
    <w:p>
      <w:pPr>
        <w:spacing w:after="120"/>
      </w:pPr>
      <w:r>
        <w:rPr>
          <w:b w:val="0"/>
          <w:i/>
          <w:color w:val="717D4A"/>
        </w:rPr>
        <w:t>Waitōtara Valley / Ngamatapouri (South Taranaki District) · Pinus radiata block</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4819"/>
        <w:gridCol w:w="4819"/>
      </w:tblGrid>
      <w:tr>
        <w:tc>
          <w:tcPr>
            <w:tcW w:type="dxa" w:w="2608"/>
            <w:shd w:val="clear" w:color="auto" w:fill="F2F0EA"/>
          </w:tcPr>
          <w:p>
            <w:pPr>
              <w:spacing w:after="0" w:line="240" w:lineRule="auto"/>
            </w:pPr>
            <w:r/>
            <w:r>
              <w:rPr>
                <w:b/>
                <w:i w:val="0"/>
                <w:sz w:val="18"/>
              </w:rPr>
              <w:t>Vendor / interest</w:t>
            </w:r>
          </w:p>
        </w:tc>
        <w:tc>
          <w:tcPr>
            <w:tcW w:type="dxa" w:w="7030"/>
          </w:tcPr>
          <w:p>
            <w:pPr>
              <w:spacing w:after="0" w:line="240" w:lineRule="auto"/>
            </w:pPr>
            <w:r/>
            <w:r>
              <w:rPr>
                <w:b w:val="0"/>
                <w:i w:val="0"/>
                <w:sz w:val="18"/>
              </w:rPr>
              <w:t>Nirvana Farm Limited (In Receivership)</w:t>
            </w:r>
          </w:p>
        </w:tc>
      </w:tr>
      <w:tr>
        <w:tc>
          <w:tcPr>
            <w:tcW w:type="dxa" w:w="2608"/>
            <w:shd w:val="clear" w:color="auto" w:fill="F2F0EA"/>
          </w:tcPr>
          <w:p>
            <w:pPr>
              <w:spacing w:after="0" w:line="240" w:lineRule="auto"/>
            </w:pPr>
            <w:r/>
            <w:r>
              <w:rPr>
                <w:b/>
                <w:i w:val="0"/>
                <w:sz w:val="18"/>
              </w:rPr>
              <w:t>Records of title</w:t>
            </w:r>
          </w:p>
        </w:tc>
        <w:tc>
          <w:tcPr>
            <w:tcW w:type="dxa" w:w="7030"/>
          </w:tcPr>
          <w:p>
            <w:pPr>
              <w:spacing w:after="0" w:line="240" w:lineRule="auto"/>
            </w:pPr>
            <w:r/>
            <w:r>
              <w:rPr>
                <w:b w:val="0"/>
                <w:i w:val="0"/>
                <w:sz w:val="18"/>
              </w:rPr>
              <w:t>WN24B/478, WN24B/479, WNB4/1119, WNF2/815 (Wellington Land District)</w:t>
            </w:r>
          </w:p>
        </w:tc>
      </w:tr>
      <w:tr>
        <w:tc>
          <w:tcPr>
            <w:tcW w:type="dxa" w:w="2608"/>
            <w:shd w:val="clear" w:color="auto" w:fill="F2F0EA"/>
          </w:tcPr>
          <w:p>
            <w:pPr>
              <w:spacing w:after="0" w:line="240" w:lineRule="auto"/>
            </w:pPr>
            <w:r/>
            <w:r>
              <w:rPr>
                <w:b/>
                <w:i w:val="0"/>
                <w:sz w:val="18"/>
              </w:rPr>
              <w:t>Title area</w:t>
            </w:r>
          </w:p>
        </w:tc>
        <w:tc>
          <w:tcPr>
            <w:tcW w:type="dxa" w:w="7030"/>
          </w:tcPr>
          <w:p>
            <w:pPr>
              <w:spacing w:after="0" w:line="240" w:lineRule="auto"/>
            </w:pPr>
            <w:r/>
            <w:r>
              <w:rPr>
                <w:b w:val="0"/>
                <w:i w:val="0"/>
                <w:sz w:val="18"/>
              </w:rPr>
              <w:t>1,723.14 ha</w:t>
            </w:r>
          </w:p>
        </w:tc>
      </w:tr>
      <w:tr>
        <w:tc>
          <w:tcPr>
            <w:tcW w:type="dxa" w:w="2608"/>
            <w:shd w:val="clear" w:color="auto" w:fill="F2F0EA"/>
          </w:tcPr>
          <w:p>
            <w:pPr>
              <w:spacing w:after="0" w:line="240" w:lineRule="auto"/>
            </w:pPr>
            <w:r/>
            <w:r>
              <w:rPr>
                <w:b/>
                <w:i w:val="0"/>
                <w:sz w:val="18"/>
              </w:rPr>
              <w:t>Location / address</w:t>
            </w:r>
          </w:p>
        </w:tc>
        <w:tc>
          <w:tcPr>
            <w:tcW w:type="dxa" w:w="7030"/>
          </w:tcPr>
          <w:p>
            <w:pPr>
              <w:spacing w:after="0" w:line="240" w:lineRule="auto"/>
            </w:pPr>
            <w:r/>
            <w:r>
              <w:rPr>
                <w:b w:val="0"/>
                <w:i w:val="0"/>
                <w:sz w:val="18"/>
              </w:rPr>
              <w:t>1136 and 1022 Makakaho Road, Ngamatapouri</w:t>
            </w:r>
          </w:p>
        </w:tc>
      </w:tr>
      <w:tr>
        <w:tc>
          <w:tcPr>
            <w:tcW w:type="dxa" w:w="2608"/>
            <w:shd w:val="clear" w:color="auto" w:fill="F2F0EA"/>
          </w:tcPr>
          <w:p>
            <w:pPr>
              <w:spacing w:after="0" w:line="240" w:lineRule="auto"/>
            </w:pPr>
            <w:r/>
            <w:r>
              <w:rPr>
                <w:b/>
                <w:i w:val="0"/>
                <w:sz w:val="18"/>
              </w:rPr>
              <w:t>Territorial authority</w:t>
            </w:r>
          </w:p>
        </w:tc>
        <w:tc>
          <w:tcPr>
            <w:tcW w:type="dxa" w:w="7030"/>
          </w:tcPr>
          <w:p>
            <w:pPr>
              <w:spacing w:after="0" w:line="240" w:lineRule="auto"/>
            </w:pPr>
            <w:r/>
            <w:r>
              <w:rPr>
                <w:b w:val="0"/>
                <w:i w:val="0"/>
                <w:sz w:val="18"/>
              </w:rPr>
              <w:t>South Taranaki District</w:t>
            </w:r>
          </w:p>
        </w:tc>
      </w:tr>
      <w:tr>
        <w:tc>
          <w:tcPr>
            <w:tcW w:type="dxa" w:w="2608"/>
            <w:shd w:val="clear" w:color="auto" w:fill="F2F0EA"/>
          </w:tcPr>
          <w:p>
            <w:pPr>
              <w:spacing w:after="0" w:line="240" w:lineRule="auto"/>
            </w:pPr>
            <w:r/>
            <w:r>
              <w:rPr>
                <w:b/>
                <w:i w:val="0"/>
                <w:sz w:val="18"/>
              </w:rPr>
              <w:t>Regional council</w:t>
            </w:r>
          </w:p>
        </w:tc>
        <w:tc>
          <w:tcPr>
            <w:tcW w:type="dxa" w:w="7030"/>
          </w:tcPr>
          <w:p>
            <w:pPr>
              <w:spacing w:after="0" w:line="240" w:lineRule="auto"/>
            </w:pPr>
            <w:r/>
            <w:r>
              <w:rPr>
                <w:b w:val="0"/>
                <w:i w:val="0"/>
                <w:sz w:val="18"/>
              </w:rPr>
              <w:t>Taranaki Regional Council</w:t>
            </w:r>
          </w:p>
        </w:tc>
      </w:tr>
      <w:tr>
        <w:tc>
          <w:tcPr>
            <w:tcW w:type="dxa" w:w="2608"/>
            <w:shd w:val="clear" w:color="auto" w:fill="F2F0EA"/>
          </w:tcPr>
          <w:p>
            <w:pPr>
              <w:spacing w:after="0" w:line="240" w:lineRule="auto"/>
            </w:pPr>
            <w:r/>
            <w:r>
              <w:rPr>
                <w:b/>
                <w:i w:val="0"/>
                <w:sz w:val="18"/>
              </w:rPr>
              <w:t>Land cover (July 2026 mapping)</w:t>
            </w:r>
          </w:p>
        </w:tc>
        <w:tc>
          <w:tcPr>
            <w:tcW w:type="dxa" w:w="7030"/>
          </w:tcPr>
          <w:p>
            <w:pPr>
              <w:spacing w:after="0" w:line="240" w:lineRule="auto"/>
            </w:pPr>
            <w:r/>
            <w:r>
              <w:rPr>
                <w:b w:val="0"/>
                <w:i w:val="0"/>
                <w:sz w:val="18"/>
              </w:rPr>
              <w:t>Pine / exotic 777.7 ha · Native bush 295.3 ha · Mānuka / kānuka 287.8 ha · Open grassland 362.3 ha</w:t>
            </w:r>
          </w:p>
        </w:tc>
      </w:tr>
      <w:tr>
        <w:tc>
          <w:tcPr>
            <w:tcW w:type="dxa" w:w="2608"/>
            <w:shd w:val="clear" w:color="auto" w:fill="F2F0EA"/>
          </w:tcPr>
          <w:p>
            <w:pPr>
              <w:spacing w:after="0" w:line="240" w:lineRule="auto"/>
            </w:pPr>
            <w:r/>
            <w:r>
              <w:rPr>
                <w:b/>
                <w:i w:val="0"/>
                <w:sz w:val="18"/>
              </w:rPr>
              <w:t>Open grassland by slope</w:t>
            </w:r>
          </w:p>
        </w:tc>
        <w:tc>
          <w:tcPr>
            <w:tcW w:type="dxa" w:w="7030"/>
          </w:tcPr>
          <w:p>
            <w:pPr>
              <w:spacing w:after="0" w:line="240" w:lineRule="auto"/>
            </w:pPr>
            <w:r/>
            <w:r>
              <w:rPr>
                <w:b w:val="0"/>
                <w:i w:val="0"/>
                <w:sz w:val="18"/>
              </w:rPr>
              <w:t>flat 9.7 · rolling 52.6 · medium hill 148.7 · very steep 151.4 ha</w:t>
            </w:r>
          </w:p>
        </w:tc>
      </w:tr>
      <w:tr>
        <w:tc>
          <w:tcPr>
            <w:tcW w:type="dxa" w:w="2608"/>
            <w:shd w:val="clear" w:color="auto" w:fill="F2F0EA"/>
          </w:tcPr>
          <w:p>
            <w:pPr>
              <w:spacing w:after="0" w:line="240" w:lineRule="auto"/>
            </w:pPr>
            <w:r/>
            <w:r>
              <w:rPr>
                <w:b/>
                <w:i w:val="0"/>
                <w:sz w:val="18"/>
              </w:rPr>
              <w:t>Pinus radiata crop (PF Olsen, April 2026)</w:t>
            </w:r>
          </w:p>
        </w:tc>
        <w:tc>
          <w:tcPr>
            <w:tcW w:type="dxa" w:w="7030"/>
          </w:tcPr>
          <w:p>
            <w:pPr>
              <w:spacing w:after="0" w:line="240" w:lineRule="auto"/>
            </w:pPr>
            <w:r/>
            <w:r>
              <w:rPr>
                <w:b w:val="0"/>
                <w:i w:val="0"/>
                <w:sz w:val="18"/>
              </w:rPr>
              <w:t>777 ha planted · 691 ha adequately stocked at April 2026 · 27 ha replant + 59 ha blanking in 2026 · 777 ha adequately stocked after 2026</w:t>
            </w:r>
          </w:p>
        </w:tc>
      </w:tr>
      <w:tr>
        <w:tc>
          <w:tcPr>
            <w:tcW w:type="dxa" w:w="2608"/>
            <w:shd w:val="clear" w:color="auto" w:fill="F2F0EA"/>
          </w:tcPr>
          <w:p>
            <w:pPr>
              <w:spacing w:after="0" w:line="240" w:lineRule="auto"/>
            </w:pPr>
            <w:r/>
            <w:r>
              <w:rPr>
                <w:b/>
                <w:i w:val="0"/>
                <w:sz w:val="18"/>
              </w:rPr>
              <w:t>ETS carbon accounting areas</w:t>
            </w:r>
          </w:p>
        </w:tc>
        <w:tc>
          <w:tcPr>
            <w:tcW w:type="dxa" w:w="7030"/>
          </w:tcPr>
          <w:p>
            <w:pPr>
              <w:spacing w:after="0" w:line="240" w:lineRule="auto"/>
            </w:pPr>
            <w:r/>
            <w:r>
              <w:rPr>
                <w:b w:val="0"/>
                <w:i w:val="0"/>
                <w:sz w:val="18"/>
              </w:rPr>
              <w:t>Nirvana Farm Limited (landowner): 723.7 ha, 2,262 NZUs – 21 CAAs – P. radiata 2024 plantings, averaging; Nirvana Farm Limited (landowner): 84.2 ha, 49,574 NZUs – CAA 24 – permanent forest (PP89, to 28 May 2060): 1995 and 1997 P. radiata, stock change; Nirvana Farm Limited (landowner): 65.3 ha, 11,983 NZUs – 16 CAAs – 1995–2011 P. radiata (23 ha) and 1997–2007 indigenous (42 ha), stock change, registered 2015–2020</w:t>
            </w:r>
          </w:p>
        </w:tc>
      </w:tr>
      <w:tr>
        <w:tc>
          <w:tcPr>
            <w:tcW w:type="dxa" w:w="2608"/>
            <w:shd w:val="clear" w:color="auto" w:fill="F2F0EA"/>
          </w:tcPr>
          <w:p>
            <w:pPr>
              <w:spacing w:after="0" w:line="240" w:lineRule="auto"/>
            </w:pPr>
            <w:r/>
            <w:r>
              <w:rPr>
                <w:b/>
                <w:i w:val="0"/>
                <w:sz w:val="18"/>
              </w:rPr>
              <w:t>Indicatively ETS-eligible land</w:t>
            </w:r>
          </w:p>
        </w:tc>
        <w:tc>
          <w:tcPr>
            <w:tcW w:type="dxa" w:w="7030"/>
          </w:tcPr>
          <w:p>
            <w:pPr>
              <w:spacing w:after="0" w:line="240" w:lineRule="auto"/>
            </w:pPr>
            <w:r/>
            <w:r>
              <w:rPr>
                <w:b w:val="0"/>
                <w:i w:val="0"/>
                <w:sz w:val="18"/>
              </w:rPr>
              <w:t>about 505.8 ha (post-1989 grassland and scrub, MPI to determine)</w:t>
            </w:r>
          </w:p>
        </w:tc>
      </w:tr>
      <w:tr>
        <w:tc>
          <w:tcPr>
            <w:tcW w:type="dxa" w:w="2608"/>
            <w:shd w:val="clear" w:color="auto" w:fill="F2F0EA"/>
          </w:tcPr>
          <w:p>
            <w:pPr>
              <w:spacing w:after="0" w:line="240" w:lineRule="auto"/>
            </w:pPr>
            <w:r/>
            <w:r>
              <w:rPr>
                <w:b/>
                <w:i w:val="0"/>
                <w:sz w:val="18"/>
              </w:rPr>
              <w:t>Leases / occupation</w:t>
            </w:r>
          </w:p>
        </w:tc>
        <w:tc>
          <w:tcPr>
            <w:tcW w:type="dxa" w:w="7030"/>
          </w:tcPr>
          <w:p>
            <w:pPr>
              <w:spacing w:after="0" w:line="240" w:lineRule="auto"/>
            </w:pPr>
            <w:r/>
            <w:r>
              <w:rPr>
                <w:b w:val="0"/>
                <w:i w:val="0"/>
                <w:sz w:val="18"/>
              </w:rPr>
              <w:t xml:space="preserve">None known </w:t>
            </w:r>
            <w:r>
              <w:rPr>
                <w:b/>
                <w:i w:val="0"/>
                <w:color w:val="B01E1E"/>
                <w:sz w:val="18"/>
              </w:rPr>
              <w:t>[TBC]</w:t>
            </w:r>
          </w:p>
        </w:tc>
      </w:tr>
      <w:tr>
        <w:tc>
          <w:tcPr>
            <w:tcW w:type="dxa" w:w="2608"/>
            <w:shd w:val="clear" w:color="auto" w:fill="F2F0EA"/>
          </w:tcPr>
          <w:p>
            <w:pPr>
              <w:spacing w:after="0" w:line="240" w:lineRule="auto"/>
            </w:pPr>
            <w:r/>
            <w:r>
              <w:rPr>
                <w:b/>
                <w:i w:val="0"/>
                <w:sz w:val="18"/>
              </w:rPr>
              <w:t>Access</w:t>
            </w:r>
          </w:p>
        </w:tc>
        <w:tc>
          <w:tcPr>
            <w:tcW w:type="dxa" w:w="7030"/>
          </w:tcPr>
          <w:p>
            <w:pPr>
              <w:spacing w:after="0" w:line="240" w:lineRule="auto"/>
            </w:pPr>
            <w:r/>
            <w:r>
              <w:rPr>
                <w:b w:val="0"/>
                <w:i w:val="0"/>
                <w:sz w:val="18"/>
              </w:rPr>
              <w:t>Road frontage to Makakaho Road. No tracking work required; about 35 ha of the blanking area is isolated by a bluff and needs aerial access.</w:t>
            </w:r>
          </w:p>
        </w:tc>
      </w:tr>
      <w:tr>
        <w:tc>
          <w:tcPr>
            <w:tcW w:type="dxa" w:w="2608"/>
            <w:shd w:val="clear" w:color="auto" w:fill="F2F0EA"/>
          </w:tcPr>
          <w:p>
            <w:pPr>
              <w:spacing w:after="0" w:line="240" w:lineRule="auto"/>
            </w:pPr>
            <w:r/>
            <w:r>
              <w:rPr>
                <w:b/>
                <w:i w:val="0"/>
                <w:sz w:val="18"/>
              </w:rPr>
              <w:t>Improvements</w:t>
            </w:r>
          </w:p>
        </w:tc>
        <w:tc>
          <w:tcPr>
            <w:tcW w:type="dxa" w:w="7030"/>
          </w:tcPr>
          <w:p>
            <w:pPr>
              <w:spacing w:after="0" w:line="240" w:lineRule="auto"/>
            </w:pPr>
            <w:r/>
            <w:r>
              <w:rPr>
                <w:b/>
                <w:i w:val="0"/>
                <w:color w:val="B01E1E"/>
                <w:sz w:val="18"/>
              </w:rPr>
              <w:t>[TBC – schedule of buildings]</w:t>
            </w:r>
            <w:r>
              <w:rPr>
                <w:b w:val="0"/>
                <w:i w:val="0"/>
                <w:sz w:val="18"/>
              </w:rPr>
              <w:t xml:space="preserve"> (CBRE Oct 2024 carried $655,000 of improvements)</w:t>
            </w:r>
          </w:p>
        </w:tc>
      </w:tr>
      <w:tr>
        <w:tc>
          <w:tcPr>
            <w:tcW w:type="dxa" w:w="2608"/>
            <w:shd w:val="clear" w:color="auto" w:fill="F2F0EA"/>
          </w:tcPr>
          <w:p>
            <w:pPr>
              <w:spacing w:after="0" w:line="240" w:lineRule="auto"/>
            </w:pPr>
            <w:r/>
            <w:r>
              <w:rPr>
                <w:b/>
                <w:i w:val="0"/>
                <w:sz w:val="18"/>
              </w:rPr>
              <w:t>Rating valuation / rates</w:t>
            </w:r>
          </w:p>
        </w:tc>
        <w:tc>
          <w:tcPr>
            <w:tcW w:type="dxa" w:w="7030"/>
          </w:tcPr>
          <w:p>
            <w:pPr>
              <w:spacing w:after="0" w:line="240" w:lineRule="auto"/>
            </w:pPr>
            <w:r/>
            <w:r>
              <w:rPr>
                <w:b/>
                <w:i w:val="0"/>
                <w:color w:val="B01E1E"/>
                <w:sz w:val="18"/>
              </w:rPr>
              <w:t>[TBC]</w:t>
            </w:r>
          </w:p>
        </w:tc>
      </w:tr>
    </w:tbl>
    <w:p>
      <w:pPr>
        <w:spacing w:after="40"/>
      </w:pPr>
    </w:p>
    <w:p>
      <w:pPr>
        <w:pStyle w:val="Heading3"/>
      </w:pPr>
      <w:r>
        <w:t>Description</w:t>
      </w:r>
    </w:p>
    <w:p>
      <w:r>
        <w:rPr>
          <w:b w:val="0"/>
          <w:i w:val="0"/>
        </w:rPr>
        <w:t>Longreach is the largest Nirvana Farm Limited block and the best-performing young crop in the estate. About 777 ha of Pinus radiata was planted in 2024 across the 1,723 ha property and PF Olsen found high survival throughout, with only 27 ha of replanting and 59 ha of blanking programmed for 2026. Pest control to date has been effective and only maintenance is needed. The block also carries the estate's most valuable carbon position: an 84 ha permanent-forest accounting area of 1995 and 1997 radiata with a unit balance of about 49,600 NZUs, and a further 65 ha of older pine and regenerating indigenous forest registered under stock change. The balance of the property is native bush, mānuka/kānuka and about 362 ha of open hill country, much of it steep.</w:t>
      </w:r>
    </w:p>
    <w:p>
      <w:pPr>
        <w:pStyle w:val="Heading3"/>
      </w:pPr>
      <w:r>
        <w:t>Points to note</w:t>
      </w:r>
    </w:p>
    <w:p>
      <w:pPr>
        <w:pStyle w:val="ListBullet"/>
        <w:spacing w:after="40"/>
      </w:pPr>
      <w:r>
        <w:rPr>
          <w:b w:val="0"/>
          <w:i w:val="0"/>
        </w:rPr>
        <w:t>Stock have been grazing planted stand 1.03 and should be excluded.</w:t>
      </w:r>
    </w:p>
    <w:p>
      <w:pPr>
        <w:pStyle w:val="ListBullet"/>
        <w:spacing w:after="40"/>
      </w:pPr>
      <w:r>
        <w:rPr>
          <w:b w:val="0"/>
          <w:i w:val="0"/>
        </w:rPr>
        <w:t>Approximately 506 ha of open and scrub land is indicatively ETS-eligible (post-1989 land), subject to MPI determination.</w:t>
      </w:r>
    </w:p>
    <w:p>
      <w:pPr>
        <w:pStyle w:val="Heading3"/>
      </w:pPr>
      <w:r>
        <w:t>Items to confirm</w:t>
      </w:r>
    </w:p>
    <w:p>
      <w:pPr>
        <w:pStyle w:val="ListBullet"/>
        <w:spacing w:after="40"/>
      </w:pPr>
      <w:r>
        <w:rPr>
          <w:b/>
          <w:i w:val="0"/>
          <w:color w:val="B01E1E"/>
        </w:rPr>
        <w:t>[TBC]</w:t>
      </w:r>
      <w:r>
        <w:rPr>
          <w:b w:val="0"/>
          <w:i w:val="0"/>
        </w:rPr>
        <w:t xml:space="preserve"> Stand records for the 1995–2011 plantings and the intended regime (permanent or harvest).</w:t>
      </w:r>
    </w:p>
    <w:p>
      <w:pPr>
        <w:pStyle w:val="ListBullet"/>
        <w:spacing w:after="40"/>
      </w:pPr>
      <w:r>
        <w:rPr>
          <w:b/>
          <w:i w:val="0"/>
          <w:color w:val="B01E1E"/>
        </w:rPr>
        <w:t>[TBC]</w:t>
      </w:r>
      <w:r>
        <w:rPr>
          <w:b w:val="0"/>
          <w:i w:val="0"/>
        </w:rPr>
        <w:t xml:space="preserve"> Improvements on the block (CBRE carried $655,000).</w:t>
      </w:r>
    </w:p>
    <w:p>
      <w:pPr>
        <w:pStyle w:val="ListBullet"/>
        <w:spacing w:after="40"/>
      </w:pPr>
      <w:r>
        <w:rPr>
          <w:b/>
          <w:i w:val="0"/>
          <w:color w:val="B01E1E"/>
        </w:rPr>
        <w:t>[TBC]</w:t>
      </w:r>
      <w:r>
        <w:rPr>
          <w:b w:val="0"/>
          <w:i w:val="0"/>
        </w:rPr>
        <w:t xml:space="preserve"> Whether the 35 ha of bluff-isolated blanking is to be completed or excluded.</w:t>
      </w:r>
    </w:p>
    <w:p>
      <w:r>
        <w:br w:type="page"/>
      </w:r>
    </w:p>
    <w:p>
      <w:pPr>
        <w:pStyle w:val="Heading2"/>
      </w:pPr>
      <w:r>
        <w:t>3.3  Eastern Block</w:t>
      </w:r>
    </w:p>
    <w:p>
      <w:pPr>
        <w:spacing w:after="120"/>
      </w:pPr>
      <w:r>
        <w:rPr>
          <w:b w:val="0"/>
          <w:i/>
          <w:color w:val="717D4A"/>
        </w:rPr>
        <w:t>Waitōtara Valley / Ngamatapouri (South Taranaki District) · Pinus radiata block</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4819"/>
        <w:gridCol w:w="4819"/>
      </w:tblGrid>
      <w:tr>
        <w:tc>
          <w:tcPr>
            <w:tcW w:type="dxa" w:w="2608"/>
            <w:shd w:val="clear" w:color="auto" w:fill="F2F0EA"/>
          </w:tcPr>
          <w:p>
            <w:pPr>
              <w:spacing w:after="0" w:line="240" w:lineRule="auto"/>
            </w:pPr>
            <w:r/>
            <w:r>
              <w:rPr>
                <w:b/>
                <w:i w:val="0"/>
                <w:sz w:val="18"/>
              </w:rPr>
              <w:t>Vendor / interest</w:t>
            </w:r>
          </w:p>
        </w:tc>
        <w:tc>
          <w:tcPr>
            <w:tcW w:type="dxa" w:w="7030"/>
          </w:tcPr>
          <w:p>
            <w:pPr>
              <w:spacing w:after="0" w:line="240" w:lineRule="auto"/>
            </w:pPr>
            <w:r/>
            <w:r>
              <w:rPr>
                <w:b w:val="0"/>
                <w:i w:val="0"/>
                <w:sz w:val="18"/>
              </w:rPr>
              <w:t>Trustees of the Makowhai Trust – titles in receivership (A Grenfell and K Johnstone, McGrathNicol)</w:t>
            </w:r>
          </w:p>
        </w:tc>
      </w:tr>
      <w:tr>
        <w:tc>
          <w:tcPr>
            <w:tcW w:type="dxa" w:w="2608"/>
            <w:shd w:val="clear" w:color="auto" w:fill="F2F0EA"/>
          </w:tcPr>
          <w:p>
            <w:pPr>
              <w:spacing w:after="0" w:line="240" w:lineRule="auto"/>
            </w:pPr>
            <w:r/>
            <w:r>
              <w:rPr>
                <w:b/>
                <w:i w:val="0"/>
                <w:sz w:val="18"/>
              </w:rPr>
              <w:t>Records of title</w:t>
            </w:r>
          </w:p>
        </w:tc>
        <w:tc>
          <w:tcPr>
            <w:tcW w:type="dxa" w:w="7030"/>
          </w:tcPr>
          <w:p>
            <w:pPr>
              <w:spacing w:after="0" w:line="240" w:lineRule="auto"/>
            </w:pPr>
            <w:r/>
            <w:r>
              <w:rPr>
                <w:b w:val="0"/>
                <w:i w:val="0"/>
                <w:sz w:val="18"/>
              </w:rPr>
              <w:t>TNB4/1024, TNE3/648, TNE3/649 (Taranaki Land District)</w:t>
            </w:r>
          </w:p>
        </w:tc>
      </w:tr>
      <w:tr>
        <w:tc>
          <w:tcPr>
            <w:tcW w:type="dxa" w:w="2608"/>
            <w:shd w:val="clear" w:color="auto" w:fill="F2F0EA"/>
          </w:tcPr>
          <w:p>
            <w:pPr>
              <w:spacing w:after="0" w:line="240" w:lineRule="auto"/>
            </w:pPr>
            <w:r/>
            <w:r>
              <w:rPr>
                <w:b/>
                <w:i w:val="0"/>
                <w:sz w:val="18"/>
              </w:rPr>
              <w:t>Title area</w:t>
            </w:r>
          </w:p>
        </w:tc>
        <w:tc>
          <w:tcPr>
            <w:tcW w:type="dxa" w:w="7030"/>
          </w:tcPr>
          <w:p>
            <w:pPr>
              <w:spacing w:after="0" w:line="240" w:lineRule="auto"/>
            </w:pPr>
            <w:r/>
            <w:r>
              <w:rPr>
                <w:b w:val="0"/>
                <w:i w:val="0"/>
                <w:sz w:val="18"/>
              </w:rPr>
              <w:t>1,071.47 ha</w:t>
            </w:r>
          </w:p>
        </w:tc>
      </w:tr>
      <w:tr>
        <w:tc>
          <w:tcPr>
            <w:tcW w:type="dxa" w:w="2608"/>
            <w:shd w:val="clear" w:color="auto" w:fill="F2F0EA"/>
          </w:tcPr>
          <w:p>
            <w:pPr>
              <w:spacing w:after="0" w:line="240" w:lineRule="auto"/>
            </w:pPr>
            <w:r/>
            <w:r>
              <w:rPr>
                <w:b/>
                <w:i w:val="0"/>
                <w:sz w:val="18"/>
              </w:rPr>
              <w:t>Location / address</w:t>
            </w:r>
          </w:p>
        </w:tc>
        <w:tc>
          <w:tcPr>
            <w:tcW w:type="dxa" w:w="7030"/>
          </w:tcPr>
          <w:p>
            <w:pPr>
              <w:spacing w:after="0" w:line="240" w:lineRule="auto"/>
            </w:pPr>
            <w:r/>
            <w:r>
              <w:rPr>
                <w:b w:val="0"/>
                <w:i w:val="0"/>
                <w:sz w:val="18"/>
              </w:rPr>
              <w:t>776–845 Kapara Road, Ngamatapouri (Makowhai 1A, 1B and 2 Blocks)</w:t>
            </w:r>
          </w:p>
        </w:tc>
      </w:tr>
      <w:tr>
        <w:tc>
          <w:tcPr>
            <w:tcW w:type="dxa" w:w="2608"/>
            <w:shd w:val="clear" w:color="auto" w:fill="F2F0EA"/>
          </w:tcPr>
          <w:p>
            <w:pPr>
              <w:spacing w:after="0" w:line="240" w:lineRule="auto"/>
            </w:pPr>
            <w:r/>
            <w:r>
              <w:rPr>
                <w:b/>
                <w:i w:val="0"/>
                <w:sz w:val="18"/>
              </w:rPr>
              <w:t>Territorial authority</w:t>
            </w:r>
          </w:p>
        </w:tc>
        <w:tc>
          <w:tcPr>
            <w:tcW w:type="dxa" w:w="7030"/>
          </w:tcPr>
          <w:p>
            <w:pPr>
              <w:spacing w:after="0" w:line="240" w:lineRule="auto"/>
            </w:pPr>
            <w:r/>
            <w:r>
              <w:rPr>
                <w:b w:val="0"/>
                <w:i w:val="0"/>
                <w:sz w:val="18"/>
              </w:rPr>
              <w:t>South Taranaki District</w:t>
            </w:r>
          </w:p>
        </w:tc>
      </w:tr>
      <w:tr>
        <w:tc>
          <w:tcPr>
            <w:tcW w:type="dxa" w:w="2608"/>
            <w:shd w:val="clear" w:color="auto" w:fill="F2F0EA"/>
          </w:tcPr>
          <w:p>
            <w:pPr>
              <w:spacing w:after="0" w:line="240" w:lineRule="auto"/>
            </w:pPr>
            <w:r/>
            <w:r>
              <w:rPr>
                <w:b/>
                <w:i w:val="0"/>
                <w:sz w:val="18"/>
              </w:rPr>
              <w:t>Regional council</w:t>
            </w:r>
          </w:p>
        </w:tc>
        <w:tc>
          <w:tcPr>
            <w:tcW w:type="dxa" w:w="7030"/>
          </w:tcPr>
          <w:p>
            <w:pPr>
              <w:spacing w:after="0" w:line="240" w:lineRule="auto"/>
            </w:pPr>
            <w:r/>
            <w:r>
              <w:rPr>
                <w:b w:val="0"/>
                <w:i w:val="0"/>
                <w:sz w:val="18"/>
              </w:rPr>
              <w:t>Taranaki Regional Council</w:t>
            </w:r>
          </w:p>
        </w:tc>
      </w:tr>
      <w:tr>
        <w:tc>
          <w:tcPr>
            <w:tcW w:type="dxa" w:w="2608"/>
            <w:shd w:val="clear" w:color="auto" w:fill="F2F0EA"/>
          </w:tcPr>
          <w:p>
            <w:pPr>
              <w:spacing w:after="0" w:line="240" w:lineRule="auto"/>
            </w:pPr>
            <w:r/>
            <w:r>
              <w:rPr>
                <w:b/>
                <w:i w:val="0"/>
                <w:sz w:val="18"/>
              </w:rPr>
              <w:t>Land cover (July 2026 mapping)</w:t>
            </w:r>
          </w:p>
        </w:tc>
        <w:tc>
          <w:tcPr>
            <w:tcW w:type="dxa" w:w="7030"/>
          </w:tcPr>
          <w:p>
            <w:pPr>
              <w:spacing w:after="0" w:line="240" w:lineRule="auto"/>
            </w:pPr>
            <w:r/>
            <w:r>
              <w:rPr>
                <w:b w:val="0"/>
                <w:i w:val="0"/>
                <w:sz w:val="18"/>
              </w:rPr>
              <w:t>Pine / exotic 42.2 ha · Native bush 399.2 ha · Mānuka / kānuka 324.6 ha · Open grassland 302.5 ha</w:t>
            </w:r>
          </w:p>
        </w:tc>
      </w:tr>
      <w:tr>
        <w:tc>
          <w:tcPr>
            <w:tcW w:type="dxa" w:w="2608"/>
            <w:shd w:val="clear" w:color="auto" w:fill="F2F0EA"/>
          </w:tcPr>
          <w:p>
            <w:pPr>
              <w:spacing w:after="0" w:line="240" w:lineRule="auto"/>
            </w:pPr>
            <w:r/>
            <w:r>
              <w:rPr>
                <w:b/>
                <w:i w:val="0"/>
                <w:sz w:val="18"/>
              </w:rPr>
              <w:t>Open grassland by slope</w:t>
            </w:r>
          </w:p>
        </w:tc>
        <w:tc>
          <w:tcPr>
            <w:tcW w:type="dxa" w:w="7030"/>
          </w:tcPr>
          <w:p>
            <w:pPr>
              <w:spacing w:after="0" w:line="240" w:lineRule="auto"/>
            </w:pPr>
            <w:r/>
            <w:r>
              <w:rPr>
                <w:b w:val="0"/>
                <w:i w:val="0"/>
                <w:sz w:val="18"/>
              </w:rPr>
              <w:t>flat 18.2 · rolling 64.4 · medium hill 140.2 · very steep 79.7 ha</w:t>
            </w:r>
          </w:p>
        </w:tc>
      </w:tr>
      <w:tr>
        <w:tc>
          <w:tcPr>
            <w:tcW w:type="dxa" w:w="2608"/>
            <w:shd w:val="clear" w:color="auto" w:fill="F2F0EA"/>
          </w:tcPr>
          <w:p>
            <w:pPr>
              <w:spacing w:after="0" w:line="240" w:lineRule="auto"/>
            </w:pPr>
            <w:r/>
            <w:r>
              <w:rPr>
                <w:b/>
                <w:i w:val="0"/>
                <w:sz w:val="18"/>
              </w:rPr>
              <w:t>Pinus radiata crop (PF Olsen, April 2026)</w:t>
            </w:r>
          </w:p>
        </w:tc>
        <w:tc>
          <w:tcPr>
            <w:tcW w:type="dxa" w:w="7030"/>
          </w:tcPr>
          <w:p>
            <w:pPr>
              <w:spacing w:after="0" w:line="240" w:lineRule="auto"/>
            </w:pPr>
            <w:r/>
            <w:r>
              <w:rPr>
                <w:b w:val="0"/>
                <w:i w:val="0"/>
                <w:sz w:val="18"/>
              </w:rPr>
              <w:t>138 ha planted · 0 ha adequately stocked at April 2026 · 18 ha replant + 20 ha blanking in 2026 · 38 ha adequately stocked after 2026 · 70.0 ha further plantable</w:t>
            </w:r>
          </w:p>
        </w:tc>
      </w:tr>
      <w:tr>
        <w:tc>
          <w:tcPr>
            <w:tcW w:type="dxa" w:w="2608"/>
            <w:shd w:val="clear" w:color="auto" w:fill="F2F0EA"/>
          </w:tcPr>
          <w:p>
            <w:pPr>
              <w:spacing w:after="0" w:line="240" w:lineRule="auto"/>
            </w:pPr>
            <w:r/>
            <w:r>
              <w:rPr>
                <w:b/>
                <w:i w:val="0"/>
                <w:sz w:val="18"/>
              </w:rPr>
              <w:t>ETS carbon accounting areas</w:t>
            </w:r>
          </w:p>
        </w:tc>
        <w:tc>
          <w:tcPr>
            <w:tcW w:type="dxa" w:w="7030"/>
          </w:tcPr>
          <w:p>
            <w:pPr>
              <w:spacing w:after="0" w:line="240" w:lineRule="auto"/>
            </w:pPr>
            <w:r/>
            <w:r>
              <w:rPr>
                <w:b w:val="0"/>
                <w:i w:val="0"/>
                <w:sz w:val="18"/>
              </w:rPr>
              <w:t>Nirvana Farm Limited (forestry-right holder): 111.2 ha, 259 NZUs – 15 CAAs – P. radiata 2023 (25 ha) and 2024 (86 ha), averaging; Makowhai Station (landowner): 24.2 ha – Part of permanent-forest CAA 69 – 1991 indigenous on TNE3/649</w:t>
            </w:r>
          </w:p>
        </w:tc>
      </w:tr>
      <w:tr>
        <w:tc>
          <w:tcPr>
            <w:tcW w:type="dxa" w:w="2608"/>
            <w:shd w:val="clear" w:color="auto" w:fill="F2F0EA"/>
          </w:tcPr>
          <w:p>
            <w:pPr>
              <w:spacing w:after="0" w:line="240" w:lineRule="auto"/>
            </w:pPr>
            <w:r/>
            <w:r>
              <w:rPr>
                <w:b/>
                <w:i w:val="0"/>
                <w:sz w:val="18"/>
              </w:rPr>
              <w:t>Indicatively ETS-eligible land</w:t>
            </w:r>
          </w:p>
        </w:tc>
        <w:tc>
          <w:tcPr>
            <w:tcW w:type="dxa" w:w="7030"/>
          </w:tcPr>
          <w:p>
            <w:pPr>
              <w:spacing w:after="0" w:line="240" w:lineRule="auto"/>
            </w:pPr>
            <w:r/>
            <w:r>
              <w:rPr>
                <w:b w:val="0"/>
                <w:i w:val="0"/>
                <w:sz w:val="18"/>
              </w:rPr>
              <w:t>about 537.3 ha (post-1989 grassland and scrub, MPI to determine)</w:t>
            </w:r>
          </w:p>
        </w:tc>
      </w:tr>
      <w:tr>
        <w:tc>
          <w:tcPr>
            <w:tcW w:type="dxa" w:w="2608"/>
            <w:shd w:val="clear" w:color="auto" w:fill="F2F0EA"/>
          </w:tcPr>
          <w:p>
            <w:pPr>
              <w:spacing w:after="0" w:line="240" w:lineRule="auto"/>
            </w:pPr>
            <w:r/>
            <w:r>
              <w:rPr>
                <w:b/>
                <w:i w:val="0"/>
                <w:sz w:val="18"/>
              </w:rPr>
              <w:t>Leases / occupation</w:t>
            </w:r>
          </w:p>
        </w:tc>
        <w:tc>
          <w:tcPr>
            <w:tcW w:type="dxa" w:w="7030"/>
          </w:tcPr>
          <w:p>
            <w:pPr>
              <w:spacing w:after="0" w:line="240" w:lineRule="auto"/>
            </w:pPr>
            <w:r/>
            <w:r>
              <w:rPr>
                <w:b w:val="0"/>
                <w:i w:val="0"/>
                <w:sz w:val="18"/>
              </w:rPr>
              <w:t>Title TNE3/649 (1,037 ha) within the Pukekahu Farms grazing lease to 31 December 2029 (rent prepaid)</w:t>
            </w:r>
          </w:p>
        </w:tc>
      </w:tr>
      <w:tr>
        <w:tc>
          <w:tcPr>
            <w:tcW w:type="dxa" w:w="2608"/>
            <w:shd w:val="clear" w:color="auto" w:fill="F2F0EA"/>
          </w:tcPr>
          <w:p>
            <w:pPr>
              <w:spacing w:after="0" w:line="240" w:lineRule="auto"/>
            </w:pPr>
            <w:r/>
            <w:r>
              <w:rPr>
                <w:b/>
                <w:i w:val="0"/>
                <w:sz w:val="18"/>
              </w:rPr>
              <w:t>Access</w:t>
            </w:r>
          </w:p>
        </w:tc>
        <w:tc>
          <w:tcPr>
            <w:tcW w:type="dxa" w:w="7030"/>
          </w:tcPr>
          <w:p>
            <w:pPr>
              <w:spacing w:after="0" w:line="240" w:lineRule="auto"/>
            </w:pPr>
            <w:r/>
            <w:r>
              <w:rPr>
                <w:b w:val="0"/>
                <w:i w:val="0"/>
                <w:sz w:val="18"/>
              </w:rPr>
              <w:t>Previously worked through the neighbouring Larson property; the track network through the Matthews/Wallace title is suitable but has a culvert near the end of its life. Access permission needs to be re-secured.</w:t>
            </w:r>
          </w:p>
        </w:tc>
      </w:tr>
      <w:tr>
        <w:tc>
          <w:tcPr>
            <w:tcW w:type="dxa" w:w="2608"/>
            <w:shd w:val="clear" w:color="auto" w:fill="F2F0EA"/>
          </w:tcPr>
          <w:p>
            <w:pPr>
              <w:spacing w:after="0" w:line="240" w:lineRule="auto"/>
            </w:pPr>
            <w:r/>
            <w:r>
              <w:rPr>
                <w:b/>
                <w:i w:val="0"/>
                <w:sz w:val="18"/>
              </w:rPr>
              <w:t>Improvements</w:t>
            </w:r>
          </w:p>
        </w:tc>
        <w:tc>
          <w:tcPr>
            <w:tcW w:type="dxa" w:w="7030"/>
          </w:tcPr>
          <w:p>
            <w:pPr>
              <w:spacing w:after="0" w:line="240" w:lineRule="auto"/>
            </w:pPr>
            <w:r/>
            <w:r>
              <w:rPr>
                <w:b/>
                <w:i w:val="0"/>
                <w:color w:val="B01E1E"/>
                <w:sz w:val="18"/>
              </w:rPr>
              <w:t>[TBC – schedule of buildings]</w:t>
            </w:r>
            <w:r>
              <w:rPr>
                <w:b w:val="0"/>
                <w:i w:val="0"/>
                <w:sz w:val="18"/>
              </w:rPr>
              <w:t xml:space="preserve"> (CBRE Oct 2024 carried $755,000 of improvements)</w:t>
            </w:r>
          </w:p>
        </w:tc>
      </w:tr>
      <w:tr>
        <w:tc>
          <w:tcPr>
            <w:tcW w:type="dxa" w:w="2608"/>
            <w:shd w:val="clear" w:color="auto" w:fill="F2F0EA"/>
          </w:tcPr>
          <w:p>
            <w:pPr>
              <w:spacing w:after="0" w:line="240" w:lineRule="auto"/>
            </w:pPr>
            <w:r/>
            <w:r>
              <w:rPr>
                <w:b/>
                <w:i w:val="0"/>
                <w:sz w:val="18"/>
              </w:rPr>
              <w:t>Rating valuation / rates</w:t>
            </w:r>
          </w:p>
        </w:tc>
        <w:tc>
          <w:tcPr>
            <w:tcW w:type="dxa" w:w="7030"/>
          </w:tcPr>
          <w:p>
            <w:pPr>
              <w:spacing w:after="0" w:line="240" w:lineRule="auto"/>
            </w:pPr>
            <w:r/>
            <w:r>
              <w:rPr>
                <w:b/>
                <w:i w:val="0"/>
                <w:color w:val="B01E1E"/>
                <w:sz w:val="18"/>
              </w:rPr>
              <w:t>[TBC]</w:t>
            </w:r>
          </w:p>
        </w:tc>
      </w:tr>
    </w:tbl>
    <w:p>
      <w:pPr>
        <w:spacing w:after="40"/>
      </w:pPr>
    </w:p>
    <w:p>
      <w:pPr>
        <w:pStyle w:val="Heading3"/>
      </w:pPr>
      <w:r>
        <w:t>Description</w:t>
      </w:r>
    </w:p>
    <w:p>
      <w:r>
        <w:rPr>
          <w:b w:val="0"/>
          <w:i w:val="0"/>
        </w:rPr>
        <w:t>A 1,071 ha hill-country block adjoining Front Farm and the Home Block. About 138 ha was planted in 2023–24, but stand 1.03 has failed to pest damage in heavy scrub and PF Olsen have excluded it from the 2026 programme because of the difficulty of controlling pests and the helicopter-lifting cost. Stand 1.01 is to be replanted (18 ha) and blanked (20 ha), giving about 38 ha of adequately stocked crop after the 2026 season. The property is predominantly native bush and mānuka/kānuka with roughly 300 ha of open grassland, of which about 70 ha has been identified as plantable new ground. Most of the block (title TNE3/649, 1,037 ha) is within the Pukekahu Farms grazing lease to 31 December 2029 and carries one of the leased dwellings.</w:t>
      </w:r>
    </w:p>
    <w:p>
      <w:pPr>
        <w:pStyle w:val="Heading3"/>
      </w:pPr>
      <w:r>
        <w:t>Points to note</w:t>
      </w:r>
    </w:p>
    <w:p>
      <w:pPr>
        <w:pStyle w:val="ListBullet"/>
        <w:spacing w:after="40"/>
      </w:pPr>
      <w:r>
        <w:rPr>
          <w:b w:val="0"/>
          <w:i w:val="0"/>
        </w:rPr>
        <w:t>Stand 1.03 (about 100 ha) is not being remediated; a purchaser may choose to re-establish it with intensive pest control.</w:t>
      </w:r>
    </w:p>
    <w:p>
      <w:pPr>
        <w:pStyle w:val="ListBullet"/>
        <w:spacing w:after="40"/>
      </w:pPr>
      <w:r>
        <w:rPr>
          <w:b w:val="0"/>
          <w:i w:val="0"/>
        </w:rPr>
        <w:t>The Eastern Block lease was granted without the financier's formal consent and could be cleared if required (receivers' advice).</w:t>
      </w:r>
    </w:p>
    <w:p>
      <w:pPr>
        <w:pStyle w:val="ListBullet"/>
        <w:spacing w:after="40"/>
      </w:pPr>
      <w:r>
        <w:rPr>
          <w:b w:val="0"/>
          <w:i w:val="0"/>
        </w:rPr>
        <w:t>About 537 ha of open and scrub land is indicatively ETS-eligible.</w:t>
      </w:r>
    </w:p>
    <w:p>
      <w:pPr>
        <w:pStyle w:val="Heading3"/>
      </w:pPr>
      <w:r>
        <w:t>Items to confirm</w:t>
      </w:r>
    </w:p>
    <w:p>
      <w:pPr>
        <w:pStyle w:val="ListBullet"/>
        <w:spacing w:after="40"/>
      </w:pPr>
      <w:r>
        <w:rPr>
          <w:b/>
          <w:i w:val="0"/>
          <w:color w:val="B01E1E"/>
        </w:rPr>
        <w:t>[TBC]</w:t>
      </w:r>
      <w:r>
        <w:rPr>
          <w:b w:val="0"/>
          <w:i w:val="0"/>
        </w:rPr>
        <w:t xml:space="preserve"> Status of the failed stand 1.03 in the ETS (CAA area and any liability on removal from the register).</w:t>
      </w:r>
    </w:p>
    <w:p>
      <w:pPr>
        <w:pStyle w:val="ListBullet"/>
        <w:spacing w:after="40"/>
      </w:pPr>
      <w:r>
        <w:rPr>
          <w:b/>
          <w:i w:val="0"/>
          <w:color w:val="B01E1E"/>
        </w:rPr>
        <w:t>[TBC]</w:t>
      </w:r>
      <w:r>
        <w:rPr>
          <w:b w:val="0"/>
          <w:i w:val="0"/>
        </w:rPr>
        <w:t xml:space="preserve"> Improvements (CBRE carried $755,000 – dwelling and farm buildings) and the leased dwelling.</w:t>
      </w:r>
    </w:p>
    <w:p>
      <w:pPr>
        <w:pStyle w:val="ListBullet"/>
        <w:spacing w:after="40"/>
      </w:pPr>
      <w:r>
        <w:rPr>
          <w:b/>
          <w:i w:val="0"/>
          <w:color w:val="B01E1E"/>
        </w:rPr>
        <w:t>[TBC]</w:t>
      </w:r>
      <w:r>
        <w:rPr>
          <w:b w:val="0"/>
          <w:i w:val="0"/>
        </w:rPr>
        <w:t xml:space="preserve"> Access arrangement over the Larson property.</w:t>
      </w:r>
    </w:p>
    <w:p>
      <w:r>
        <w:br w:type="page"/>
      </w:r>
    </w:p>
    <w:p>
      <w:pPr>
        <w:pStyle w:val="Heading2"/>
      </w:pPr>
      <w:r>
        <w:t>3.4  Front Farm</w:t>
      </w:r>
    </w:p>
    <w:p>
      <w:pPr>
        <w:spacing w:after="120"/>
      </w:pPr>
      <w:r>
        <w:rPr>
          <w:b w:val="0"/>
          <w:i/>
          <w:color w:val="717D4A"/>
        </w:rPr>
        <w:t>Waitōtara Valley / Ngamatapouri (South Taranaki District) · Pinus radiata block</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4819"/>
        <w:gridCol w:w="4819"/>
      </w:tblGrid>
      <w:tr>
        <w:tc>
          <w:tcPr>
            <w:tcW w:type="dxa" w:w="2608"/>
            <w:shd w:val="clear" w:color="auto" w:fill="F2F0EA"/>
          </w:tcPr>
          <w:p>
            <w:pPr>
              <w:spacing w:after="0" w:line="240" w:lineRule="auto"/>
            </w:pPr>
            <w:r/>
            <w:r>
              <w:rPr>
                <w:b/>
                <w:i w:val="0"/>
                <w:sz w:val="18"/>
              </w:rPr>
              <w:t>Vendor / interest</w:t>
            </w:r>
          </w:p>
        </w:tc>
        <w:tc>
          <w:tcPr>
            <w:tcW w:type="dxa" w:w="7030"/>
          </w:tcPr>
          <w:p>
            <w:pPr>
              <w:spacing w:after="0" w:line="240" w:lineRule="auto"/>
            </w:pPr>
            <w:r/>
            <w:r>
              <w:rPr>
                <w:b w:val="0"/>
                <w:i w:val="0"/>
                <w:sz w:val="18"/>
              </w:rPr>
              <w:t>Trustees of the Makowhai Trust – titles in receivership (A Grenfell and K Johnstone, McGrathNicol)</w:t>
            </w:r>
          </w:p>
        </w:tc>
      </w:tr>
      <w:tr>
        <w:tc>
          <w:tcPr>
            <w:tcW w:type="dxa" w:w="2608"/>
            <w:shd w:val="clear" w:color="auto" w:fill="F2F0EA"/>
          </w:tcPr>
          <w:p>
            <w:pPr>
              <w:spacing w:after="0" w:line="240" w:lineRule="auto"/>
            </w:pPr>
            <w:r/>
            <w:r>
              <w:rPr>
                <w:b/>
                <w:i w:val="0"/>
                <w:sz w:val="18"/>
              </w:rPr>
              <w:t>Records of title</w:t>
            </w:r>
          </w:p>
        </w:tc>
        <w:tc>
          <w:tcPr>
            <w:tcW w:type="dxa" w:w="7030"/>
          </w:tcPr>
          <w:p>
            <w:pPr>
              <w:spacing w:after="0" w:line="240" w:lineRule="auto"/>
            </w:pPr>
            <w:r/>
            <w:r>
              <w:rPr>
                <w:b w:val="0"/>
                <w:i w:val="0"/>
                <w:sz w:val="18"/>
              </w:rPr>
              <w:t>451953, TNF3/564, TNF3/565, TNF3/566, TNF3/567 (Taranaki Land District)</w:t>
            </w:r>
          </w:p>
        </w:tc>
      </w:tr>
      <w:tr>
        <w:tc>
          <w:tcPr>
            <w:tcW w:type="dxa" w:w="2608"/>
            <w:shd w:val="clear" w:color="auto" w:fill="F2F0EA"/>
          </w:tcPr>
          <w:p>
            <w:pPr>
              <w:spacing w:after="0" w:line="240" w:lineRule="auto"/>
            </w:pPr>
            <w:r/>
            <w:r>
              <w:rPr>
                <w:b/>
                <w:i w:val="0"/>
                <w:sz w:val="18"/>
              </w:rPr>
              <w:t>Title area</w:t>
            </w:r>
          </w:p>
        </w:tc>
        <w:tc>
          <w:tcPr>
            <w:tcW w:type="dxa" w:w="7030"/>
          </w:tcPr>
          <w:p>
            <w:pPr>
              <w:spacing w:after="0" w:line="240" w:lineRule="auto"/>
            </w:pPr>
            <w:r/>
            <w:r>
              <w:rPr>
                <w:b w:val="0"/>
                <w:i w:val="0"/>
                <w:sz w:val="18"/>
              </w:rPr>
              <w:t>502.07 ha</w:t>
            </w:r>
          </w:p>
        </w:tc>
      </w:tr>
      <w:tr>
        <w:tc>
          <w:tcPr>
            <w:tcW w:type="dxa" w:w="2608"/>
            <w:shd w:val="clear" w:color="auto" w:fill="F2F0EA"/>
          </w:tcPr>
          <w:p>
            <w:pPr>
              <w:spacing w:after="0" w:line="240" w:lineRule="auto"/>
            </w:pPr>
            <w:r/>
            <w:r>
              <w:rPr>
                <w:b/>
                <w:i w:val="0"/>
                <w:sz w:val="18"/>
              </w:rPr>
              <w:t>Location / address</w:t>
            </w:r>
          </w:p>
        </w:tc>
        <w:tc>
          <w:tcPr>
            <w:tcW w:type="dxa" w:w="7030"/>
          </w:tcPr>
          <w:p>
            <w:pPr>
              <w:spacing w:after="0" w:line="240" w:lineRule="auto"/>
            </w:pPr>
            <w:r/>
            <w:r>
              <w:rPr>
                <w:b w:val="0"/>
                <w:i w:val="0"/>
                <w:sz w:val="18"/>
              </w:rPr>
              <w:t>779–865 Taumatatahi Road, Ngamatapouri</w:t>
            </w:r>
          </w:p>
        </w:tc>
      </w:tr>
      <w:tr>
        <w:tc>
          <w:tcPr>
            <w:tcW w:type="dxa" w:w="2608"/>
            <w:shd w:val="clear" w:color="auto" w:fill="F2F0EA"/>
          </w:tcPr>
          <w:p>
            <w:pPr>
              <w:spacing w:after="0" w:line="240" w:lineRule="auto"/>
            </w:pPr>
            <w:r/>
            <w:r>
              <w:rPr>
                <w:b/>
                <w:i w:val="0"/>
                <w:sz w:val="18"/>
              </w:rPr>
              <w:t>Territorial authority</w:t>
            </w:r>
          </w:p>
        </w:tc>
        <w:tc>
          <w:tcPr>
            <w:tcW w:type="dxa" w:w="7030"/>
          </w:tcPr>
          <w:p>
            <w:pPr>
              <w:spacing w:after="0" w:line="240" w:lineRule="auto"/>
            </w:pPr>
            <w:r/>
            <w:r>
              <w:rPr>
                <w:b w:val="0"/>
                <w:i w:val="0"/>
                <w:sz w:val="18"/>
              </w:rPr>
              <w:t>South Taranaki District</w:t>
            </w:r>
          </w:p>
        </w:tc>
      </w:tr>
      <w:tr>
        <w:tc>
          <w:tcPr>
            <w:tcW w:type="dxa" w:w="2608"/>
            <w:shd w:val="clear" w:color="auto" w:fill="F2F0EA"/>
          </w:tcPr>
          <w:p>
            <w:pPr>
              <w:spacing w:after="0" w:line="240" w:lineRule="auto"/>
            </w:pPr>
            <w:r/>
            <w:r>
              <w:rPr>
                <w:b/>
                <w:i w:val="0"/>
                <w:sz w:val="18"/>
              </w:rPr>
              <w:t>Regional council</w:t>
            </w:r>
          </w:p>
        </w:tc>
        <w:tc>
          <w:tcPr>
            <w:tcW w:type="dxa" w:w="7030"/>
          </w:tcPr>
          <w:p>
            <w:pPr>
              <w:spacing w:after="0" w:line="240" w:lineRule="auto"/>
            </w:pPr>
            <w:r/>
            <w:r>
              <w:rPr>
                <w:b w:val="0"/>
                <w:i w:val="0"/>
                <w:sz w:val="18"/>
              </w:rPr>
              <w:t>Taranaki Regional Council</w:t>
            </w:r>
          </w:p>
        </w:tc>
      </w:tr>
      <w:tr>
        <w:tc>
          <w:tcPr>
            <w:tcW w:type="dxa" w:w="2608"/>
            <w:shd w:val="clear" w:color="auto" w:fill="F2F0EA"/>
          </w:tcPr>
          <w:p>
            <w:pPr>
              <w:spacing w:after="0" w:line="240" w:lineRule="auto"/>
            </w:pPr>
            <w:r/>
            <w:r>
              <w:rPr>
                <w:b/>
                <w:i w:val="0"/>
                <w:sz w:val="18"/>
              </w:rPr>
              <w:t>Land cover (July 2026 mapping)</w:t>
            </w:r>
          </w:p>
        </w:tc>
        <w:tc>
          <w:tcPr>
            <w:tcW w:type="dxa" w:w="7030"/>
          </w:tcPr>
          <w:p>
            <w:pPr>
              <w:spacing w:after="0" w:line="240" w:lineRule="auto"/>
            </w:pPr>
            <w:r/>
            <w:r>
              <w:rPr>
                <w:b w:val="0"/>
                <w:i w:val="0"/>
                <w:sz w:val="18"/>
              </w:rPr>
              <w:t>Pine / exotic 232.2 ha · Native bush 15.6 ha · Mānuka / kānuka 27.2 ha · Open grassland 227.1 ha</w:t>
            </w:r>
          </w:p>
        </w:tc>
      </w:tr>
      <w:tr>
        <w:tc>
          <w:tcPr>
            <w:tcW w:type="dxa" w:w="2608"/>
            <w:shd w:val="clear" w:color="auto" w:fill="F2F0EA"/>
          </w:tcPr>
          <w:p>
            <w:pPr>
              <w:spacing w:after="0" w:line="240" w:lineRule="auto"/>
            </w:pPr>
            <w:r/>
            <w:r>
              <w:rPr>
                <w:b/>
                <w:i w:val="0"/>
                <w:sz w:val="18"/>
              </w:rPr>
              <w:t>Open grassland by slope</w:t>
            </w:r>
          </w:p>
        </w:tc>
        <w:tc>
          <w:tcPr>
            <w:tcW w:type="dxa" w:w="7030"/>
          </w:tcPr>
          <w:p>
            <w:pPr>
              <w:spacing w:after="0" w:line="240" w:lineRule="auto"/>
            </w:pPr>
            <w:r/>
            <w:r>
              <w:rPr>
                <w:b w:val="0"/>
                <w:i w:val="0"/>
                <w:sz w:val="18"/>
              </w:rPr>
              <w:t>flat 45.9 · rolling 85.7 · medium hill 72.4 · very steep 23.1 ha</w:t>
            </w:r>
          </w:p>
        </w:tc>
      </w:tr>
      <w:tr>
        <w:tc>
          <w:tcPr>
            <w:tcW w:type="dxa" w:w="2608"/>
            <w:shd w:val="clear" w:color="auto" w:fill="F2F0EA"/>
          </w:tcPr>
          <w:p>
            <w:pPr>
              <w:spacing w:after="0" w:line="240" w:lineRule="auto"/>
            </w:pPr>
            <w:r/>
            <w:r>
              <w:rPr>
                <w:b/>
                <w:i w:val="0"/>
                <w:sz w:val="18"/>
              </w:rPr>
              <w:t>Pinus radiata crop (PF Olsen, April 2026)</w:t>
            </w:r>
          </w:p>
        </w:tc>
        <w:tc>
          <w:tcPr>
            <w:tcW w:type="dxa" w:w="7030"/>
          </w:tcPr>
          <w:p>
            <w:pPr>
              <w:spacing w:after="0" w:line="240" w:lineRule="auto"/>
            </w:pPr>
            <w:r/>
            <w:r>
              <w:rPr>
                <w:b w:val="0"/>
                <w:i w:val="0"/>
                <w:sz w:val="18"/>
              </w:rPr>
              <w:t>231 ha planted · 184 ha adequately stocked at April 2026 · 12 ha replant + 35 ha blanking in 2026 · 231 ha adequately stocked after 2026 · 140.0 ha further plantable</w:t>
            </w:r>
          </w:p>
        </w:tc>
      </w:tr>
      <w:tr>
        <w:tc>
          <w:tcPr>
            <w:tcW w:type="dxa" w:w="2608"/>
            <w:shd w:val="clear" w:color="auto" w:fill="F2F0EA"/>
          </w:tcPr>
          <w:p>
            <w:pPr>
              <w:spacing w:after="0" w:line="240" w:lineRule="auto"/>
            </w:pPr>
            <w:r/>
            <w:r>
              <w:rPr>
                <w:b/>
                <w:i w:val="0"/>
                <w:sz w:val="18"/>
              </w:rPr>
              <w:t>ETS carbon accounting areas</w:t>
            </w:r>
          </w:p>
        </w:tc>
        <w:tc>
          <w:tcPr>
            <w:tcW w:type="dxa" w:w="7030"/>
          </w:tcPr>
          <w:p>
            <w:pPr>
              <w:spacing w:after="0" w:line="240" w:lineRule="auto"/>
            </w:pPr>
            <w:r/>
            <w:r>
              <w:rPr>
                <w:b w:val="0"/>
                <w:i w:val="0"/>
                <w:sz w:val="18"/>
              </w:rPr>
              <w:t>Nirvana Farm Limited (forestry-right holder): 108.6 ha, 752 NZUs – 2 CAAs – P. radiata 2023, averaging (plus CAA 47 shared with Back Farm, 93 ha); Makowhai Station (landowner): 34.0 ha, 262 NZUs – 3 CAAs – P. radiata 2023, averaging</w:t>
            </w:r>
          </w:p>
        </w:tc>
      </w:tr>
      <w:tr>
        <w:tc>
          <w:tcPr>
            <w:tcW w:type="dxa" w:w="2608"/>
            <w:shd w:val="clear" w:color="auto" w:fill="F2F0EA"/>
          </w:tcPr>
          <w:p>
            <w:pPr>
              <w:spacing w:after="0" w:line="240" w:lineRule="auto"/>
            </w:pPr>
            <w:r/>
            <w:r>
              <w:rPr>
                <w:b/>
                <w:i w:val="0"/>
                <w:sz w:val="18"/>
              </w:rPr>
              <w:t>Indicatively ETS-eligible land</w:t>
            </w:r>
          </w:p>
        </w:tc>
        <w:tc>
          <w:tcPr>
            <w:tcW w:type="dxa" w:w="7030"/>
          </w:tcPr>
          <w:p>
            <w:pPr>
              <w:spacing w:after="0" w:line="240" w:lineRule="auto"/>
            </w:pPr>
            <w:r/>
            <w:r>
              <w:rPr>
                <w:b w:val="0"/>
                <w:i w:val="0"/>
                <w:sz w:val="18"/>
              </w:rPr>
              <w:t>about 234.1 ha (post-1989 grassland and scrub, MPI to determine)</w:t>
            </w:r>
          </w:p>
        </w:tc>
      </w:tr>
      <w:tr>
        <w:tc>
          <w:tcPr>
            <w:tcW w:type="dxa" w:w="2608"/>
            <w:shd w:val="clear" w:color="auto" w:fill="F2F0EA"/>
          </w:tcPr>
          <w:p>
            <w:pPr>
              <w:spacing w:after="0" w:line="240" w:lineRule="auto"/>
            </w:pPr>
            <w:r/>
            <w:r>
              <w:rPr>
                <w:b/>
                <w:i w:val="0"/>
                <w:sz w:val="18"/>
              </w:rPr>
              <w:t>Leases / occupation</w:t>
            </w:r>
          </w:p>
        </w:tc>
        <w:tc>
          <w:tcPr>
            <w:tcW w:type="dxa" w:w="7030"/>
          </w:tcPr>
          <w:p>
            <w:pPr>
              <w:spacing w:after="0" w:line="240" w:lineRule="auto"/>
            </w:pPr>
            <w:r/>
            <w:r>
              <w:rPr>
                <w:b w:val="0"/>
                <w:i w:val="0"/>
                <w:sz w:val="18"/>
              </w:rPr>
              <w:t>Title 451953 (338.6 ha) within the Pukekahu Farms grazing lease to 31 December 2029 (rent prepaid); lessee in occupation</w:t>
            </w:r>
          </w:p>
        </w:tc>
      </w:tr>
      <w:tr>
        <w:tc>
          <w:tcPr>
            <w:tcW w:type="dxa" w:w="2608"/>
            <w:shd w:val="clear" w:color="auto" w:fill="F2F0EA"/>
          </w:tcPr>
          <w:p>
            <w:pPr>
              <w:spacing w:after="0" w:line="240" w:lineRule="auto"/>
            </w:pPr>
            <w:r/>
            <w:r>
              <w:rPr>
                <w:b/>
                <w:i w:val="0"/>
                <w:sz w:val="18"/>
              </w:rPr>
              <w:t>Access</w:t>
            </w:r>
          </w:p>
        </w:tc>
        <w:tc>
          <w:tcPr>
            <w:tcW w:type="dxa" w:w="7030"/>
          </w:tcPr>
          <w:p>
            <w:pPr>
              <w:spacing w:after="0" w:line="240" w:lineRule="auto"/>
            </w:pPr>
            <w:r/>
            <w:r>
              <w:rPr>
                <w:b w:val="0"/>
                <w:i w:val="0"/>
                <w:sz w:val="18"/>
              </w:rPr>
              <w:t>Road frontage to Taumatatahi Road. No tracking work required. Stands 1.01 and 5.01 are reached through the neighbouring Dobson farm on the northern boundary – permission to be obtained.</w:t>
            </w:r>
          </w:p>
        </w:tc>
      </w:tr>
      <w:tr>
        <w:tc>
          <w:tcPr>
            <w:tcW w:type="dxa" w:w="2608"/>
            <w:shd w:val="clear" w:color="auto" w:fill="F2F0EA"/>
          </w:tcPr>
          <w:p>
            <w:pPr>
              <w:spacing w:after="0" w:line="240" w:lineRule="auto"/>
            </w:pPr>
            <w:r/>
            <w:r>
              <w:rPr>
                <w:b/>
                <w:i w:val="0"/>
                <w:sz w:val="18"/>
              </w:rPr>
              <w:t>Improvements</w:t>
            </w:r>
          </w:p>
        </w:tc>
        <w:tc>
          <w:tcPr>
            <w:tcW w:type="dxa" w:w="7030"/>
          </w:tcPr>
          <w:p>
            <w:pPr>
              <w:spacing w:after="0" w:line="240" w:lineRule="auto"/>
            </w:pPr>
            <w:r/>
            <w:r>
              <w:rPr>
                <w:b/>
                <w:i w:val="0"/>
                <w:color w:val="B01E1E"/>
                <w:sz w:val="18"/>
              </w:rPr>
              <w:t>[TBC – schedule of buildings]</w:t>
            </w:r>
            <w:r>
              <w:rPr>
                <w:b w:val="0"/>
                <w:i w:val="0"/>
                <w:sz w:val="18"/>
              </w:rPr>
              <w:t xml:space="preserve"> (CBRE Oct 2024 carried $855,000 of improvements)</w:t>
            </w:r>
          </w:p>
        </w:tc>
      </w:tr>
      <w:tr>
        <w:tc>
          <w:tcPr>
            <w:tcW w:type="dxa" w:w="2608"/>
            <w:shd w:val="clear" w:color="auto" w:fill="F2F0EA"/>
          </w:tcPr>
          <w:p>
            <w:pPr>
              <w:spacing w:after="0" w:line="240" w:lineRule="auto"/>
            </w:pPr>
            <w:r/>
            <w:r>
              <w:rPr>
                <w:b/>
                <w:i w:val="0"/>
                <w:sz w:val="18"/>
              </w:rPr>
              <w:t>Rating valuation / rates</w:t>
            </w:r>
          </w:p>
        </w:tc>
        <w:tc>
          <w:tcPr>
            <w:tcW w:type="dxa" w:w="7030"/>
          </w:tcPr>
          <w:p>
            <w:pPr>
              <w:spacing w:after="0" w:line="240" w:lineRule="auto"/>
            </w:pPr>
            <w:r/>
            <w:r>
              <w:rPr>
                <w:b/>
                <w:i w:val="0"/>
                <w:color w:val="B01E1E"/>
                <w:sz w:val="18"/>
              </w:rPr>
              <w:t>[TBC]</w:t>
            </w:r>
          </w:p>
        </w:tc>
      </w:tr>
    </w:tbl>
    <w:p>
      <w:pPr>
        <w:spacing w:after="40"/>
      </w:pPr>
    </w:p>
    <w:p>
      <w:pPr>
        <w:pStyle w:val="Heading3"/>
      </w:pPr>
      <w:r>
        <w:t>Description</w:t>
      </w:r>
    </w:p>
    <w:p>
      <w:r>
        <w:rPr>
          <w:b w:val="0"/>
          <w:i w:val="0"/>
        </w:rPr>
        <w:t>The most developed farm in the estate: 502 ha on Taumatatahi Road with the highest proportion of easy contour, about 231 ha of 2023 Pinus radiata and some 227 ha of open pasture, 140 ha of which PF Olsen identified as suitable for new planting. Survival is good overall (184 ha adequately stocked) with stand 1.03 needing 12 ha of replanting and 35 ha of blanking, largely from pest and stock damage – the forest was never release-sprayed during establishment. Stock have been grazing inside the stands and need to be removed. The farm (title 451953, 338.6 ha) is within the Pukekahu Farms grazing lease to 31 December 2029 and is occupied by the lessee; CBRE's improvement value of $855,000 indicates the main farm buildings and a dwelling.</w:t>
      </w:r>
    </w:p>
    <w:p>
      <w:pPr>
        <w:pStyle w:val="Heading3"/>
      </w:pPr>
      <w:r>
        <w:t>Points to note</w:t>
      </w:r>
    </w:p>
    <w:p>
      <w:pPr>
        <w:pStyle w:val="ListBullet"/>
        <w:spacing w:after="40"/>
      </w:pPr>
      <w:r>
        <w:rPr>
          <w:b w:val="0"/>
          <w:i w:val="0"/>
        </w:rPr>
        <w:t>About 140 ha of open ground is plantable (ETS eligibility would depend on the registration ballot).</w:t>
      </w:r>
    </w:p>
    <w:p>
      <w:pPr>
        <w:pStyle w:val="ListBullet"/>
        <w:spacing w:after="40"/>
      </w:pPr>
      <w:r>
        <w:rPr>
          <w:b w:val="0"/>
          <w:i w:val="0"/>
        </w:rPr>
        <w:t>Goats have ring-barked trees in the north of stand 1.01; aerial lifting budget of $3,300 is sufficient.</w:t>
      </w:r>
    </w:p>
    <w:p>
      <w:pPr>
        <w:pStyle w:val="Heading3"/>
      </w:pPr>
      <w:r>
        <w:t>Items to confirm</w:t>
      </w:r>
    </w:p>
    <w:p>
      <w:pPr>
        <w:pStyle w:val="ListBullet"/>
        <w:spacing w:after="40"/>
      </w:pPr>
      <w:r>
        <w:rPr>
          <w:b/>
          <w:i w:val="0"/>
          <w:color w:val="B01E1E"/>
        </w:rPr>
        <w:t>[TBC]</w:t>
      </w:r>
      <w:r>
        <w:rPr>
          <w:b w:val="0"/>
          <w:i w:val="0"/>
        </w:rPr>
        <w:t xml:space="preserve"> Dwelling(s), woolshed, yards and other improvements, and who occupies them.</w:t>
      </w:r>
    </w:p>
    <w:p>
      <w:pPr>
        <w:pStyle w:val="ListBullet"/>
        <w:spacing w:after="40"/>
      </w:pPr>
      <w:r>
        <w:rPr>
          <w:b/>
          <w:i w:val="0"/>
          <w:color w:val="B01E1E"/>
        </w:rPr>
        <w:t>[TBC]</w:t>
      </w:r>
      <w:r>
        <w:rPr>
          <w:b w:val="0"/>
          <w:i w:val="0"/>
        </w:rPr>
        <w:t xml:space="preserve"> Fencing between the leased pasture and the planted stands.</w:t>
      </w:r>
    </w:p>
    <w:p>
      <w:r>
        <w:br w:type="page"/>
      </w:r>
    </w:p>
    <w:p>
      <w:pPr>
        <w:pStyle w:val="Heading2"/>
      </w:pPr>
      <w:r>
        <w:t>3.5  Puau Road</w:t>
      </w:r>
    </w:p>
    <w:p>
      <w:pPr>
        <w:spacing w:after="120"/>
      </w:pPr>
      <w:r>
        <w:rPr>
          <w:b w:val="0"/>
          <w:i/>
          <w:color w:val="717D4A"/>
        </w:rPr>
        <w:t>Waverley / Nukumaru coast (South Taranaki – Whanganui boundary) · Pinus radiata block</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4819"/>
        <w:gridCol w:w="4819"/>
      </w:tblGrid>
      <w:tr>
        <w:tc>
          <w:tcPr>
            <w:tcW w:type="dxa" w:w="2608"/>
            <w:shd w:val="clear" w:color="auto" w:fill="F2F0EA"/>
          </w:tcPr>
          <w:p>
            <w:pPr>
              <w:spacing w:after="0" w:line="240" w:lineRule="auto"/>
            </w:pPr>
            <w:r/>
            <w:r>
              <w:rPr>
                <w:b/>
                <w:i w:val="0"/>
                <w:sz w:val="18"/>
              </w:rPr>
              <w:t>Vendor / interest</w:t>
            </w:r>
          </w:p>
        </w:tc>
        <w:tc>
          <w:tcPr>
            <w:tcW w:type="dxa" w:w="7030"/>
          </w:tcPr>
          <w:p>
            <w:pPr>
              <w:spacing w:after="0" w:line="240" w:lineRule="auto"/>
            </w:pPr>
            <w:r/>
            <w:r>
              <w:rPr>
                <w:b w:val="0"/>
                <w:i w:val="0"/>
                <w:sz w:val="18"/>
              </w:rPr>
              <w:t>Nirvana Farm Limited (In Receivership)</w:t>
            </w:r>
          </w:p>
        </w:tc>
      </w:tr>
      <w:tr>
        <w:tc>
          <w:tcPr>
            <w:tcW w:type="dxa" w:w="2608"/>
            <w:shd w:val="clear" w:color="auto" w:fill="F2F0EA"/>
          </w:tcPr>
          <w:p>
            <w:pPr>
              <w:spacing w:after="0" w:line="240" w:lineRule="auto"/>
            </w:pPr>
            <w:r/>
            <w:r>
              <w:rPr>
                <w:b/>
                <w:i w:val="0"/>
                <w:sz w:val="18"/>
              </w:rPr>
              <w:t>Records of title</w:t>
            </w:r>
          </w:p>
        </w:tc>
        <w:tc>
          <w:tcPr>
            <w:tcW w:type="dxa" w:w="7030"/>
          </w:tcPr>
          <w:p>
            <w:pPr>
              <w:spacing w:after="0" w:line="240" w:lineRule="auto"/>
            </w:pPr>
            <w:r/>
            <w:r>
              <w:rPr>
                <w:b w:val="0"/>
                <w:i w:val="0"/>
                <w:sz w:val="18"/>
              </w:rPr>
              <w:t>948076, 948077, WN115/77, WN24A/444 (Wellington Land District)</w:t>
            </w:r>
          </w:p>
        </w:tc>
      </w:tr>
      <w:tr>
        <w:tc>
          <w:tcPr>
            <w:tcW w:type="dxa" w:w="2608"/>
            <w:shd w:val="clear" w:color="auto" w:fill="F2F0EA"/>
          </w:tcPr>
          <w:p>
            <w:pPr>
              <w:spacing w:after="0" w:line="240" w:lineRule="auto"/>
            </w:pPr>
            <w:r/>
            <w:r>
              <w:rPr>
                <w:b/>
                <w:i w:val="0"/>
                <w:sz w:val="18"/>
              </w:rPr>
              <w:t>Title area</w:t>
            </w:r>
          </w:p>
        </w:tc>
        <w:tc>
          <w:tcPr>
            <w:tcW w:type="dxa" w:w="7030"/>
          </w:tcPr>
          <w:p>
            <w:pPr>
              <w:spacing w:after="0" w:line="240" w:lineRule="auto"/>
            </w:pPr>
            <w:r/>
            <w:r>
              <w:rPr>
                <w:b w:val="0"/>
                <w:i w:val="0"/>
                <w:sz w:val="18"/>
              </w:rPr>
              <w:t>1,871.68 ha</w:t>
            </w:r>
          </w:p>
        </w:tc>
      </w:tr>
      <w:tr>
        <w:tc>
          <w:tcPr>
            <w:tcW w:type="dxa" w:w="2608"/>
            <w:shd w:val="clear" w:color="auto" w:fill="F2F0EA"/>
          </w:tcPr>
          <w:p>
            <w:pPr>
              <w:spacing w:after="0" w:line="240" w:lineRule="auto"/>
            </w:pPr>
            <w:r/>
            <w:r>
              <w:rPr>
                <w:b/>
                <w:i w:val="0"/>
                <w:sz w:val="18"/>
              </w:rPr>
              <w:t>Location / address</w:t>
            </w:r>
          </w:p>
        </w:tc>
        <w:tc>
          <w:tcPr>
            <w:tcW w:type="dxa" w:w="7030"/>
          </w:tcPr>
          <w:p>
            <w:pPr>
              <w:spacing w:after="0" w:line="240" w:lineRule="auto"/>
            </w:pPr>
            <w:r/>
            <w:r>
              <w:rPr>
                <w:b w:val="0"/>
                <w:i w:val="0"/>
                <w:sz w:val="18"/>
              </w:rPr>
              <w:t>Puau Road / Waitotara Valley Road, Nukumaru</w:t>
            </w:r>
          </w:p>
        </w:tc>
      </w:tr>
      <w:tr>
        <w:tc>
          <w:tcPr>
            <w:tcW w:type="dxa" w:w="2608"/>
            <w:shd w:val="clear" w:color="auto" w:fill="F2F0EA"/>
          </w:tcPr>
          <w:p>
            <w:pPr>
              <w:spacing w:after="0" w:line="240" w:lineRule="auto"/>
            </w:pPr>
            <w:r/>
            <w:r>
              <w:rPr>
                <w:b/>
                <w:i w:val="0"/>
                <w:sz w:val="18"/>
              </w:rPr>
              <w:t>Territorial authority</w:t>
            </w:r>
          </w:p>
        </w:tc>
        <w:tc>
          <w:tcPr>
            <w:tcW w:type="dxa" w:w="7030"/>
          </w:tcPr>
          <w:p>
            <w:pPr>
              <w:spacing w:after="0" w:line="240" w:lineRule="auto"/>
            </w:pPr>
            <w:r/>
            <w:r>
              <w:rPr>
                <w:b w:val="0"/>
                <w:i w:val="0"/>
                <w:sz w:val="18"/>
              </w:rPr>
              <w:t>South Taranaki District</w:t>
            </w:r>
          </w:p>
        </w:tc>
      </w:tr>
      <w:tr>
        <w:tc>
          <w:tcPr>
            <w:tcW w:type="dxa" w:w="2608"/>
            <w:shd w:val="clear" w:color="auto" w:fill="F2F0EA"/>
          </w:tcPr>
          <w:p>
            <w:pPr>
              <w:spacing w:after="0" w:line="240" w:lineRule="auto"/>
            </w:pPr>
            <w:r/>
            <w:r>
              <w:rPr>
                <w:b/>
                <w:i w:val="0"/>
                <w:sz w:val="18"/>
              </w:rPr>
              <w:t>Regional council</w:t>
            </w:r>
          </w:p>
        </w:tc>
        <w:tc>
          <w:tcPr>
            <w:tcW w:type="dxa" w:w="7030"/>
          </w:tcPr>
          <w:p>
            <w:pPr>
              <w:spacing w:after="0" w:line="240" w:lineRule="auto"/>
            </w:pPr>
            <w:r/>
            <w:r>
              <w:rPr>
                <w:b w:val="0"/>
                <w:i w:val="0"/>
                <w:sz w:val="18"/>
              </w:rPr>
              <w:t>Taranaki Regional Council</w:t>
            </w:r>
          </w:p>
        </w:tc>
      </w:tr>
      <w:tr>
        <w:tc>
          <w:tcPr>
            <w:tcW w:type="dxa" w:w="2608"/>
            <w:shd w:val="clear" w:color="auto" w:fill="F2F0EA"/>
          </w:tcPr>
          <w:p>
            <w:pPr>
              <w:spacing w:after="0" w:line="240" w:lineRule="auto"/>
            </w:pPr>
            <w:r/>
            <w:r>
              <w:rPr>
                <w:b/>
                <w:i w:val="0"/>
                <w:sz w:val="18"/>
              </w:rPr>
              <w:t>Land cover (July 2026 mapping)</w:t>
            </w:r>
          </w:p>
        </w:tc>
        <w:tc>
          <w:tcPr>
            <w:tcW w:type="dxa" w:w="7030"/>
          </w:tcPr>
          <w:p>
            <w:pPr>
              <w:spacing w:after="0" w:line="240" w:lineRule="auto"/>
            </w:pPr>
            <w:r/>
            <w:r>
              <w:rPr>
                <w:b w:val="0"/>
                <w:i w:val="0"/>
                <w:sz w:val="18"/>
              </w:rPr>
              <w:t>Pine / exotic 56.5 ha · Native bush 889.2 ha · Mānuka / kānuka 568.1 ha · Open grassland 357.8 ha</w:t>
            </w:r>
          </w:p>
        </w:tc>
      </w:tr>
      <w:tr>
        <w:tc>
          <w:tcPr>
            <w:tcW w:type="dxa" w:w="2608"/>
            <w:shd w:val="clear" w:color="auto" w:fill="F2F0EA"/>
          </w:tcPr>
          <w:p>
            <w:pPr>
              <w:spacing w:after="0" w:line="240" w:lineRule="auto"/>
            </w:pPr>
            <w:r/>
            <w:r>
              <w:rPr>
                <w:b/>
                <w:i w:val="0"/>
                <w:sz w:val="18"/>
              </w:rPr>
              <w:t>Open grassland by slope</w:t>
            </w:r>
          </w:p>
        </w:tc>
        <w:tc>
          <w:tcPr>
            <w:tcW w:type="dxa" w:w="7030"/>
          </w:tcPr>
          <w:p>
            <w:pPr>
              <w:spacing w:after="0" w:line="240" w:lineRule="auto"/>
            </w:pPr>
            <w:r/>
            <w:r>
              <w:rPr>
                <w:b w:val="0"/>
                <w:i w:val="0"/>
                <w:sz w:val="18"/>
              </w:rPr>
              <w:t>flat 45.1 · rolling 45.5 · medium hill 153.7 · very steep 113.5 ha</w:t>
            </w:r>
          </w:p>
        </w:tc>
      </w:tr>
      <w:tr>
        <w:tc>
          <w:tcPr>
            <w:tcW w:type="dxa" w:w="2608"/>
            <w:shd w:val="clear" w:color="auto" w:fill="F2F0EA"/>
          </w:tcPr>
          <w:p>
            <w:pPr>
              <w:spacing w:after="0" w:line="240" w:lineRule="auto"/>
            </w:pPr>
            <w:r/>
            <w:r>
              <w:rPr>
                <w:b/>
                <w:i w:val="0"/>
                <w:sz w:val="18"/>
              </w:rPr>
              <w:t>Pinus radiata crop (PF Olsen, April 2026)</w:t>
            </w:r>
          </w:p>
        </w:tc>
        <w:tc>
          <w:tcPr>
            <w:tcW w:type="dxa" w:w="7030"/>
          </w:tcPr>
          <w:p>
            <w:pPr>
              <w:spacing w:after="0" w:line="240" w:lineRule="auto"/>
            </w:pPr>
            <w:r/>
            <w:r>
              <w:rPr>
                <w:b w:val="0"/>
                <w:i w:val="0"/>
                <w:sz w:val="18"/>
              </w:rPr>
              <w:t>52 ha planted · 26 ha adequately stocked at April 2026 · 17 ha replant + 8 ha blanking in 2026 · 52 ha adequately stocked after 2026</w:t>
            </w:r>
          </w:p>
        </w:tc>
      </w:tr>
      <w:tr>
        <w:tc>
          <w:tcPr>
            <w:tcW w:type="dxa" w:w="2608"/>
            <w:shd w:val="clear" w:color="auto" w:fill="F2F0EA"/>
          </w:tcPr>
          <w:p>
            <w:pPr>
              <w:spacing w:after="0" w:line="240" w:lineRule="auto"/>
            </w:pPr>
            <w:r/>
            <w:r>
              <w:rPr>
                <w:b/>
                <w:i w:val="0"/>
                <w:sz w:val="18"/>
              </w:rPr>
              <w:t>ETS carbon accounting areas</w:t>
            </w:r>
          </w:p>
        </w:tc>
        <w:tc>
          <w:tcPr>
            <w:tcW w:type="dxa" w:w="7030"/>
          </w:tcPr>
          <w:p>
            <w:pPr>
              <w:spacing w:after="0" w:line="240" w:lineRule="auto"/>
            </w:pPr>
            <w:r/>
            <w:r>
              <w:rPr>
                <w:b w:val="0"/>
                <w:i w:val="0"/>
                <w:sz w:val="18"/>
              </w:rPr>
              <w:t>Nirvana Farm Limited (landowner): 46.1 ha, 139 NZUs – 5 CAAs – P. radiata 2024, averaging (titles WN115/77 and WN24A/444)</w:t>
            </w:r>
          </w:p>
        </w:tc>
      </w:tr>
      <w:tr>
        <w:tc>
          <w:tcPr>
            <w:tcW w:type="dxa" w:w="2608"/>
            <w:shd w:val="clear" w:color="auto" w:fill="F2F0EA"/>
          </w:tcPr>
          <w:p>
            <w:pPr>
              <w:spacing w:after="0" w:line="240" w:lineRule="auto"/>
            </w:pPr>
            <w:r/>
            <w:r>
              <w:rPr>
                <w:b/>
                <w:i w:val="0"/>
                <w:sz w:val="18"/>
              </w:rPr>
              <w:t>Indicatively ETS-eligible land</w:t>
            </w:r>
          </w:p>
        </w:tc>
        <w:tc>
          <w:tcPr>
            <w:tcW w:type="dxa" w:w="7030"/>
          </w:tcPr>
          <w:p>
            <w:pPr>
              <w:spacing w:after="0" w:line="240" w:lineRule="auto"/>
            </w:pPr>
            <w:r/>
            <w:r>
              <w:rPr>
                <w:b w:val="0"/>
                <w:i w:val="0"/>
                <w:sz w:val="18"/>
              </w:rPr>
              <w:t>about 445.0 ha (post-1989 grassland and scrub, MPI to determine)</w:t>
            </w:r>
          </w:p>
        </w:tc>
      </w:tr>
      <w:tr>
        <w:tc>
          <w:tcPr>
            <w:tcW w:type="dxa" w:w="2608"/>
            <w:shd w:val="clear" w:color="auto" w:fill="F2F0EA"/>
          </w:tcPr>
          <w:p>
            <w:pPr>
              <w:spacing w:after="0" w:line="240" w:lineRule="auto"/>
            </w:pPr>
            <w:r/>
            <w:r>
              <w:rPr>
                <w:b/>
                <w:i w:val="0"/>
                <w:sz w:val="18"/>
              </w:rPr>
              <w:t>Leases / occupation</w:t>
            </w:r>
          </w:p>
        </w:tc>
        <w:tc>
          <w:tcPr>
            <w:tcW w:type="dxa" w:w="7030"/>
          </w:tcPr>
          <w:p>
            <w:pPr>
              <w:spacing w:after="0" w:line="240" w:lineRule="auto"/>
            </w:pPr>
            <w:r/>
            <w:r>
              <w:rPr>
                <w:b w:val="0"/>
                <w:i w:val="0"/>
                <w:sz w:val="18"/>
              </w:rPr>
              <w:t>Crown lease 948077 (884 ha) within the Pukekahu Farms grazing lease to 31 December 2029 (rent prepaid)</w:t>
            </w:r>
          </w:p>
        </w:tc>
      </w:tr>
      <w:tr>
        <w:tc>
          <w:tcPr>
            <w:tcW w:type="dxa" w:w="2608"/>
            <w:shd w:val="clear" w:color="auto" w:fill="F2F0EA"/>
          </w:tcPr>
          <w:p>
            <w:pPr>
              <w:spacing w:after="0" w:line="240" w:lineRule="auto"/>
            </w:pPr>
            <w:r/>
            <w:r>
              <w:rPr>
                <w:b/>
                <w:i w:val="0"/>
                <w:sz w:val="18"/>
              </w:rPr>
              <w:t>Access</w:t>
            </w:r>
          </w:p>
        </w:tc>
        <w:tc>
          <w:tcPr>
            <w:tcW w:type="dxa" w:w="7030"/>
          </w:tcPr>
          <w:p>
            <w:pPr>
              <w:spacing w:after="0" w:line="240" w:lineRule="auto"/>
            </w:pPr>
            <w:r/>
            <w:r>
              <w:rPr>
                <w:b w:val="0"/>
                <w:i w:val="0"/>
                <w:sz w:val="18"/>
              </w:rPr>
              <w:t>Worked through the neighbouring Wood Country Limited property – permission required. A small amount of tracking ($2,500) is needed to reopen the main ridge track.</w:t>
            </w:r>
          </w:p>
        </w:tc>
      </w:tr>
      <w:tr>
        <w:tc>
          <w:tcPr>
            <w:tcW w:type="dxa" w:w="2608"/>
            <w:shd w:val="clear" w:color="auto" w:fill="F2F0EA"/>
          </w:tcPr>
          <w:p>
            <w:pPr>
              <w:spacing w:after="0" w:line="240" w:lineRule="auto"/>
            </w:pPr>
            <w:r/>
            <w:r>
              <w:rPr>
                <w:b/>
                <w:i w:val="0"/>
                <w:sz w:val="18"/>
              </w:rPr>
              <w:t>Improvements</w:t>
            </w:r>
          </w:p>
        </w:tc>
        <w:tc>
          <w:tcPr>
            <w:tcW w:type="dxa" w:w="7030"/>
          </w:tcPr>
          <w:p>
            <w:pPr>
              <w:spacing w:after="0" w:line="240" w:lineRule="auto"/>
            </w:pPr>
            <w:r/>
            <w:r>
              <w:rPr>
                <w:b/>
                <w:i w:val="0"/>
                <w:color w:val="B01E1E"/>
                <w:sz w:val="18"/>
              </w:rPr>
              <w:t>[TBC – schedule of buildings]</w:t>
            </w:r>
            <w:r>
              <w:rPr>
                <w:b w:val="0"/>
                <w:i w:val="0"/>
                <w:sz w:val="18"/>
              </w:rPr>
              <w:t xml:space="preserve"> (CBRE Oct 2024 carried $75,000 of improvements)</w:t>
            </w:r>
          </w:p>
        </w:tc>
      </w:tr>
      <w:tr>
        <w:tc>
          <w:tcPr>
            <w:tcW w:type="dxa" w:w="2608"/>
            <w:shd w:val="clear" w:color="auto" w:fill="F2F0EA"/>
          </w:tcPr>
          <w:p>
            <w:pPr>
              <w:spacing w:after="0" w:line="240" w:lineRule="auto"/>
            </w:pPr>
            <w:r/>
            <w:r>
              <w:rPr>
                <w:b/>
                <w:i w:val="0"/>
                <w:sz w:val="18"/>
              </w:rPr>
              <w:t>Rating valuation / rates</w:t>
            </w:r>
          </w:p>
        </w:tc>
        <w:tc>
          <w:tcPr>
            <w:tcW w:type="dxa" w:w="7030"/>
          </w:tcPr>
          <w:p>
            <w:pPr>
              <w:spacing w:after="0" w:line="240" w:lineRule="auto"/>
            </w:pPr>
            <w:r/>
            <w:r>
              <w:rPr>
                <w:b/>
                <w:i w:val="0"/>
                <w:color w:val="B01E1E"/>
                <w:sz w:val="18"/>
              </w:rPr>
              <w:t>[TBC]</w:t>
            </w:r>
          </w:p>
        </w:tc>
      </w:tr>
    </w:tbl>
    <w:p>
      <w:pPr>
        <w:spacing w:after="40"/>
      </w:pPr>
    </w:p>
    <w:p>
      <w:pPr>
        <w:pStyle w:val="Heading3"/>
      </w:pPr>
      <w:r>
        <w:t>Description</w:t>
      </w:r>
    </w:p>
    <w:p>
      <w:r>
        <w:rPr>
          <w:b w:val="0"/>
          <w:i w:val="0"/>
        </w:rPr>
        <w:t>At 1,872 ha Puau Road is the second-largest block but the least developed: about 1,460 ha is native bush and mānuka/kānuka, with 358 ha of open hill country and a 52 ha stand of 2024 radiata on the two freehold titles. Two of the four titles (948076 and 948077, 1,605 ha) are Crown renewable leases under section 82 of the Land Act 1948 for 33 years from 1 July 2020, and 948077 (884 ha) is also within the Pukekahu Farms grazing lease to 31 December 2029. The northern end of stand 1.01 failed to pest and stock damage and is to be replanted (17 ha) with 8 ha of blanking; heavy gorse in the south needs a release spray. About 445 ha of open and scrub land is indicatively ETS-eligible.</w:t>
      </w:r>
    </w:p>
    <w:p>
      <w:pPr>
        <w:pStyle w:val="Heading3"/>
      </w:pPr>
      <w:r>
        <w:t>Points to note</w:t>
      </w:r>
    </w:p>
    <w:p>
      <w:pPr>
        <w:pStyle w:val="ListBullet"/>
        <w:spacing w:after="40"/>
      </w:pPr>
      <w:r>
        <w:rPr>
          <w:b w:val="0"/>
          <w:i w:val="0"/>
        </w:rPr>
        <w:t>Crown lease reassignment is expected to be straightforward (no pine on the leased titles).</w:t>
      </w:r>
    </w:p>
    <w:p>
      <w:pPr>
        <w:pStyle w:val="ListBullet"/>
        <w:spacing w:after="40"/>
      </w:pPr>
      <w:r>
        <w:rPr>
          <w:b w:val="0"/>
          <w:i w:val="0"/>
        </w:rPr>
        <w:t>Goats present at altitude; pest control is essential to the 2026 work.</w:t>
      </w:r>
    </w:p>
    <w:p>
      <w:pPr>
        <w:pStyle w:val="Heading3"/>
      </w:pPr>
      <w:r>
        <w:t>Items to confirm</w:t>
      </w:r>
    </w:p>
    <w:p>
      <w:pPr>
        <w:pStyle w:val="ListBullet"/>
        <w:spacing w:after="40"/>
      </w:pPr>
      <w:r>
        <w:rPr>
          <w:b/>
          <w:i w:val="0"/>
          <w:color w:val="B01E1E"/>
        </w:rPr>
        <w:t>[TBC]</w:t>
      </w:r>
      <w:r>
        <w:rPr>
          <w:b w:val="0"/>
          <w:i w:val="0"/>
        </w:rPr>
        <w:t xml:space="preserve"> Crown lease rent, review dates and consent requirements for assignment.</w:t>
      </w:r>
    </w:p>
    <w:p>
      <w:pPr>
        <w:pStyle w:val="ListBullet"/>
        <w:spacing w:after="40"/>
      </w:pPr>
      <w:r>
        <w:rPr>
          <w:b/>
          <w:i w:val="0"/>
          <w:color w:val="B01E1E"/>
        </w:rPr>
        <w:t>[TBC]</w:t>
      </w:r>
      <w:r>
        <w:rPr>
          <w:b w:val="0"/>
          <w:i w:val="0"/>
        </w:rPr>
        <w:t xml:space="preserve"> Boundary of the Pukekahu Farms lease on 948077 (aerial plan in the lease).</w:t>
      </w:r>
    </w:p>
    <w:p>
      <w:r>
        <w:br w:type="page"/>
      </w:r>
    </w:p>
    <w:p>
      <w:pPr>
        <w:pStyle w:val="Heading2"/>
      </w:pPr>
      <w:r>
        <w:t>3.6  Whangamomona</w:t>
      </w:r>
    </w:p>
    <w:p>
      <w:pPr>
        <w:spacing w:after="120"/>
      </w:pPr>
      <w:r>
        <w:rPr>
          <w:b w:val="0"/>
          <w:i/>
          <w:color w:val="717D4A"/>
        </w:rPr>
        <w:t>Eastern Taranaki – Whangamomona / Mangaehu (Stratford District) · Pinus radiata block</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4819"/>
        <w:gridCol w:w="4819"/>
      </w:tblGrid>
      <w:tr>
        <w:tc>
          <w:tcPr>
            <w:tcW w:type="dxa" w:w="2608"/>
            <w:shd w:val="clear" w:color="auto" w:fill="F2F0EA"/>
          </w:tcPr>
          <w:p>
            <w:pPr>
              <w:spacing w:after="0" w:line="240" w:lineRule="auto"/>
            </w:pPr>
            <w:r/>
            <w:r>
              <w:rPr>
                <w:b/>
                <w:i w:val="0"/>
                <w:sz w:val="18"/>
              </w:rPr>
              <w:t>Vendor / interest</w:t>
            </w:r>
          </w:p>
        </w:tc>
        <w:tc>
          <w:tcPr>
            <w:tcW w:type="dxa" w:w="7030"/>
          </w:tcPr>
          <w:p>
            <w:pPr>
              <w:spacing w:after="0" w:line="240" w:lineRule="auto"/>
            </w:pPr>
            <w:r/>
            <w:r>
              <w:rPr>
                <w:b w:val="0"/>
                <w:i w:val="0"/>
                <w:sz w:val="18"/>
              </w:rPr>
              <w:t>Nirvana Farm Limited (In Receivership)</w:t>
            </w:r>
          </w:p>
        </w:tc>
      </w:tr>
      <w:tr>
        <w:tc>
          <w:tcPr>
            <w:tcW w:type="dxa" w:w="2608"/>
            <w:shd w:val="clear" w:color="auto" w:fill="F2F0EA"/>
          </w:tcPr>
          <w:p>
            <w:pPr>
              <w:spacing w:after="0" w:line="240" w:lineRule="auto"/>
            </w:pPr>
            <w:r/>
            <w:r>
              <w:rPr>
                <w:b/>
                <w:i w:val="0"/>
                <w:sz w:val="18"/>
              </w:rPr>
              <w:t>Records of title</w:t>
            </w:r>
          </w:p>
        </w:tc>
        <w:tc>
          <w:tcPr>
            <w:tcW w:type="dxa" w:w="7030"/>
          </w:tcPr>
          <w:p>
            <w:pPr>
              <w:spacing w:after="0" w:line="240" w:lineRule="auto"/>
            </w:pPr>
            <w:r/>
            <w:r>
              <w:rPr>
                <w:b w:val="0"/>
                <w:i w:val="0"/>
                <w:sz w:val="18"/>
              </w:rPr>
              <w:t>TNK4/628 (Taranaki Land District)</w:t>
            </w:r>
          </w:p>
        </w:tc>
      </w:tr>
      <w:tr>
        <w:tc>
          <w:tcPr>
            <w:tcW w:type="dxa" w:w="2608"/>
            <w:shd w:val="clear" w:color="auto" w:fill="F2F0EA"/>
          </w:tcPr>
          <w:p>
            <w:pPr>
              <w:spacing w:after="0" w:line="240" w:lineRule="auto"/>
            </w:pPr>
            <w:r/>
            <w:r>
              <w:rPr>
                <w:b/>
                <w:i w:val="0"/>
                <w:sz w:val="18"/>
              </w:rPr>
              <w:t>Title area</w:t>
            </w:r>
          </w:p>
        </w:tc>
        <w:tc>
          <w:tcPr>
            <w:tcW w:type="dxa" w:w="7030"/>
          </w:tcPr>
          <w:p>
            <w:pPr>
              <w:spacing w:after="0" w:line="240" w:lineRule="auto"/>
            </w:pPr>
            <w:r/>
            <w:r>
              <w:rPr>
                <w:b w:val="0"/>
                <w:i w:val="0"/>
                <w:sz w:val="18"/>
              </w:rPr>
              <w:t>738.94 ha</w:t>
            </w:r>
          </w:p>
        </w:tc>
      </w:tr>
      <w:tr>
        <w:tc>
          <w:tcPr>
            <w:tcW w:type="dxa" w:w="2608"/>
            <w:shd w:val="clear" w:color="auto" w:fill="F2F0EA"/>
          </w:tcPr>
          <w:p>
            <w:pPr>
              <w:spacing w:after="0" w:line="240" w:lineRule="auto"/>
            </w:pPr>
            <w:r/>
            <w:r>
              <w:rPr>
                <w:b/>
                <w:i w:val="0"/>
                <w:sz w:val="18"/>
              </w:rPr>
              <w:t>Location / address</w:t>
            </w:r>
          </w:p>
        </w:tc>
        <w:tc>
          <w:tcPr>
            <w:tcW w:type="dxa" w:w="7030"/>
          </w:tcPr>
          <w:p>
            <w:pPr>
              <w:spacing w:after="0" w:line="240" w:lineRule="auto"/>
            </w:pPr>
            <w:r/>
            <w:r>
              <w:rPr>
                <w:b w:val="0"/>
                <w:i w:val="0"/>
                <w:sz w:val="18"/>
              </w:rPr>
              <w:t>45–105 Whangamomona Road, Whangamōmona</w:t>
            </w:r>
          </w:p>
        </w:tc>
      </w:tr>
      <w:tr>
        <w:tc>
          <w:tcPr>
            <w:tcW w:type="dxa" w:w="2608"/>
            <w:shd w:val="clear" w:color="auto" w:fill="F2F0EA"/>
          </w:tcPr>
          <w:p>
            <w:pPr>
              <w:spacing w:after="0" w:line="240" w:lineRule="auto"/>
            </w:pPr>
            <w:r/>
            <w:r>
              <w:rPr>
                <w:b/>
                <w:i w:val="0"/>
                <w:sz w:val="18"/>
              </w:rPr>
              <w:t>Territorial authority</w:t>
            </w:r>
          </w:p>
        </w:tc>
        <w:tc>
          <w:tcPr>
            <w:tcW w:type="dxa" w:w="7030"/>
          </w:tcPr>
          <w:p>
            <w:pPr>
              <w:spacing w:after="0" w:line="240" w:lineRule="auto"/>
            </w:pPr>
            <w:r/>
            <w:r>
              <w:rPr>
                <w:b w:val="0"/>
                <w:i w:val="0"/>
                <w:sz w:val="18"/>
              </w:rPr>
              <w:t>Stratford District</w:t>
            </w:r>
          </w:p>
        </w:tc>
      </w:tr>
      <w:tr>
        <w:tc>
          <w:tcPr>
            <w:tcW w:type="dxa" w:w="2608"/>
            <w:shd w:val="clear" w:color="auto" w:fill="F2F0EA"/>
          </w:tcPr>
          <w:p>
            <w:pPr>
              <w:spacing w:after="0" w:line="240" w:lineRule="auto"/>
            </w:pPr>
            <w:r/>
            <w:r>
              <w:rPr>
                <w:b/>
                <w:i w:val="0"/>
                <w:sz w:val="18"/>
              </w:rPr>
              <w:t>Regional council</w:t>
            </w:r>
          </w:p>
        </w:tc>
        <w:tc>
          <w:tcPr>
            <w:tcW w:type="dxa" w:w="7030"/>
          </w:tcPr>
          <w:p>
            <w:pPr>
              <w:spacing w:after="0" w:line="240" w:lineRule="auto"/>
            </w:pPr>
            <w:r/>
            <w:r>
              <w:rPr>
                <w:b w:val="0"/>
                <w:i w:val="0"/>
                <w:sz w:val="18"/>
              </w:rPr>
              <w:t>Taranaki Regional Council</w:t>
            </w:r>
          </w:p>
        </w:tc>
      </w:tr>
      <w:tr>
        <w:tc>
          <w:tcPr>
            <w:tcW w:type="dxa" w:w="2608"/>
            <w:shd w:val="clear" w:color="auto" w:fill="F2F0EA"/>
          </w:tcPr>
          <w:p>
            <w:pPr>
              <w:spacing w:after="0" w:line="240" w:lineRule="auto"/>
            </w:pPr>
            <w:r/>
            <w:r>
              <w:rPr>
                <w:b/>
                <w:i w:val="0"/>
                <w:sz w:val="18"/>
              </w:rPr>
              <w:t>Land cover (July 2026 mapping)</w:t>
            </w:r>
          </w:p>
        </w:tc>
        <w:tc>
          <w:tcPr>
            <w:tcW w:type="dxa" w:w="7030"/>
          </w:tcPr>
          <w:p>
            <w:pPr>
              <w:spacing w:after="0" w:line="240" w:lineRule="auto"/>
            </w:pPr>
            <w:r/>
            <w:r>
              <w:rPr>
                <w:b w:val="0"/>
                <w:i w:val="0"/>
                <w:sz w:val="18"/>
              </w:rPr>
              <w:t>Pine / exotic 355.1 ha · Native bush 123.2 ha · Mānuka / kānuka 176.5 ha · Open grassland 84.1 ha</w:t>
            </w:r>
          </w:p>
        </w:tc>
      </w:tr>
      <w:tr>
        <w:tc>
          <w:tcPr>
            <w:tcW w:type="dxa" w:w="2608"/>
            <w:shd w:val="clear" w:color="auto" w:fill="F2F0EA"/>
          </w:tcPr>
          <w:p>
            <w:pPr>
              <w:spacing w:after="0" w:line="240" w:lineRule="auto"/>
            </w:pPr>
            <w:r/>
            <w:r>
              <w:rPr>
                <w:b/>
                <w:i w:val="0"/>
                <w:sz w:val="18"/>
              </w:rPr>
              <w:t>Open grassland by slope</w:t>
            </w:r>
          </w:p>
        </w:tc>
        <w:tc>
          <w:tcPr>
            <w:tcW w:type="dxa" w:w="7030"/>
          </w:tcPr>
          <w:p>
            <w:pPr>
              <w:spacing w:after="0" w:line="240" w:lineRule="auto"/>
            </w:pPr>
            <w:r/>
            <w:r>
              <w:rPr>
                <w:b w:val="0"/>
                <w:i w:val="0"/>
                <w:sz w:val="18"/>
              </w:rPr>
              <w:t>flat 3.7 · rolling 14.7 · medium hill 37.8 · very steep 28.0 ha</w:t>
            </w:r>
          </w:p>
        </w:tc>
      </w:tr>
      <w:tr>
        <w:tc>
          <w:tcPr>
            <w:tcW w:type="dxa" w:w="2608"/>
            <w:shd w:val="clear" w:color="auto" w:fill="F2F0EA"/>
          </w:tcPr>
          <w:p>
            <w:pPr>
              <w:spacing w:after="0" w:line="240" w:lineRule="auto"/>
            </w:pPr>
            <w:r/>
            <w:r>
              <w:rPr>
                <w:b/>
                <w:i w:val="0"/>
                <w:sz w:val="18"/>
              </w:rPr>
              <w:t>Pinus radiata crop (PF Olsen, April 2026)</w:t>
            </w:r>
          </w:p>
        </w:tc>
        <w:tc>
          <w:tcPr>
            <w:tcW w:type="dxa" w:w="7030"/>
          </w:tcPr>
          <w:p>
            <w:pPr>
              <w:spacing w:after="0" w:line="240" w:lineRule="auto"/>
            </w:pPr>
            <w:r/>
            <w:r>
              <w:rPr>
                <w:b w:val="0"/>
                <w:i w:val="0"/>
                <w:sz w:val="18"/>
              </w:rPr>
              <w:t>355 ha planted · 139 ha adequately stocked at April 2026 · 194 ha replant + 22 ha blanking in 2026 · 355 ha adequately stocked after 2026 · 5.5 ha further plantable</w:t>
            </w:r>
          </w:p>
        </w:tc>
      </w:tr>
      <w:tr>
        <w:tc>
          <w:tcPr>
            <w:tcW w:type="dxa" w:w="2608"/>
            <w:shd w:val="clear" w:color="auto" w:fill="F2F0EA"/>
          </w:tcPr>
          <w:p>
            <w:pPr>
              <w:spacing w:after="0" w:line="240" w:lineRule="auto"/>
            </w:pPr>
            <w:r/>
            <w:r>
              <w:rPr>
                <w:b/>
                <w:i w:val="0"/>
                <w:sz w:val="18"/>
              </w:rPr>
              <w:t>ETS carbon accounting areas</w:t>
            </w:r>
          </w:p>
        </w:tc>
        <w:tc>
          <w:tcPr>
            <w:tcW w:type="dxa" w:w="7030"/>
          </w:tcPr>
          <w:p>
            <w:pPr>
              <w:spacing w:after="0" w:line="240" w:lineRule="auto"/>
            </w:pPr>
            <w:r/>
            <w:r>
              <w:rPr>
                <w:b w:val="0"/>
                <w:i w:val="0"/>
                <w:sz w:val="18"/>
              </w:rPr>
              <w:t>Nirvana Farm Limited (landowner): 308.6 ha, 928 NZUs – 17 CAAs – P. radiata 2024, averaging</w:t>
            </w:r>
          </w:p>
        </w:tc>
      </w:tr>
      <w:tr>
        <w:tc>
          <w:tcPr>
            <w:tcW w:type="dxa" w:w="2608"/>
            <w:shd w:val="clear" w:color="auto" w:fill="F2F0EA"/>
          </w:tcPr>
          <w:p>
            <w:pPr>
              <w:spacing w:after="0" w:line="240" w:lineRule="auto"/>
            </w:pPr>
            <w:r/>
            <w:r>
              <w:rPr>
                <w:b/>
                <w:i w:val="0"/>
                <w:sz w:val="18"/>
              </w:rPr>
              <w:t>Indicatively ETS-eligible land</w:t>
            </w:r>
          </w:p>
        </w:tc>
        <w:tc>
          <w:tcPr>
            <w:tcW w:type="dxa" w:w="7030"/>
          </w:tcPr>
          <w:p>
            <w:pPr>
              <w:spacing w:after="0" w:line="240" w:lineRule="auto"/>
            </w:pPr>
            <w:r/>
            <w:r>
              <w:rPr>
                <w:b w:val="0"/>
                <w:i w:val="0"/>
                <w:sz w:val="18"/>
              </w:rPr>
              <w:t>about 77.9 ha (post-1989 grassland and scrub, MPI to determine)</w:t>
            </w:r>
          </w:p>
        </w:tc>
      </w:tr>
      <w:tr>
        <w:tc>
          <w:tcPr>
            <w:tcW w:type="dxa" w:w="2608"/>
            <w:shd w:val="clear" w:color="auto" w:fill="F2F0EA"/>
          </w:tcPr>
          <w:p>
            <w:pPr>
              <w:spacing w:after="0" w:line="240" w:lineRule="auto"/>
            </w:pPr>
            <w:r/>
            <w:r>
              <w:rPr>
                <w:b/>
                <w:i w:val="0"/>
                <w:sz w:val="18"/>
              </w:rPr>
              <w:t>Leases / occupation</w:t>
            </w:r>
          </w:p>
        </w:tc>
        <w:tc>
          <w:tcPr>
            <w:tcW w:type="dxa" w:w="7030"/>
          </w:tcPr>
          <w:p>
            <w:pPr>
              <w:spacing w:after="0" w:line="240" w:lineRule="auto"/>
            </w:pPr>
            <w:r/>
            <w:r>
              <w:rPr>
                <w:b w:val="0"/>
                <w:i w:val="0"/>
                <w:sz w:val="18"/>
              </w:rPr>
              <w:t xml:space="preserve">None known </w:t>
            </w:r>
            <w:r>
              <w:rPr>
                <w:b/>
                <w:i w:val="0"/>
                <w:color w:val="B01E1E"/>
                <w:sz w:val="18"/>
              </w:rPr>
              <w:t>[TBC]</w:t>
            </w:r>
          </w:p>
        </w:tc>
      </w:tr>
      <w:tr>
        <w:tc>
          <w:tcPr>
            <w:tcW w:type="dxa" w:w="2608"/>
            <w:shd w:val="clear" w:color="auto" w:fill="F2F0EA"/>
          </w:tcPr>
          <w:p>
            <w:pPr>
              <w:spacing w:after="0" w:line="240" w:lineRule="auto"/>
            </w:pPr>
            <w:r/>
            <w:r>
              <w:rPr>
                <w:b/>
                <w:i w:val="0"/>
                <w:sz w:val="18"/>
              </w:rPr>
              <w:t>Access</w:t>
            </w:r>
          </w:p>
        </w:tc>
        <w:tc>
          <w:tcPr>
            <w:tcW w:type="dxa" w:w="7030"/>
          </w:tcPr>
          <w:p>
            <w:pPr>
              <w:spacing w:after="0" w:line="240" w:lineRule="auto"/>
            </w:pPr>
            <w:r/>
            <w:r>
              <w:rPr>
                <w:b w:val="0"/>
                <w:i w:val="0"/>
                <w:sz w:val="18"/>
              </w:rPr>
              <w:t>Road frontage to Whangamomona Road (SH43 Forgotten World Highway). About $8,500 of maintenance tracking needed to restore access to parts of the block; aerial lifting into stand 2.</w:t>
            </w:r>
          </w:p>
        </w:tc>
      </w:tr>
      <w:tr>
        <w:tc>
          <w:tcPr>
            <w:tcW w:type="dxa" w:w="2608"/>
            <w:shd w:val="clear" w:color="auto" w:fill="F2F0EA"/>
          </w:tcPr>
          <w:p>
            <w:pPr>
              <w:spacing w:after="0" w:line="240" w:lineRule="auto"/>
            </w:pPr>
            <w:r/>
            <w:r>
              <w:rPr>
                <w:b/>
                <w:i w:val="0"/>
                <w:sz w:val="18"/>
              </w:rPr>
              <w:t>Improvements</w:t>
            </w:r>
          </w:p>
        </w:tc>
        <w:tc>
          <w:tcPr>
            <w:tcW w:type="dxa" w:w="7030"/>
          </w:tcPr>
          <w:p>
            <w:pPr>
              <w:spacing w:after="0" w:line="240" w:lineRule="auto"/>
            </w:pPr>
            <w:r/>
            <w:r>
              <w:rPr>
                <w:b/>
                <w:i w:val="0"/>
                <w:color w:val="B01E1E"/>
                <w:sz w:val="18"/>
              </w:rPr>
              <w:t>[TBC – schedule of buildings]</w:t>
            </w:r>
            <w:r>
              <w:rPr>
                <w:b w:val="0"/>
                <w:i w:val="0"/>
                <w:sz w:val="18"/>
              </w:rPr>
              <w:t xml:space="preserve"> (CBRE Oct 2024 carried $250,000 of improvements)</w:t>
            </w:r>
          </w:p>
        </w:tc>
      </w:tr>
      <w:tr>
        <w:tc>
          <w:tcPr>
            <w:tcW w:type="dxa" w:w="2608"/>
            <w:shd w:val="clear" w:color="auto" w:fill="F2F0EA"/>
          </w:tcPr>
          <w:p>
            <w:pPr>
              <w:spacing w:after="0" w:line="240" w:lineRule="auto"/>
            </w:pPr>
            <w:r/>
            <w:r>
              <w:rPr>
                <w:b/>
                <w:i w:val="0"/>
                <w:sz w:val="18"/>
              </w:rPr>
              <w:t>Rating valuation / rates</w:t>
            </w:r>
          </w:p>
        </w:tc>
        <w:tc>
          <w:tcPr>
            <w:tcW w:type="dxa" w:w="7030"/>
          </w:tcPr>
          <w:p>
            <w:pPr>
              <w:spacing w:after="0" w:line="240" w:lineRule="auto"/>
            </w:pPr>
            <w:r/>
            <w:r>
              <w:rPr>
                <w:b/>
                <w:i w:val="0"/>
                <w:color w:val="B01E1E"/>
                <w:sz w:val="18"/>
              </w:rPr>
              <w:t>[TBC]</w:t>
            </w:r>
          </w:p>
        </w:tc>
      </w:tr>
    </w:tbl>
    <w:p>
      <w:pPr>
        <w:spacing w:after="40"/>
      </w:pPr>
    </w:p>
    <w:p>
      <w:pPr>
        <w:pStyle w:val="Heading3"/>
      </w:pPr>
      <w:r>
        <w:t>Description</w:t>
      </w:r>
    </w:p>
    <w:p>
      <w:r>
        <w:rPr>
          <w:b w:val="0"/>
          <w:i w:val="0"/>
        </w:rPr>
        <w:t>A single 739 ha title in 21 parcels wrapping around the Whangamomona township on the Forgotten World Highway. About 355 ha of radiata was planted in 2024, of which only 139 ha was adequately stocked at April 2026: stands 2.01 and 2.02 failed to heavy pest pressure and are programmed for 194 ha of replanting, with 22 ha of blanking elsewhere. Dothistroma needle blight is affecting about 150 ha of compartments 1.01 and 1.02 and treatment (about $15,000) was recommended. PF Olsen note the replanted stands remain at high risk and that the 5.5 ha of unplanted ground behind the hotel and under the old power lines should be planted in priority. The remainder of the block is native bush and mānuka/kānuka with about 84 ha of open hill.</w:t>
      </w:r>
    </w:p>
    <w:p>
      <w:pPr>
        <w:pStyle w:val="Heading3"/>
      </w:pPr>
      <w:r>
        <w:t>Points to note</w:t>
      </w:r>
    </w:p>
    <w:p>
      <w:pPr>
        <w:pStyle w:val="ListBullet"/>
        <w:spacing w:after="40"/>
      </w:pPr>
      <w:r>
        <w:rPr>
          <w:b w:val="0"/>
          <w:i w:val="0"/>
        </w:rPr>
        <w:t>Repeated stock incursions have damaged trees; fencing and stock exclusion are needed.</w:t>
      </w:r>
    </w:p>
    <w:p>
      <w:pPr>
        <w:pStyle w:val="ListBullet"/>
        <w:spacing w:after="40"/>
      </w:pPr>
      <w:r>
        <w:rPr>
          <w:b w:val="0"/>
          <w:i w:val="0"/>
        </w:rPr>
        <w:t>The block includes the 46 and 105 Whangamomona Road addresses.</w:t>
      </w:r>
    </w:p>
    <w:p>
      <w:pPr>
        <w:pStyle w:val="Heading3"/>
      </w:pPr>
      <w:r>
        <w:t>Items to confirm</w:t>
      </w:r>
    </w:p>
    <w:p>
      <w:pPr>
        <w:pStyle w:val="ListBullet"/>
        <w:spacing w:after="40"/>
      </w:pPr>
      <w:r>
        <w:rPr>
          <w:b/>
          <w:i w:val="0"/>
          <w:color w:val="B01E1E"/>
        </w:rPr>
        <w:t>[TBC]</w:t>
      </w:r>
      <w:r>
        <w:rPr>
          <w:b w:val="0"/>
          <w:i w:val="0"/>
        </w:rPr>
        <w:t xml:space="preserve"> Improvements (CBRE carried $250,000 – old woolshed and any dwelling) and occupancy.</w:t>
      </w:r>
    </w:p>
    <w:p>
      <w:pPr>
        <w:pStyle w:val="ListBullet"/>
        <w:spacing w:after="40"/>
      </w:pPr>
      <w:r>
        <w:rPr>
          <w:b/>
          <w:i w:val="0"/>
          <w:color w:val="B01E1E"/>
        </w:rPr>
        <w:t>[TBC]</w:t>
      </w:r>
      <w:r>
        <w:rPr>
          <w:b w:val="0"/>
          <w:i w:val="0"/>
        </w:rPr>
        <w:t xml:space="preserve"> Whether the 2026 replanting of stands 2.01/2.02 has been completed.</w:t>
      </w:r>
    </w:p>
    <w:p>
      <w:r>
        <w:br w:type="page"/>
      </w:r>
    </w:p>
    <w:p>
      <w:pPr>
        <w:pStyle w:val="Heading2"/>
      </w:pPr>
      <w:r>
        <w:t>3.7  Soldiers Road (forestry right)</w:t>
      </w:r>
    </w:p>
    <w:p>
      <w:pPr>
        <w:spacing w:after="120"/>
      </w:pPr>
      <w:r>
        <w:rPr>
          <w:b w:val="0"/>
          <w:i/>
          <w:color w:val="717D4A"/>
        </w:rPr>
        <w:t>Eastern Taranaki – Whangamomona / Mangaehu (Stratford District) · Pinus radiata block</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4819"/>
        <w:gridCol w:w="4819"/>
      </w:tblGrid>
      <w:tr>
        <w:tc>
          <w:tcPr>
            <w:tcW w:type="dxa" w:w="2608"/>
            <w:shd w:val="clear" w:color="auto" w:fill="F2F0EA"/>
          </w:tcPr>
          <w:p>
            <w:pPr>
              <w:spacing w:after="0" w:line="240" w:lineRule="auto"/>
            </w:pPr>
            <w:r/>
            <w:r>
              <w:rPr>
                <w:b/>
                <w:i w:val="0"/>
                <w:sz w:val="18"/>
              </w:rPr>
              <w:t>Vendor / interest</w:t>
            </w:r>
          </w:p>
        </w:tc>
        <w:tc>
          <w:tcPr>
            <w:tcW w:type="dxa" w:w="7030"/>
          </w:tcPr>
          <w:p>
            <w:pPr>
              <w:spacing w:after="0" w:line="240" w:lineRule="auto"/>
            </w:pPr>
            <w:r/>
            <w:r>
              <w:rPr>
                <w:b w:val="0"/>
                <w:i w:val="0"/>
                <w:sz w:val="18"/>
              </w:rPr>
              <w:t>Forestry Right 12717687.19 held by Nirvana Farm Limited (In Receivership) – land owned by Land &amp; Bee's Limited (not included)</w:t>
            </w:r>
          </w:p>
        </w:tc>
      </w:tr>
      <w:tr>
        <w:tc>
          <w:tcPr>
            <w:tcW w:type="dxa" w:w="2608"/>
            <w:shd w:val="clear" w:color="auto" w:fill="F2F0EA"/>
          </w:tcPr>
          <w:p>
            <w:pPr>
              <w:spacing w:after="0" w:line="240" w:lineRule="auto"/>
            </w:pPr>
            <w:r/>
            <w:r>
              <w:rPr>
                <w:b/>
                <w:i w:val="0"/>
                <w:sz w:val="18"/>
              </w:rPr>
              <w:t>Records of title</w:t>
            </w:r>
          </w:p>
        </w:tc>
        <w:tc>
          <w:tcPr>
            <w:tcW w:type="dxa" w:w="7030"/>
          </w:tcPr>
          <w:p>
            <w:pPr>
              <w:spacing w:after="0" w:line="240" w:lineRule="auto"/>
            </w:pPr>
            <w:r/>
            <w:r>
              <w:rPr>
                <w:b w:val="0"/>
                <w:i w:val="0"/>
                <w:sz w:val="18"/>
              </w:rPr>
              <w:t>153235 (Land &amp; Bee's Limited – land not included) (Taranaki Land District)</w:t>
            </w:r>
          </w:p>
        </w:tc>
      </w:tr>
      <w:tr>
        <w:tc>
          <w:tcPr>
            <w:tcW w:type="dxa" w:w="2608"/>
            <w:shd w:val="clear" w:color="auto" w:fill="F2F0EA"/>
          </w:tcPr>
          <w:p>
            <w:pPr>
              <w:spacing w:after="0" w:line="240" w:lineRule="auto"/>
            </w:pPr>
            <w:r/>
            <w:r>
              <w:rPr>
                <w:b/>
                <w:i w:val="0"/>
                <w:sz w:val="18"/>
              </w:rPr>
              <w:t>Title area</w:t>
            </w:r>
          </w:p>
        </w:tc>
        <w:tc>
          <w:tcPr>
            <w:tcW w:type="dxa" w:w="7030"/>
          </w:tcPr>
          <w:p>
            <w:pPr>
              <w:spacing w:after="0" w:line="240" w:lineRule="auto"/>
            </w:pPr>
            <w:r/>
            <w:r>
              <w:rPr>
                <w:b w:val="0"/>
                <w:i w:val="0"/>
                <w:sz w:val="18"/>
              </w:rPr>
              <w:t>362.19 ha (forestry right over the whole title; land not included)</w:t>
            </w:r>
          </w:p>
        </w:tc>
      </w:tr>
      <w:tr>
        <w:tc>
          <w:tcPr>
            <w:tcW w:type="dxa" w:w="2608"/>
            <w:shd w:val="clear" w:color="auto" w:fill="F2F0EA"/>
          </w:tcPr>
          <w:p>
            <w:pPr>
              <w:spacing w:after="0" w:line="240" w:lineRule="auto"/>
            </w:pPr>
            <w:r/>
            <w:r>
              <w:rPr>
                <w:b/>
                <w:i w:val="0"/>
                <w:sz w:val="18"/>
              </w:rPr>
              <w:t>Location / address</w:t>
            </w:r>
          </w:p>
        </w:tc>
        <w:tc>
          <w:tcPr>
            <w:tcW w:type="dxa" w:w="7030"/>
          </w:tcPr>
          <w:p>
            <w:pPr>
              <w:spacing w:after="0" w:line="240" w:lineRule="auto"/>
            </w:pPr>
            <w:r/>
            <w:r>
              <w:rPr>
                <w:b w:val="0"/>
                <w:i w:val="0"/>
                <w:sz w:val="18"/>
              </w:rPr>
              <w:t>202 Tuwharenikau Road (Tawhiwhi Settlement)</w:t>
            </w:r>
          </w:p>
        </w:tc>
      </w:tr>
      <w:tr>
        <w:tc>
          <w:tcPr>
            <w:tcW w:type="dxa" w:w="2608"/>
            <w:shd w:val="clear" w:color="auto" w:fill="F2F0EA"/>
          </w:tcPr>
          <w:p>
            <w:pPr>
              <w:spacing w:after="0" w:line="240" w:lineRule="auto"/>
            </w:pPr>
            <w:r/>
            <w:r>
              <w:rPr>
                <w:b/>
                <w:i w:val="0"/>
                <w:sz w:val="18"/>
              </w:rPr>
              <w:t>Territorial authority</w:t>
            </w:r>
          </w:p>
        </w:tc>
        <w:tc>
          <w:tcPr>
            <w:tcW w:type="dxa" w:w="7030"/>
          </w:tcPr>
          <w:p>
            <w:pPr>
              <w:spacing w:after="0" w:line="240" w:lineRule="auto"/>
            </w:pPr>
            <w:r/>
            <w:r>
              <w:rPr>
                <w:b w:val="0"/>
                <w:i w:val="0"/>
                <w:sz w:val="18"/>
              </w:rPr>
              <w:t xml:space="preserve">Stratford District </w:t>
            </w:r>
            <w:r>
              <w:rPr>
                <w:b/>
                <w:i w:val="0"/>
                <w:color w:val="B01E1E"/>
                <w:sz w:val="18"/>
              </w:rPr>
              <w:t>[TBC]</w:t>
            </w:r>
          </w:p>
        </w:tc>
      </w:tr>
      <w:tr>
        <w:tc>
          <w:tcPr>
            <w:tcW w:type="dxa" w:w="2608"/>
            <w:shd w:val="clear" w:color="auto" w:fill="F2F0EA"/>
          </w:tcPr>
          <w:p>
            <w:pPr>
              <w:spacing w:after="0" w:line="240" w:lineRule="auto"/>
            </w:pPr>
            <w:r/>
            <w:r>
              <w:rPr>
                <w:b/>
                <w:i w:val="0"/>
                <w:sz w:val="18"/>
              </w:rPr>
              <w:t>Regional council</w:t>
            </w:r>
          </w:p>
        </w:tc>
        <w:tc>
          <w:tcPr>
            <w:tcW w:type="dxa" w:w="7030"/>
          </w:tcPr>
          <w:p>
            <w:pPr>
              <w:spacing w:after="0" w:line="240" w:lineRule="auto"/>
            </w:pPr>
            <w:r/>
            <w:r>
              <w:rPr>
                <w:b w:val="0"/>
                <w:i w:val="0"/>
                <w:sz w:val="18"/>
              </w:rPr>
              <w:t>Taranaki Regional Council</w:t>
            </w:r>
          </w:p>
        </w:tc>
      </w:tr>
      <w:tr>
        <w:tc>
          <w:tcPr>
            <w:tcW w:type="dxa" w:w="2608"/>
            <w:shd w:val="clear" w:color="auto" w:fill="F2F0EA"/>
          </w:tcPr>
          <w:p>
            <w:pPr>
              <w:spacing w:after="0" w:line="240" w:lineRule="auto"/>
            </w:pPr>
            <w:r/>
            <w:r>
              <w:rPr>
                <w:b/>
                <w:i w:val="0"/>
                <w:sz w:val="18"/>
              </w:rPr>
              <w:t>Land cover (July 2026 mapping)</w:t>
            </w:r>
          </w:p>
        </w:tc>
        <w:tc>
          <w:tcPr>
            <w:tcW w:type="dxa" w:w="7030"/>
          </w:tcPr>
          <w:p>
            <w:pPr>
              <w:spacing w:after="0" w:line="240" w:lineRule="auto"/>
            </w:pPr>
            <w:r/>
            <w:r>
              <w:rPr>
                <w:b w:val="0"/>
                <w:i w:val="0"/>
                <w:sz w:val="18"/>
              </w:rPr>
              <w:t>Pine / exotic 176.1 ha · Native bush 1.4 ha · Mānuka / kānuka 131.3 ha · Open grassland 53.3 ha</w:t>
            </w:r>
          </w:p>
        </w:tc>
      </w:tr>
      <w:tr>
        <w:tc>
          <w:tcPr>
            <w:tcW w:type="dxa" w:w="2608"/>
            <w:shd w:val="clear" w:color="auto" w:fill="F2F0EA"/>
          </w:tcPr>
          <w:p>
            <w:pPr>
              <w:spacing w:after="0" w:line="240" w:lineRule="auto"/>
            </w:pPr>
            <w:r/>
            <w:r>
              <w:rPr>
                <w:b/>
                <w:i w:val="0"/>
                <w:sz w:val="18"/>
              </w:rPr>
              <w:t>Open grassland by slope</w:t>
            </w:r>
          </w:p>
        </w:tc>
        <w:tc>
          <w:tcPr>
            <w:tcW w:type="dxa" w:w="7030"/>
          </w:tcPr>
          <w:p>
            <w:pPr>
              <w:spacing w:after="0" w:line="240" w:lineRule="auto"/>
            </w:pPr>
            <w:r/>
            <w:r>
              <w:rPr>
                <w:b w:val="0"/>
                <w:i w:val="0"/>
                <w:sz w:val="18"/>
              </w:rPr>
              <w:t>flat 4.8 · rolling 14.1 · medium hill 21.1 · very steep 13.3 ha</w:t>
            </w:r>
          </w:p>
        </w:tc>
      </w:tr>
      <w:tr>
        <w:tc>
          <w:tcPr>
            <w:tcW w:type="dxa" w:w="2608"/>
            <w:shd w:val="clear" w:color="auto" w:fill="F2F0EA"/>
          </w:tcPr>
          <w:p>
            <w:pPr>
              <w:spacing w:after="0" w:line="240" w:lineRule="auto"/>
            </w:pPr>
            <w:r/>
            <w:r>
              <w:rPr>
                <w:b/>
                <w:i w:val="0"/>
                <w:sz w:val="18"/>
              </w:rPr>
              <w:t>Pinus radiata crop (PF Olsen, April 2026)</w:t>
            </w:r>
          </w:p>
        </w:tc>
        <w:tc>
          <w:tcPr>
            <w:tcW w:type="dxa" w:w="7030"/>
          </w:tcPr>
          <w:p>
            <w:pPr>
              <w:spacing w:after="0" w:line="240" w:lineRule="auto"/>
            </w:pPr>
            <w:r/>
            <w:r>
              <w:rPr>
                <w:b w:val="0"/>
                <w:i w:val="0"/>
                <w:sz w:val="18"/>
              </w:rPr>
              <w:t>176 ha planted · 50 ha adequately stocked at April 2026 · 88 ha replant + 38 ha blanking in 2026 · 176 ha adequately stocked after 2026</w:t>
            </w:r>
          </w:p>
        </w:tc>
      </w:tr>
      <w:tr>
        <w:tc>
          <w:tcPr>
            <w:tcW w:type="dxa" w:w="2608"/>
            <w:shd w:val="clear" w:color="auto" w:fill="F2F0EA"/>
          </w:tcPr>
          <w:p>
            <w:pPr>
              <w:spacing w:after="0" w:line="240" w:lineRule="auto"/>
            </w:pPr>
            <w:r/>
            <w:r>
              <w:rPr>
                <w:b/>
                <w:i w:val="0"/>
                <w:sz w:val="18"/>
              </w:rPr>
              <w:t>ETS carbon accounting areas</w:t>
            </w:r>
          </w:p>
        </w:tc>
        <w:tc>
          <w:tcPr>
            <w:tcW w:type="dxa" w:w="7030"/>
          </w:tcPr>
          <w:p>
            <w:pPr>
              <w:spacing w:after="0" w:line="240" w:lineRule="auto"/>
            </w:pPr>
            <w:r/>
            <w:r>
              <w:rPr>
                <w:b w:val="0"/>
                <w:i w:val="0"/>
                <w:sz w:val="18"/>
              </w:rPr>
              <w:t>Nirvana Farm Limited (forestry-right holder): 9.6 ha, 59 NZUs – 4 CAAs – P. radiata 2023, averaging. The forestry right describes a carbon accounting area of 160 ha; registration of the balance to be confirmed</w:t>
            </w:r>
          </w:p>
        </w:tc>
      </w:tr>
      <w:tr>
        <w:tc>
          <w:tcPr>
            <w:tcW w:type="dxa" w:w="2608"/>
            <w:shd w:val="clear" w:color="auto" w:fill="F2F0EA"/>
          </w:tcPr>
          <w:p>
            <w:pPr>
              <w:spacing w:after="0" w:line="240" w:lineRule="auto"/>
            </w:pPr>
            <w:r/>
            <w:r>
              <w:rPr>
                <w:b/>
                <w:i w:val="0"/>
                <w:sz w:val="18"/>
              </w:rPr>
              <w:t>Indicatively ETS-eligible land</w:t>
            </w:r>
          </w:p>
        </w:tc>
        <w:tc>
          <w:tcPr>
            <w:tcW w:type="dxa" w:w="7030"/>
          </w:tcPr>
          <w:p>
            <w:pPr>
              <w:spacing w:after="0" w:line="240" w:lineRule="auto"/>
            </w:pPr>
            <w:r/>
            <w:r>
              <w:rPr>
                <w:b w:val="0"/>
                <w:i w:val="0"/>
                <w:sz w:val="18"/>
              </w:rPr>
              <w:t>about 114.3 ha (post-1989 grassland and scrub, MPI to determine)</w:t>
            </w:r>
          </w:p>
        </w:tc>
      </w:tr>
      <w:tr>
        <w:tc>
          <w:tcPr>
            <w:tcW w:type="dxa" w:w="2608"/>
            <w:shd w:val="clear" w:color="auto" w:fill="F2F0EA"/>
          </w:tcPr>
          <w:p>
            <w:pPr>
              <w:spacing w:after="0" w:line="240" w:lineRule="auto"/>
            </w:pPr>
            <w:r/>
            <w:r>
              <w:rPr>
                <w:b/>
                <w:i w:val="0"/>
                <w:sz w:val="18"/>
              </w:rPr>
              <w:t>Leases / occupation</w:t>
            </w:r>
          </w:p>
        </w:tc>
        <w:tc>
          <w:tcPr>
            <w:tcW w:type="dxa" w:w="7030"/>
          </w:tcPr>
          <w:p>
            <w:pPr>
              <w:spacing w:after="0" w:line="240" w:lineRule="auto"/>
            </w:pPr>
            <w:r/>
            <w:r>
              <w:rPr>
                <w:b w:val="0"/>
                <w:i w:val="0"/>
                <w:sz w:val="18"/>
              </w:rPr>
              <w:t xml:space="preserve">None known </w:t>
            </w:r>
            <w:r>
              <w:rPr>
                <w:b/>
                <w:i w:val="0"/>
                <w:color w:val="B01E1E"/>
                <w:sz w:val="18"/>
              </w:rPr>
              <w:t>[TBC]</w:t>
            </w:r>
          </w:p>
        </w:tc>
      </w:tr>
      <w:tr>
        <w:tc>
          <w:tcPr>
            <w:tcW w:type="dxa" w:w="2608"/>
            <w:shd w:val="clear" w:color="auto" w:fill="F2F0EA"/>
          </w:tcPr>
          <w:p>
            <w:pPr>
              <w:spacing w:after="0" w:line="240" w:lineRule="auto"/>
            </w:pPr>
            <w:r/>
            <w:r>
              <w:rPr>
                <w:b/>
                <w:i w:val="0"/>
                <w:sz w:val="18"/>
              </w:rPr>
              <w:t>Access</w:t>
            </w:r>
          </w:p>
        </w:tc>
        <w:tc>
          <w:tcPr>
            <w:tcW w:type="dxa" w:w="7030"/>
          </w:tcPr>
          <w:p>
            <w:pPr>
              <w:spacing w:after="0" w:line="240" w:lineRule="auto"/>
            </w:pPr>
            <w:r/>
            <w:r>
              <w:rPr>
                <w:b w:val="0"/>
                <w:i w:val="0"/>
                <w:sz w:val="18"/>
              </w:rPr>
              <w:t>One internal track through the centre of the block; much of the planted area is reachable only by air for pest control. Aerial lifting budget $8,800 plus $3,300 for chemical.</w:t>
            </w:r>
          </w:p>
        </w:tc>
      </w:tr>
      <w:tr>
        <w:tc>
          <w:tcPr>
            <w:tcW w:type="dxa" w:w="2608"/>
            <w:shd w:val="clear" w:color="auto" w:fill="F2F0EA"/>
          </w:tcPr>
          <w:p>
            <w:pPr>
              <w:spacing w:after="0" w:line="240" w:lineRule="auto"/>
            </w:pPr>
            <w:r/>
            <w:r>
              <w:rPr>
                <w:b/>
                <w:i w:val="0"/>
                <w:sz w:val="18"/>
              </w:rPr>
              <w:t>Improvements</w:t>
            </w:r>
          </w:p>
        </w:tc>
        <w:tc>
          <w:tcPr>
            <w:tcW w:type="dxa" w:w="7030"/>
          </w:tcPr>
          <w:p>
            <w:pPr>
              <w:spacing w:after="0" w:line="240" w:lineRule="auto"/>
            </w:pPr>
            <w:r/>
            <w:r>
              <w:rPr>
                <w:b/>
                <w:i w:val="0"/>
                <w:color w:val="B01E1E"/>
                <w:sz w:val="18"/>
              </w:rPr>
              <w:t>[TBC – schedule of buildings]</w:t>
            </w:r>
          </w:p>
        </w:tc>
      </w:tr>
      <w:tr>
        <w:tc>
          <w:tcPr>
            <w:tcW w:type="dxa" w:w="2608"/>
            <w:shd w:val="clear" w:color="auto" w:fill="F2F0EA"/>
          </w:tcPr>
          <w:p>
            <w:pPr>
              <w:spacing w:after="0" w:line="240" w:lineRule="auto"/>
            </w:pPr>
            <w:r/>
            <w:r>
              <w:rPr>
                <w:b/>
                <w:i w:val="0"/>
                <w:sz w:val="18"/>
              </w:rPr>
              <w:t>Rating valuation / rates</w:t>
            </w:r>
          </w:p>
        </w:tc>
        <w:tc>
          <w:tcPr>
            <w:tcW w:type="dxa" w:w="7030"/>
          </w:tcPr>
          <w:p>
            <w:pPr>
              <w:spacing w:after="0" w:line="240" w:lineRule="auto"/>
            </w:pPr>
            <w:r/>
            <w:r>
              <w:rPr>
                <w:b/>
                <w:i w:val="0"/>
                <w:color w:val="B01E1E"/>
                <w:sz w:val="18"/>
              </w:rPr>
              <w:t>[TBC]</w:t>
            </w:r>
          </w:p>
        </w:tc>
      </w:tr>
    </w:tbl>
    <w:p>
      <w:pPr>
        <w:spacing w:after="40"/>
      </w:pPr>
    </w:p>
    <w:p>
      <w:pPr>
        <w:pStyle w:val="Heading3"/>
      </w:pPr>
      <w:r>
        <w:t>Description</w:t>
      </w:r>
    </w:p>
    <w:p>
      <w:r>
        <w:rPr>
          <w:b w:val="0"/>
          <w:i w:val="0"/>
        </w:rPr>
        <w:t>Offered as a registered forestry right only. Forestry Right 12717687.19 was granted by Land &amp; Bee's Limited to Nirvana Farm Limited over the whole of title 153235 (362 ha) and covers about 176 ha of radiata planted in 2023. PF Olsen found a large part of the crop had failed to pest damage – only 50 ha was adequately stocked – and programmed 88 ha of replanting and 38 ha of blanking for 2026, noting that the scattered fingers of planting among scrub will remain difficult to protect without regular aerial shooting. The land itself is retained by Land &amp; Bee's Limited.</w:t>
      </w:r>
    </w:p>
    <w:p>
      <w:pPr>
        <w:pStyle w:val="Heading3"/>
      </w:pPr>
      <w:r>
        <w:t>Points to note</w:t>
      </w:r>
    </w:p>
    <w:p>
      <w:pPr>
        <w:pStyle w:val="ListBullet"/>
        <w:spacing w:after="40"/>
      </w:pPr>
      <w:r>
        <w:rPr>
          <w:b w:val="0"/>
          <w:i w:val="0"/>
        </w:rPr>
        <w:t>Only the forestry right is for sale; the freehold land is not included.</w:t>
      </w:r>
    </w:p>
    <w:p>
      <w:pPr>
        <w:pStyle w:val="ListBullet"/>
        <w:spacing w:after="40"/>
      </w:pPr>
      <w:r>
        <w:rPr>
          <w:b w:val="0"/>
          <w:i w:val="0"/>
        </w:rPr>
        <w:t>The CBRE report records the 176 ha as ETS-registered with carbon pre-sold to year 14.</w:t>
      </w:r>
    </w:p>
    <w:p>
      <w:pPr>
        <w:pStyle w:val="Heading3"/>
      </w:pPr>
      <w:r>
        <w:t>Items to confirm</w:t>
      </w:r>
    </w:p>
    <w:p>
      <w:pPr>
        <w:pStyle w:val="ListBullet"/>
        <w:spacing w:after="40"/>
      </w:pPr>
      <w:r>
        <w:rPr>
          <w:b/>
          <w:i w:val="0"/>
          <w:color w:val="B01E1E"/>
        </w:rPr>
        <w:t>[TBC]</w:t>
      </w:r>
      <w:r>
        <w:rPr>
          <w:b w:val="0"/>
          <w:i w:val="0"/>
        </w:rPr>
        <w:t xml:space="preserve"> Copy of the forestry right (term, rent, harvest and carbon provisions, access rights).</w:t>
      </w:r>
    </w:p>
    <w:p>
      <w:pPr>
        <w:pStyle w:val="ListBullet"/>
        <w:spacing w:after="40"/>
      </w:pPr>
      <w:r>
        <w:rPr>
          <w:b/>
          <w:i w:val="0"/>
          <w:color w:val="B01E1E"/>
        </w:rPr>
        <w:t>[TBC]</w:t>
      </w:r>
      <w:r>
        <w:rPr>
          <w:b w:val="0"/>
          <w:i w:val="0"/>
        </w:rPr>
        <w:t xml:space="preserve"> Current ETS registration of the full planted area and the unit balance.</w:t>
      </w:r>
    </w:p>
    <w:p>
      <w:pPr>
        <w:pStyle w:val="ListBullet"/>
        <w:spacing w:after="40"/>
      </w:pPr>
      <w:r>
        <w:rPr>
          <w:b/>
          <w:i w:val="0"/>
          <w:color w:val="B01E1E"/>
        </w:rPr>
        <w:t>[TBC]</w:t>
      </w:r>
      <w:r>
        <w:rPr>
          <w:b w:val="0"/>
          <w:i w:val="0"/>
        </w:rPr>
        <w:t xml:space="preserve"> Status of the 2026 replanting.</w:t>
      </w:r>
    </w:p>
    <w:p>
      <w:r>
        <w:br w:type="page"/>
      </w:r>
    </w:p>
    <w:p>
      <w:pPr>
        <w:pStyle w:val="Heading2"/>
      </w:pPr>
      <w:r>
        <w:t>3.8  Staghaven</w:t>
      </w:r>
    </w:p>
    <w:p>
      <w:pPr>
        <w:spacing w:after="120"/>
      </w:pPr>
      <w:r>
        <w:rPr>
          <w:b w:val="0"/>
          <w:i/>
          <w:color w:val="717D4A"/>
        </w:rPr>
        <w:t>Eastern Taranaki – Whangamomona / Mangaehu (Stratford District) · Pinus radiata block</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4819"/>
        <w:gridCol w:w="4819"/>
      </w:tblGrid>
      <w:tr>
        <w:tc>
          <w:tcPr>
            <w:tcW w:type="dxa" w:w="2608"/>
            <w:shd w:val="clear" w:color="auto" w:fill="F2F0EA"/>
          </w:tcPr>
          <w:p>
            <w:pPr>
              <w:spacing w:after="0" w:line="240" w:lineRule="auto"/>
            </w:pPr>
            <w:r/>
            <w:r>
              <w:rPr>
                <w:b/>
                <w:i w:val="0"/>
                <w:sz w:val="18"/>
              </w:rPr>
              <w:t>Vendor / interest</w:t>
            </w:r>
          </w:p>
        </w:tc>
        <w:tc>
          <w:tcPr>
            <w:tcW w:type="dxa" w:w="7030"/>
          </w:tcPr>
          <w:p>
            <w:pPr>
              <w:spacing w:after="0" w:line="240" w:lineRule="auto"/>
            </w:pPr>
            <w:r/>
            <w:r>
              <w:rPr>
                <w:b w:val="0"/>
                <w:i w:val="0"/>
                <w:sz w:val="18"/>
              </w:rPr>
              <w:t>Nirvana Farm Limited (In Receivership)</w:t>
            </w:r>
          </w:p>
        </w:tc>
      </w:tr>
      <w:tr>
        <w:tc>
          <w:tcPr>
            <w:tcW w:type="dxa" w:w="2608"/>
            <w:shd w:val="clear" w:color="auto" w:fill="F2F0EA"/>
          </w:tcPr>
          <w:p>
            <w:pPr>
              <w:spacing w:after="0" w:line="240" w:lineRule="auto"/>
            </w:pPr>
            <w:r/>
            <w:r>
              <w:rPr>
                <w:b/>
                <w:i w:val="0"/>
                <w:sz w:val="18"/>
              </w:rPr>
              <w:t>Records of title</w:t>
            </w:r>
          </w:p>
        </w:tc>
        <w:tc>
          <w:tcPr>
            <w:tcW w:type="dxa" w:w="7030"/>
          </w:tcPr>
          <w:p>
            <w:pPr>
              <w:spacing w:after="0" w:line="240" w:lineRule="auto"/>
            </w:pPr>
            <w:r/>
            <w:r>
              <w:rPr>
                <w:b w:val="0"/>
                <w:i w:val="0"/>
                <w:sz w:val="18"/>
              </w:rPr>
              <w:t>TNH4/186, TN118/45, TNH4/183 (Taranaki Land District)</w:t>
            </w:r>
          </w:p>
        </w:tc>
      </w:tr>
      <w:tr>
        <w:tc>
          <w:tcPr>
            <w:tcW w:type="dxa" w:w="2608"/>
            <w:shd w:val="clear" w:color="auto" w:fill="F2F0EA"/>
          </w:tcPr>
          <w:p>
            <w:pPr>
              <w:spacing w:after="0" w:line="240" w:lineRule="auto"/>
            </w:pPr>
            <w:r/>
            <w:r>
              <w:rPr>
                <w:b/>
                <w:i w:val="0"/>
                <w:sz w:val="18"/>
              </w:rPr>
              <w:t>Title area</w:t>
            </w:r>
          </w:p>
        </w:tc>
        <w:tc>
          <w:tcPr>
            <w:tcW w:type="dxa" w:w="7030"/>
          </w:tcPr>
          <w:p>
            <w:pPr>
              <w:spacing w:after="0" w:line="240" w:lineRule="auto"/>
            </w:pPr>
            <w:r/>
            <w:r>
              <w:rPr>
                <w:b w:val="0"/>
                <w:i w:val="0"/>
                <w:sz w:val="18"/>
              </w:rPr>
              <w:t>295.55 ha</w:t>
            </w:r>
          </w:p>
        </w:tc>
      </w:tr>
      <w:tr>
        <w:tc>
          <w:tcPr>
            <w:tcW w:type="dxa" w:w="2608"/>
            <w:shd w:val="clear" w:color="auto" w:fill="F2F0EA"/>
          </w:tcPr>
          <w:p>
            <w:pPr>
              <w:spacing w:after="0" w:line="240" w:lineRule="auto"/>
            </w:pPr>
            <w:r/>
            <w:r>
              <w:rPr>
                <w:b/>
                <w:i w:val="0"/>
                <w:sz w:val="18"/>
              </w:rPr>
              <w:t>Location / address</w:t>
            </w:r>
          </w:p>
        </w:tc>
        <w:tc>
          <w:tcPr>
            <w:tcW w:type="dxa" w:w="7030"/>
          </w:tcPr>
          <w:p>
            <w:pPr>
              <w:spacing w:after="0" w:line="240" w:lineRule="auto"/>
            </w:pPr>
            <w:r/>
            <w:r>
              <w:rPr>
                <w:b w:val="0"/>
                <w:i w:val="0"/>
                <w:sz w:val="18"/>
              </w:rPr>
              <w:t>694 Mangaehu Road, Puniwhakau</w:t>
            </w:r>
          </w:p>
        </w:tc>
      </w:tr>
      <w:tr>
        <w:tc>
          <w:tcPr>
            <w:tcW w:type="dxa" w:w="2608"/>
            <w:shd w:val="clear" w:color="auto" w:fill="F2F0EA"/>
          </w:tcPr>
          <w:p>
            <w:pPr>
              <w:spacing w:after="0" w:line="240" w:lineRule="auto"/>
            </w:pPr>
            <w:r/>
            <w:r>
              <w:rPr>
                <w:b/>
                <w:i w:val="0"/>
                <w:sz w:val="18"/>
              </w:rPr>
              <w:t>Territorial authority</w:t>
            </w:r>
          </w:p>
        </w:tc>
        <w:tc>
          <w:tcPr>
            <w:tcW w:type="dxa" w:w="7030"/>
          </w:tcPr>
          <w:p>
            <w:pPr>
              <w:spacing w:after="0" w:line="240" w:lineRule="auto"/>
            </w:pPr>
            <w:r/>
            <w:r>
              <w:rPr>
                <w:b w:val="0"/>
                <w:i w:val="0"/>
                <w:sz w:val="18"/>
              </w:rPr>
              <w:t>Stratford District</w:t>
            </w:r>
          </w:p>
        </w:tc>
      </w:tr>
      <w:tr>
        <w:tc>
          <w:tcPr>
            <w:tcW w:type="dxa" w:w="2608"/>
            <w:shd w:val="clear" w:color="auto" w:fill="F2F0EA"/>
          </w:tcPr>
          <w:p>
            <w:pPr>
              <w:spacing w:after="0" w:line="240" w:lineRule="auto"/>
            </w:pPr>
            <w:r/>
            <w:r>
              <w:rPr>
                <w:b/>
                <w:i w:val="0"/>
                <w:sz w:val="18"/>
              </w:rPr>
              <w:t>Regional council</w:t>
            </w:r>
          </w:p>
        </w:tc>
        <w:tc>
          <w:tcPr>
            <w:tcW w:type="dxa" w:w="7030"/>
          </w:tcPr>
          <w:p>
            <w:pPr>
              <w:spacing w:after="0" w:line="240" w:lineRule="auto"/>
            </w:pPr>
            <w:r/>
            <w:r>
              <w:rPr>
                <w:b w:val="0"/>
                <w:i w:val="0"/>
                <w:sz w:val="18"/>
              </w:rPr>
              <w:t>Taranaki Regional Council</w:t>
            </w:r>
          </w:p>
        </w:tc>
      </w:tr>
      <w:tr>
        <w:tc>
          <w:tcPr>
            <w:tcW w:type="dxa" w:w="2608"/>
            <w:shd w:val="clear" w:color="auto" w:fill="F2F0EA"/>
          </w:tcPr>
          <w:p>
            <w:pPr>
              <w:spacing w:after="0" w:line="240" w:lineRule="auto"/>
            </w:pPr>
            <w:r/>
            <w:r>
              <w:rPr>
                <w:b/>
                <w:i w:val="0"/>
                <w:sz w:val="18"/>
              </w:rPr>
              <w:t>Land cover (July 2026 mapping)</w:t>
            </w:r>
          </w:p>
        </w:tc>
        <w:tc>
          <w:tcPr>
            <w:tcW w:type="dxa" w:w="7030"/>
          </w:tcPr>
          <w:p>
            <w:pPr>
              <w:spacing w:after="0" w:line="240" w:lineRule="auto"/>
            </w:pPr>
            <w:r/>
            <w:r>
              <w:rPr>
                <w:b w:val="0"/>
                <w:i w:val="0"/>
                <w:sz w:val="18"/>
              </w:rPr>
              <w:t>Pine / exotic 131.8 ha · Native bush 87.9 ha · Mānuka / kānuka 12.0 ha · Open grassland 65.0 ha</w:t>
            </w:r>
          </w:p>
        </w:tc>
      </w:tr>
      <w:tr>
        <w:tc>
          <w:tcPr>
            <w:tcW w:type="dxa" w:w="2608"/>
            <w:shd w:val="clear" w:color="auto" w:fill="F2F0EA"/>
          </w:tcPr>
          <w:p>
            <w:pPr>
              <w:spacing w:after="0" w:line="240" w:lineRule="auto"/>
            </w:pPr>
            <w:r/>
            <w:r>
              <w:rPr>
                <w:b/>
                <w:i w:val="0"/>
                <w:sz w:val="18"/>
              </w:rPr>
              <w:t>Open grassland by slope</w:t>
            </w:r>
          </w:p>
        </w:tc>
        <w:tc>
          <w:tcPr>
            <w:tcW w:type="dxa" w:w="7030"/>
          </w:tcPr>
          <w:p>
            <w:pPr>
              <w:spacing w:after="0" w:line="240" w:lineRule="auto"/>
            </w:pPr>
            <w:r/>
            <w:r>
              <w:rPr>
                <w:b w:val="0"/>
                <w:i w:val="0"/>
                <w:sz w:val="18"/>
              </w:rPr>
              <w:t>flat 0.0 · rolling 19.6 · medium hill 45.4 · very steep 0.0 ha</w:t>
            </w:r>
          </w:p>
        </w:tc>
      </w:tr>
      <w:tr>
        <w:tc>
          <w:tcPr>
            <w:tcW w:type="dxa" w:w="2608"/>
            <w:shd w:val="clear" w:color="auto" w:fill="F2F0EA"/>
          </w:tcPr>
          <w:p>
            <w:pPr>
              <w:spacing w:after="0" w:line="240" w:lineRule="auto"/>
            </w:pPr>
            <w:r/>
            <w:r>
              <w:rPr>
                <w:b/>
                <w:i w:val="0"/>
                <w:sz w:val="18"/>
              </w:rPr>
              <w:t>Pinus radiata crop (PF Olsen, April 2026)</w:t>
            </w:r>
          </w:p>
        </w:tc>
        <w:tc>
          <w:tcPr>
            <w:tcW w:type="dxa" w:w="7030"/>
          </w:tcPr>
          <w:p>
            <w:pPr>
              <w:spacing w:after="0" w:line="240" w:lineRule="auto"/>
            </w:pPr>
            <w:r/>
            <w:r>
              <w:rPr>
                <w:b w:val="0"/>
                <w:i w:val="0"/>
                <w:sz w:val="18"/>
              </w:rPr>
              <w:t>83 ha planted · 83 ha adequately stocked at April 2026 · 0 ha replant + 0 ha blanking in 2026 · 83 ha adequately stocked after 2026</w:t>
            </w:r>
          </w:p>
        </w:tc>
      </w:tr>
      <w:tr>
        <w:tc>
          <w:tcPr>
            <w:tcW w:type="dxa" w:w="2608"/>
            <w:shd w:val="clear" w:color="auto" w:fill="F2F0EA"/>
          </w:tcPr>
          <w:p>
            <w:pPr>
              <w:spacing w:after="0" w:line="240" w:lineRule="auto"/>
            </w:pPr>
            <w:r/>
            <w:r>
              <w:rPr>
                <w:b/>
                <w:i w:val="0"/>
                <w:sz w:val="18"/>
              </w:rPr>
              <w:t>ETS carbon accounting areas</w:t>
            </w:r>
          </w:p>
        </w:tc>
        <w:tc>
          <w:tcPr>
            <w:tcW w:type="dxa" w:w="7030"/>
          </w:tcPr>
          <w:p>
            <w:pPr>
              <w:spacing w:after="0" w:line="240" w:lineRule="auto"/>
            </w:pPr>
            <w:r/>
            <w:r>
              <w:rPr>
                <w:b w:val="0"/>
                <w:i w:val="0"/>
                <w:sz w:val="18"/>
              </w:rPr>
              <w:t>Nirvana Farm Limited (landowner): 60.9 ha, 4,654 NZUs – 7 CAAs – P. radiata 2024, averaging (unit balance includes the 2011 stands); Nirvana Farm Limited (landowner): 21.6 ha – 5 CAAs – P. radiata 2011, stock change, registered April 2022 (units included above)</w:t>
            </w:r>
          </w:p>
        </w:tc>
      </w:tr>
      <w:tr>
        <w:tc>
          <w:tcPr>
            <w:tcW w:type="dxa" w:w="2608"/>
            <w:shd w:val="clear" w:color="auto" w:fill="F2F0EA"/>
          </w:tcPr>
          <w:p>
            <w:pPr>
              <w:spacing w:after="0" w:line="240" w:lineRule="auto"/>
            </w:pPr>
            <w:r/>
            <w:r>
              <w:rPr>
                <w:b/>
                <w:i w:val="0"/>
                <w:sz w:val="18"/>
              </w:rPr>
              <w:t>Indicatively ETS-eligible land</w:t>
            </w:r>
          </w:p>
        </w:tc>
        <w:tc>
          <w:tcPr>
            <w:tcW w:type="dxa" w:w="7030"/>
          </w:tcPr>
          <w:p>
            <w:pPr>
              <w:spacing w:after="0" w:line="240" w:lineRule="auto"/>
            </w:pPr>
            <w:r/>
            <w:r>
              <w:rPr>
                <w:b w:val="0"/>
                <w:i w:val="0"/>
                <w:sz w:val="18"/>
              </w:rPr>
              <w:t>about 26.2 ha (post-1989 grassland and scrub, MPI to determine)</w:t>
            </w:r>
          </w:p>
        </w:tc>
      </w:tr>
      <w:tr>
        <w:tc>
          <w:tcPr>
            <w:tcW w:type="dxa" w:w="2608"/>
            <w:shd w:val="clear" w:color="auto" w:fill="F2F0EA"/>
          </w:tcPr>
          <w:p>
            <w:pPr>
              <w:spacing w:after="0" w:line="240" w:lineRule="auto"/>
            </w:pPr>
            <w:r/>
            <w:r>
              <w:rPr>
                <w:b/>
                <w:i w:val="0"/>
                <w:sz w:val="18"/>
              </w:rPr>
              <w:t>Leases / occupation</w:t>
            </w:r>
          </w:p>
        </w:tc>
        <w:tc>
          <w:tcPr>
            <w:tcW w:type="dxa" w:w="7030"/>
          </w:tcPr>
          <w:p>
            <w:pPr>
              <w:spacing w:after="0" w:line="240" w:lineRule="auto"/>
            </w:pPr>
            <w:r/>
            <w:r>
              <w:rPr>
                <w:b w:val="0"/>
                <w:i w:val="0"/>
                <w:sz w:val="18"/>
              </w:rPr>
              <w:t xml:space="preserve">None known </w:t>
            </w:r>
            <w:r>
              <w:rPr>
                <w:b/>
                <w:i w:val="0"/>
                <w:color w:val="B01E1E"/>
                <w:sz w:val="18"/>
              </w:rPr>
              <w:t>[TBC]</w:t>
            </w:r>
          </w:p>
        </w:tc>
      </w:tr>
      <w:tr>
        <w:tc>
          <w:tcPr>
            <w:tcW w:type="dxa" w:w="2608"/>
            <w:shd w:val="clear" w:color="auto" w:fill="F2F0EA"/>
          </w:tcPr>
          <w:p>
            <w:pPr>
              <w:spacing w:after="0" w:line="240" w:lineRule="auto"/>
            </w:pPr>
            <w:r/>
            <w:r>
              <w:rPr>
                <w:b/>
                <w:i w:val="0"/>
                <w:sz w:val="18"/>
              </w:rPr>
              <w:t>Access</w:t>
            </w:r>
          </w:p>
        </w:tc>
        <w:tc>
          <w:tcPr>
            <w:tcW w:type="dxa" w:w="7030"/>
          </w:tcPr>
          <w:p>
            <w:pPr>
              <w:spacing w:after="0" w:line="240" w:lineRule="auto"/>
            </w:pPr>
            <w:r/>
            <w:r>
              <w:rPr>
                <w:b w:val="0"/>
                <w:i w:val="0"/>
                <w:sz w:val="18"/>
              </w:rPr>
              <w:t>Road frontage to Mangaehu Road.</w:t>
            </w:r>
          </w:p>
        </w:tc>
      </w:tr>
      <w:tr>
        <w:tc>
          <w:tcPr>
            <w:tcW w:type="dxa" w:w="2608"/>
            <w:shd w:val="clear" w:color="auto" w:fill="F2F0EA"/>
          </w:tcPr>
          <w:p>
            <w:pPr>
              <w:spacing w:after="0" w:line="240" w:lineRule="auto"/>
            </w:pPr>
            <w:r/>
            <w:r>
              <w:rPr>
                <w:b/>
                <w:i w:val="0"/>
                <w:sz w:val="18"/>
              </w:rPr>
              <w:t>Improvements</w:t>
            </w:r>
          </w:p>
        </w:tc>
        <w:tc>
          <w:tcPr>
            <w:tcW w:type="dxa" w:w="7030"/>
          </w:tcPr>
          <w:p>
            <w:pPr>
              <w:spacing w:after="0" w:line="240" w:lineRule="auto"/>
            </w:pPr>
            <w:r/>
            <w:r>
              <w:rPr>
                <w:b/>
                <w:i w:val="0"/>
                <w:color w:val="B01E1E"/>
                <w:sz w:val="18"/>
              </w:rPr>
              <w:t>[TBC – schedule of buildings]</w:t>
            </w:r>
            <w:r>
              <w:rPr>
                <w:b w:val="0"/>
                <w:i w:val="0"/>
                <w:sz w:val="18"/>
              </w:rPr>
              <w:t xml:space="preserve"> (CBRE Oct 2024 carried $50,000 of improvements)</w:t>
            </w:r>
          </w:p>
        </w:tc>
      </w:tr>
      <w:tr>
        <w:tc>
          <w:tcPr>
            <w:tcW w:type="dxa" w:w="2608"/>
            <w:shd w:val="clear" w:color="auto" w:fill="F2F0EA"/>
          </w:tcPr>
          <w:p>
            <w:pPr>
              <w:spacing w:after="0" w:line="240" w:lineRule="auto"/>
            </w:pPr>
            <w:r/>
            <w:r>
              <w:rPr>
                <w:b/>
                <w:i w:val="0"/>
                <w:sz w:val="18"/>
              </w:rPr>
              <w:t>Rating valuation / rates</w:t>
            </w:r>
          </w:p>
        </w:tc>
        <w:tc>
          <w:tcPr>
            <w:tcW w:type="dxa" w:w="7030"/>
          </w:tcPr>
          <w:p>
            <w:pPr>
              <w:spacing w:after="0" w:line="240" w:lineRule="auto"/>
            </w:pPr>
            <w:r/>
            <w:r>
              <w:rPr>
                <w:b/>
                <w:i w:val="0"/>
                <w:color w:val="B01E1E"/>
                <w:sz w:val="18"/>
              </w:rPr>
              <w:t>[TBC]</w:t>
            </w:r>
          </w:p>
        </w:tc>
      </w:tr>
    </w:tbl>
    <w:p>
      <w:pPr>
        <w:spacing w:after="40"/>
      </w:pPr>
    </w:p>
    <w:p>
      <w:pPr>
        <w:pStyle w:val="Heading3"/>
      </w:pPr>
      <w:r>
        <w:t>Description</w:t>
      </w:r>
    </w:p>
    <w:p>
      <w:r>
        <w:rPr>
          <w:b w:val="0"/>
          <w:i w:val="0"/>
        </w:rPr>
        <w:t>Three titles totalling 296 ha on Mangaehu Road east of Stratford. About 83 ha of radiata was planted in 2024 on top of some 49 ha of older exotic forest including 2011 stands registered in the ETS; PF Olsen found near-100% survival and no remediation is required. The balance is native bush and about 65 ha of rolling to medium-hill pasture. The fourth Staghaven title (TNH4/170, 156 ha), which carries the homestead, has been sold separately and is not included.</w:t>
      </w:r>
    </w:p>
    <w:p>
      <w:pPr>
        <w:pStyle w:val="Heading3"/>
      </w:pPr>
      <w:r>
        <w:t>Points to note</w:t>
      </w:r>
    </w:p>
    <w:p>
      <w:pPr>
        <w:pStyle w:val="ListBullet"/>
        <w:spacing w:after="40"/>
      </w:pPr>
      <w:r>
        <w:rPr>
          <w:b w:val="0"/>
          <w:i w:val="0"/>
        </w:rPr>
        <w:t>The best-stocked young crop in the estate – no 2026 work required.</w:t>
      </w:r>
    </w:p>
    <w:p>
      <w:pPr>
        <w:pStyle w:val="ListBullet"/>
        <w:spacing w:after="40"/>
      </w:pPr>
      <w:r>
        <w:rPr>
          <w:b w:val="0"/>
          <w:i w:val="0"/>
        </w:rPr>
        <w:t>Financier security remains over these titles and will be released at settlement.</w:t>
      </w:r>
    </w:p>
    <w:p>
      <w:pPr>
        <w:pStyle w:val="Heading3"/>
      </w:pPr>
      <w:r>
        <w:t>Items to confirm</w:t>
      </w:r>
    </w:p>
    <w:p>
      <w:pPr>
        <w:pStyle w:val="ListBullet"/>
        <w:spacing w:after="40"/>
      </w:pPr>
      <w:r>
        <w:rPr>
          <w:b/>
          <w:i w:val="0"/>
          <w:color w:val="B01E1E"/>
        </w:rPr>
        <w:t>[TBC]</w:t>
      </w:r>
      <w:r>
        <w:rPr>
          <w:b w:val="0"/>
          <w:i w:val="0"/>
        </w:rPr>
        <w:t xml:space="preserve"> Stand records for the older exotic areas (about 49 ha) and their regime.</w:t>
      </w:r>
    </w:p>
    <w:p>
      <w:pPr>
        <w:pStyle w:val="ListBullet"/>
        <w:spacing w:after="40"/>
      </w:pPr>
      <w:r>
        <w:rPr>
          <w:b/>
          <w:i w:val="0"/>
          <w:color w:val="B01E1E"/>
        </w:rPr>
        <w:t>[TBC]</w:t>
      </w:r>
      <w:r>
        <w:rPr>
          <w:b w:val="0"/>
          <w:i w:val="0"/>
        </w:rPr>
        <w:t xml:space="preserve"> Access and any easements following the separate sale of TNH4/170.</w:t>
      </w:r>
    </w:p>
    <w:p>
      <w:r>
        <w:br w:type="page"/>
      </w:r>
    </w:p>
    <w:p>
      <w:pPr>
        <w:pStyle w:val="Heading2"/>
      </w:pPr>
      <w:r>
        <w:t>3.9  Ernies</w:t>
      </w:r>
    </w:p>
    <w:p>
      <w:pPr>
        <w:spacing w:after="120"/>
      </w:pPr>
      <w:r>
        <w:rPr>
          <w:b w:val="0"/>
          <w:i/>
          <w:color w:val="717D4A"/>
        </w:rPr>
        <w:t>Waitōtara Valley / Ngamatapouri (South Taranaki District) · Native / mānuka block</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4819"/>
        <w:gridCol w:w="4819"/>
      </w:tblGrid>
      <w:tr>
        <w:tc>
          <w:tcPr>
            <w:tcW w:type="dxa" w:w="2608"/>
            <w:shd w:val="clear" w:color="auto" w:fill="F2F0EA"/>
          </w:tcPr>
          <w:p>
            <w:pPr>
              <w:spacing w:after="0" w:line="240" w:lineRule="auto"/>
            </w:pPr>
            <w:r/>
            <w:r>
              <w:rPr>
                <w:b/>
                <w:i w:val="0"/>
                <w:sz w:val="18"/>
              </w:rPr>
              <w:t>Vendor / interest</w:t>
            </w:r>
          </w:p>
        </w:tc>
        <w:tc>
          <w:tcPr>
            <w:tcW w:type="dxa" w:w="7030"/>
          </w:tcPr>
          <w:p>
            <w:pPr>
              <w:spacing w:after="0" w:line="240" w:lineRule="auto"/>
            </w:pPr>
            <w:r/>
            <w:r>
              <w:rPr>
                <w:b w:val="0"/>
                <w:i w:val="0"/>
                <w:sz w:val="18"/>
              </w:rPr>
              <w:t>Trustees of the Makowhai Trust – titles in receivership (A Grenfell and K Johnstone, McGrathNicol)</w:t>
            </w:r>
          </w:p>
        </w:tc>
      </w:tr>
      <w:tr>
        <w:tc>
          <w:tcPr>
            <w:tcW w:type="dxa" w:w="2608"/>
            <w:shd w:val="clear" w:color="auto" w:fill="F2F0EA"/>
          </w:tcPr>
          <w:p>
            <w:pPr>
              <w:spacing w:after="0" w:line="240" w:lineRule="auto"/>
            </w:pPr>
            <w:r/>
            <w:r>
              <w:rPr>
                <w:b/>
                <w:i w:val="0"/>
                <w:sz w:val="18"/>
              </w:rPr>
              <w:t>Records of title</w:t>
            </w:r>
          </w:p>
        </w:tc>
        <w:tc>
          <w:tcPr>
            <w:tcW w:type="dxa" w:w="7030"/>
          </w:tcPr>
          <w:p>
            <w:pPr>
              <w:spacing w:after="0" w:line="240" w:lineRule="auto"/>
            </w:pPr>
            <w:r/>
            <w:r>
              <w:rPr>
                <w:b w:val="0"/>
                <w:i w:val="0"/>
                <w:sz w:val="18"/>
              </w:rPr>
              <w:t>421910, TN175/43, TN175/44, TNH4/190, TNJ2/204, TNJ2/714 (Taranaki Land District)</w:t>
            </w:r>
          </w:p>
        </w:tc>
      </w:tr>
      <w:tr>
        <w:tc>
          <w:tcPr>
            <w:tcW w:type="dxa" w:w="2608"/>
            <w:shd w:val="clear" w:color="auto" w:fill="F2F0EA"/>
          </w:tcPr>
          <w:p>
            <w:pPr>
              <w:spacing w:after="0" w:line="240" w:lineRule="auto"/>
            </w:pPr>
            <w:r/>
            <w:r>
              <w:rPr>
                <w:b/>
                <w:i w:val="0"/>
                <w:sz w:val="18"/>
              </w:rPr>
              <w:t>Title area</w:t>
            </w:r>
          </w:p>
        </w:tc>
        <w:tc>
          <w:tcPr>
            <w:tcW w:type="dxa" w:w="7030"/>
          </w:tcPr>
          <w:p>
            <w:pPr>
              <w:spacing w:after="0" w:line="240" w:lineRule="auto"/>
            </w:pPr>
            <w:r/>
            <w:r>
              <w:rPr>
                <w:b w:val="0"/>
                <w:i w:val="0"/>
                <w:sz w:val="18"/>
              </w:rPr>
              <w:t>1,626.37 ha</w:t>
            </w:r>
          </w:p>
        </w:tc>
      </w:tr>
      <w:tr>
        <w:tc>
          <w:tcPr>
            <w:tcW w:type="dxa" w:w="2608"/>
            <w:shd w:val="clear" w:color="auto" w:fill="F2F0EA"/>
          </w:tcPr>
          <w:p>
            <w:pPr>
              <w:spacing w:after="0" w:line="240" w:lineRule="auto"/>
            </w:pPr>
            <w:r/>
            <w:r>
              <w:rPr>
                <w:b/>
                <w:i w:val="0"/>
                <w:sz w:val="18"/>
              </w:rPr>
              <w:t>Location / address</w:t>
            </w:r>
          </w:p>
        </w:tc>
        <w:tc>
          <w:tcPr>
            <w:tcW w:type="dxa" w:w="7030"/>
          </w:tcPr>
          <w:p>
            <w:pPr>
              <w:spacing w:after="0" w:line="240" w:lineRule="auto"/>
            </w:pPr>
            <w:r/>
            <w:r>
              <w:rPr>
                <w:b w:val="0"/>
                <w:i w:val="0"/>
                <w:sz w:val="18"/>
              </w:rPr>
              <w:t>Sections 2–20 Moewatea Road, Ngamatapouri</w:t>
            </w:r>
          </w:p>
        </w:tc>
      </w:tr>
      <w:tr>
        <w:tc>
          <w:tcPr>
            <w:tcW w:type="dxa" w:w="2608"/>
            <w:shd w:val="clear" w:color="auto" w:fill="F2F0EA"/>
          </w:tcPr>
          <w:p>
            <w:pPr>
              <w:spacing w:after="0" w:line="240" w:lineRule="auto"/>
            </w:pPr>
            <w:r/>
            <w:r>
              <w:rPr>
                <w:b/>
                <w:i w:val="0"/>
                <w:sz w:val="18"/>
              </w:rPr>
              <w:t>Territorial authority</w:t>
            </w:r>
          </w:p>
        </w:tc>
        <w:tc>
          <w:tcPr>
            <w:tcW w:type="dxa" w:w="7030"/>
          </w:tcPr>
          <w:p>
            <w:pPr>
              <w:spacing w:after="0" w:line="240" w:lineRule="auto"/>
            </w:pPr>
            <w:r/>
            <w:r>
              <w:rPr>
                <w:b w:val="0"/>
                <w:i w:val="0"/>
                <w:sz w:val="18"/>
              </w:rPr>
              <w:t>South Taranaki District</w:t>
            </w:r>
          </w:p>
        </w:tc>
      </w:tr>
      <w:tr>
        <w:tc>
          <w:tcPr>
            <w:tcW w:type="dxa" w:w="2608"/>
            <w:shd w:val="clear" w:color="auto" w:fill="F2F0EA"/>
          </w:tcPr>
          <w:p>
            <w:pPr>
              <w:spacing w:after="0" w:line="240" w:lineRule="auto"/>
            </w:pPr>
            <w:r/>
            <w:r>
              <w:rPr>
                <w:b/>
                <w:i w:val="0"/>
                <w:sz w:val="18"/>
              </w:rPr>
              <w:t>Regional council</w:t>
            </w:r>
          </w:p>
        </w:tc>
        <w:tc>
          <w:tcPr>
            <w:tcW w:type="dxa" w:w="7030"/>
          </w:tcPr>
          <w:p>
            <w:pPr>
              <w:spacing w:after="0" w:line="240" w:lineRule="auto"/>
            </w:pPr>
            <w:r/>
            <w:r>
              <w:rPr>
                <w:b w:val="0"/>
                <w:i w:val="0"/>
                <w:sz w:val="18"/>
              </w:rPr>
              <w:t>Taranaki Regional Council</w:t>
            </w:r>
          </w:p>
        </w:tc>
      </w:tr>
      <w:tr>
        <w:tc>
          <w:tcPr>
            <w:tcW w:type="dxa" w:w="2608"/>
            <w:shd w:val="clear" w:color="auto" w:fill="F2F0EA"/>
          </w:tcPr>
          <w:p>
            <w:pPr>
              <w:spacing w:after="0" w:line="240" w:lineRule="auto"/>
            </w:pPr>
            <w:r/>
            <w:r>
              <w:rPr>
                <w:b/>
                <w:i w:val="0"/>
                <w:sz w:val="18"/>
              </w:rPr>
              <w:t>Land cover (July 2026 mapping)</w:t>
            </w:r>
          </w:p>
        </w:tc>
        <w:tc>
          <w:tcPr>
            <w:tcW w:type="dxa" w:w="7030"/>
          </w:tcPr>
          <w:p>
            <w:pPr>
              <w:spacing w:after="0" w:line="240" w:lineRule="auto"/>
            </w:pPr>
            <w:r/>
            <w:r>
              <w:rPr>
                <w:b w:val="0"/>
                <w:i w:val="0"/>
                <w:sz w:val="18"/>
              </w:rPr>
              <w:t>Native bush 546.2 ha · Mānuka / kānuka 950.0 ha · Open grassland 130.0 ha</w:t>
            </w:r>
          </w:p>
        </w:tc>
      </w:tr>
      <w:tr>
        <w:tc>
          <w:tcPr>
            <w:tcW w:type="dxa" w:w="2608"/>
            <w:shd w:val="clear" w:color="auto" w:fill="F2F0EA"/>
          </w:tcPr>
          <w:p>
            <w:pPr>
              <w:spacing w:after="0" w:line="240" w:lineRule="auto"/>
            </w:pPr>
            <w:r/>
            <w:r>
              <w:rPr>
                <w:b/>
                <w:i w:val="0"/>
                <w:sz w:val="18"/>
              </w:rPr>
              <w:t>Open grassland by slope</w:t>
            </w:r>
          </w:p>
        </w:tc>
        <w:tc>
          <w:tcPr>
            <w:tcW w:type="dxa" w:w="7030"/>
          </w:tcPr>
          <w:p>
            <w:pPr>
              <w:spacing w:after="0" w:line="240" w:lineRule="auto"/>
            </w:pPr>
            <w:r/>
            <w:r>
              <w:rPr>
                <w:b w:val="0"/>
                <w:i w:val="0"/>
                <w:sz w:val="18"/>
              </w:rPr>
              <w:t>flat 19.8 · rolling 45.7 · medium hill 47.6 · very steep 16.9 ha</w:t>
            </w:r>
          </w:p>
        </w:tc>
      </w:tr>
      <w:tr>
        <w:tc>
          <w:tcPr>
            <w:tcW w:type="dxa" w:w="2608"/>
            <w:shd w:val="clear" w:color="auto" w:fill="F2F0EA"/>
          </w:tcPr>
          <w:p>
            <w:pPr>
              <w:spacing w:after="0" w:line="240" w:lineRule="auto"/>
            </w:pPr>
            <w:r/>
            <w:r>
              <w:rPr>
                <w:b/>
                <w:i w:val="0"/>
                <w:sz w:val="18"/>
              </w:rPr>
              <w:t>Pinus radiata crop (PF Olsen, April 2026)</w:t>
            </w:r>
          </w:p>
        </w:tc>
        <w:tc>
          <w:tcPr>
            <w:tcW w:type="dxa" w:w="7030"/>
          </w:tcPr>
          <w:p>
            <w:pPr>
              <w:spacing w:after="0" w:line="240" w:lineRule="auto"/>
            </w:pPr>
            <w:r/>
            <w:r>
              <w:rPr>
                <w:b w:val="0"/>
                <w:i w:val="0"/>
                <w:sz w:val="18"/>
              </w:rPr>
              <w:t>None</w:t>
            </w:r>
          </w:p>
        </w:tc>
      </w:tr>
      <w:tr>
        <w:tc>
          <w:tcPr>
            <w:tcW w:type="dxa" w:w="2608"/>
            <w:shd w:val="clear" w:color="auto" w:fill="F2F0EA"/>
          </w:tcPr>
          <w:p>
            <w:pPr>
              <w:spacing w:after="0" w:line="240" w:lineRule="auto"/>
            </w:pPr>
            <w:r/>
            <w:r>
              <w:rPr>
                <w:b/>
                <w:i w:val="0"/>
                <w:sz w:val="18"/>
              </w:rPr>
              <w:t>ETS carbon accounting areas</w:t>
            </w:r>
          </w:p>
        </w:tc>
        <w:tc>
          <w:tcPr>
            <w:tcW w:type="dxa" w:w="7030"/>
          </w:tcPr>
          <w:p>
            <w:pPr>
              <w:spacing w:after="0" w:line="240" w:lineRule="auto"/>
            </w:pPr>
            <w:r/>
            <w:r>
              <w:rPr>
                <w:b w:val="0"/>
                <w:i w:val="0"/>
                <w:sz w:val="18"/>
              </w:rPr>
              <w:t>Makowhai Station (landowner): 120.9 ha, 13,159 NZUs – 2 CAAs – post-1989 regenerating indigenous forest (1991 and 1998), stock change, registered 2014</w:t>
            </w:r>
          </w:p>
        </w:tc>
      </w:tr>
      <w:tr>
        <w:tc>
          <w:tcPr>
            <w:tcW w:type="dxa" w:w="2608"/>
            <w:shd w:val="clear" w:color="auto" w:fill="F2F0EA"/>
          </w:tcPr>
          <w:p>
            <w:pPr>
              <w:spacing w:after="0" w:line="240" w:lineRule="auto"/>
            </w:pPr>
            <w:r/>
            <w:r>
              <w:rPr>
                <w:b/>
                <w:i w:val="0"/>
                <w:sz w:val="18"/>
              </w:rPr>
              <w:t>Indicatively ETS-eligible land</w:t>
            </w:r>
          </w:p>
        </w:tc>
        <w:tc>
          <w:tcPr>
            <w:tcW w:type="dxa" w:w="7030"/>
          </w:tcPr>
          <w:p>
            <w:pPr>
              <w:spacing w:after="0" w:line="240" w:lineRule="auto"/>
            </w:pPr>
            <w:r/>
            <w:r>
              <w:rPr>
                <w:b w:val="0"/>
                <w:i w:val="0"/>
                <w:sz w:val="18"/>
              </w:rPr>
              <w:t>about 687.7 ha (post-1989 grassland and scrub, MPI to determine)</w:t>
            </w:r>
          </w:p>
        </w:tc>
      </w:tr>
      <w:tr>
        <w:tc>
          <w:tcPr>
            <w:tcW w:type="dxa" w:w="2608"/>
            <w:shd w:val="clear" w:color="auto" w:fill="F2F0EA"/>
          </w:tcPr>
          <w:p>
            <w:pPr>
              <w:spacing w:after="0" w:line="240" w:lineRule="auto"/>
            </w:pPr>
            <w:r/>
            <w:r>
              <w:rPr>
                <w:b/>
                <w:i w:val="0"/>
                <w:sz w:val="18"/>
              </w:rPr>
              <w:t>Leases / occupation</w:t>
            </w:r>
          </w:p>
        </w:tc>
        <w:tc>
          <w:tcPr>
            <w:tcW w:type="dxa" w:w="7030"/>
          </w:tcPr>
          <w:p>
            <w:pPr>
              <w:spacing w:after="0" w:line="240" w:lineRule="auto"/>
            </w:pPr>
            <w:r/>
            <w:r>
              <w:rPr>
                <w:b w:val="0"/>
                <w:i w:val="0"/>
                <w:sz w:val="18"/>
              </w:rPr>
              <w:t xml:space="preserve">None known </w:t>
            </w:r>
            <w:r>
              <w:rPr>
                <w:b/>
                <w:i w:val="0"/>
                <w:color w:val="B01E1E"/>
                <w:sz w:val="18"/>
              </w:rPr>
              <w:t>[TBC]</w:t>
            </w:r>
          </w:p>
        </w:tc>
      </w:tr>
      <w:tr>
        <w:tc>
          <w:tcPr>
            <w:tcW w:type="dxa" w:w="2608"/>
            <w:shd w:val="clear" w:color="auto" w:fill="F2F0EA"/>
          </w:tcPr>
          <w:p>
            <w:pPr>
              <w:spacing w:after="0" w:line="240" w:lineRule="auto"/>
            </w:pPr>
            <w:r/>
            <w:r>
              <w:rPr>
                <w:b/>
                <w:i w:val="0"/>
                <w:sz w:val="18"/>
              </w:rPr>
              <w:t>Access</w:t>
            </w:r>
          </w:p>
        </w:tc>
        <w:tc>
          <w:tcPr>
            <w:tcW w:type="dxa" w:w="7030"/>
          </w:tcPr>
          <w:p>
            <w:pPr>
              <w:spacing w:after="0" w:line="240" w:lineRule="auto"/>
            </w:pPr>
            <w:r/>
            <w:r>
              <w:rPr>
                <w:b w:val="0"/>
                <w:i w:val="0"/>
                <w:sz w:val="18"/>
              </w:rPr>
              <w:t xml:space="preserve">Moewatea Road frontage </w:t>
            </w:r>
            <w:r>
              <w:rPr>
                <w:b/>
                <w:i w:val="0"/>
                <w:color w:val="B01E1E"/>
                <w:sz w:val="18"/>
              </w:rPr>
              <w:t>[TBC]</w:t>
            </w:r>
            <w:r>
              <w:rPr>
                <w:b w:val="0"/>
                <w:i w:val="0"/>
                <w:sz w:val="18"/>
              </w:rPr>
              <w:t>.</w:t>
            </w:r>
          </w:p>
        </w:tc>
      </w:tr>
      <w:tr>
        <w:tc>
          <w:tcPr>
            <w:tcW w:type="dxa" w:w="2608"/>
            <w:shd w:val="clear" w:color="auto" w:fill="F2F0EA"/>
          </w:tcPr>
          <w:p>
            <w:pPr>
              <w:spacing w:after="0" w:line="240" w:lineRule="auto"/>
            </w:pPr>
            <w:r/>
            <w:r>
              <w:rPr>
                <w:b/>
                <w:i w:val="0"/>
                <w:sz w:val="18"/>
              </w:rPr>
              <w:t>Improvements</w:t>
            </w:r>
          </w:p>
        </w:tc>
        <w:tc>
          <w:tcPr>
            <w:tcW w:type="dxa" w:w="7030"/>
          </w:tcPr>
          <w:p>
            <w:pPr>
              <w:spacing w:after="0" w:line="240" w:lineRule="auto"/>
            </w:pPr>
            <w:r/>
            <w:r>
              <w:rPr>
                <w:b/>
                <w:i w:val="0"/>
                <w:color w:val="B01E1E"/>
                <w:sz w:val="18"/>
              </w:rPr>
              <w:t>[TBC – schedule of buildings]</w:t>
            </w:r>
            <w:r>
              <w:rPr>
                <w:b w:val="0"/>
                <w:i w:val="0"/>
                <w:sz w:val="18"/>
              </w:rPr>
              <w:t xml:space="preserve"> (CBRE Oct 2024 carried $500,000 of improvements)</w:t>
            </w:r>
          </w:p>
        </w:tc>
      </w:tr>
      <w:tr>
        <w:tc>
          <w:tcPr>
            <w:tcW w:type="dxa" w:w="2608"/>
            <w:shd w:val="clear" w:color="auto" w:fill="F2F0EA"/>
          </w:tcPr>
          <w:p>
            <w:pPr>
              <w:spacing w:after="0" w:line="240" w:lineRule="auto"/>
            </w:pPr>
            <w:r/>
            <w:r>
              <w:rPr>
                <w:b/>
                <w:i w:val="0"/>
                <w:sz w:val="18"/>
              </w:rPr>
              <w:t>Rating valuation / rates</w:t>
            </w:r>
          </w:p>
        </w:tc>
        <w:tc>
          <w:tcPr>
            <w:tcW w:type="dxa" w:w="7030"/>
          </w:tcPr>
          <w:p>
            <w:pPr>
              <w:spacing w:after="0" w:line="240" w:lineRule="auto"/>
            </w:pPr>
            <w:r/>
            <w:r>
              <w:rPr>
                <w:b/>
                <w:i w:val="0"/>
                <w:color w:val="B01E1E"/>
                <w:sz w:val="18"/>
              </w:rPr>
              <w:t>[TBC]</w:t>
            </w:r>
          </w:p>
        </w:tc>
      </w:tr>
    </w:tbl>
    <w:p>
      <w:pPr>
        <w:spacing w:after="40"/>
      </w:pPr>
    </w:p>
    <w:p>
      <w:pPr>
        <w:pStyle w:val="Heading3"/>
      </w:pPr>
      <w:r>
        <w:t>Description</w:t>
      </w:r>
    </w:p>
    <w:p>
      <w:r>
        <w:rPr>
          <w:b w:val="0"/>
          <w:i w:val="0"/>
        </w:rPr>
        <w:t>A 1,626 ha mānuka/kānuka and native bush block west of the Home Block, historically run for honey production. About 950 ha is regenerating mānuka/kānuka and 546 ha mature native forest, with 130 ha of open ground. Two carbon accounting areas of regenerating indigenous forest (121 ha) are registered by Makowhai Station with a unit balance of about 13,200 NZUs, and roughly 690 ha of the scrub and grassland is indicatively post-1989 and therefore potentially ETS-eligible – the largest eligible area of any block. CBRE carried $500,000 of improvements.</w:t>
      </w:r>
    </w:p>
    <w:p>
      <w:pPr>
        <w:pStyle w:val="Heading3"/>
      </w:pPr>
      <w:r>
        <w:t>Points to note</w:t>
      </w:r>
    </w:p>
    <w:p>
      <w:pPr>
        <w:pStyle w:val="ListBullet"/>
        <w:spacing w:after="40"/>
      </w:pPr>
      <w:r>
        <w:rPr>
          <w:b w:val="0"/>
          <w:i w:val="0"/>
        </w:rPr>
        <w:t>No Pinus radiata on the block.</w:t>
      </w:r>
    </w:p>
    <w:p>
      <w:pPr>
        <w:pStyle w:val="ListBullet"/>
        <w:spacing w:after="40"/>
      </w:pPr>
      <w:r>
        <w:rPr>
          <w:b w:val="0"/>
          <w:i w:val="0"/>
        </w:rPr>
        <w:t>The largest indicatively ETS-eligible area in the estate (about 688 ha, MPI to determine).</w:t>
      </w:r>
    </w:p>
    <w:p>
      <w:pPr>
        <w:pStyle w:val="Heading3"/>
      </w:pPr>
      <w:r>
        <w:t>Items to confirm</w:t>
      </w:r>
    </w:p>
    <w:p>
      <w:pPr>
        <w:pStyle w:val="ListBullet"/>
        <w:spacing w:after="40"/>
      </w:pPr>
      <w:r>
        <w:rPr>
          <w:b/>
          <w:i w:val="0"/>
          <w:color w:val="B01E1E"/>
        </w:rPr>
        <w:t>[TBC]</w:t>
      </w:r>
      <w:r>
        <w:rPr>
          <w:b w:val="0"/>
          <w:i w:val="0"/>
        </w:rPr>
        <w:t xml:space="preserve"> Improvements and any dwelling/occupancy.</w:t>
      </w:r>
    </w:p>
    <w:p>
      <w:pPr>
        <w:pStyle w:val="ListBullet"/>
        <w:spacing w:after="40"/>
      </w:pPr>
      <w:r>
        <w:rPr>
          <w:b/>
          <w:i w:val="0"/>
          <w:color w:val="B01E1E"/>
        </w:rPr>
        <w:t>[TBC]</w:t>
      </w:r>
      <w:r>
        <w:rPr>
          <w:b w:val="0"/>
          <w:i w:val="0"/>
        </w:rPr>
        <w:t xml:space="preserve"> Legal and physical access.</w:t>
      </w:r>
    </w:p>
    <w:p>
      <w:r>
        <w:br w:type="page"/>
      </w:r>
    </w:p>
    <w:p>
      <w:pPr>
        <w:pStyle w:val="Heading2"/>
      </w:pPr>
      <w:r>
        <w:t>3.10  Karapara</w:t>
      </w:r>
    </w:p>
    <w:p>
      <w:pPr>
        <w:spacing w:after="120"/>
      </w:pPr>
      <w:r>
        <w:rPr>
          <w:b w:val="0"/>
          <w:i/>
          <w:color w:val="717D4A"/>
        </w:rPr>
        <w:t>Waitōtara Valley / Ngamatapouri (South Taranaki District) · Native / mānuka block</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4819"/>
        <w:gridCol w:w="4819"/>
      </w:tblGrid>
      <w:tr>
        <w:tc>
          <w:tcPr>
            <w:tcW w:type="dxa" w:w="2608"/>
            <w:shd w:val="clear" w:color="auto" w:fill="F2F0EA"/>
          </w:tcPr>
          <w:p>
            <w:pPr>
              <w:spacing w:after="0" w:line="240" w:lineRule="auto"/>
            </w:pPr>
            <w:r/>
            <w:r>
              <w:rPr>
                <w:b/>
                <w:i w:val="0"/>
                <w:sz w:val="18"/>
              </w:rPr>
              <w:t>Vendor / interest</w:t>
            </w:r>
          </w:p>
        </w:tc>
        <w:tc>
          <w:tcPr>
            <w:tcW w:type="dxa" w:w="7030"/>
          </w:tcPr>
          <w:p>
            <w:pPr>
              <w:spacing w:after="0" w:line="240" w:lineRule="auto"/>
            </w:pPr>
            <w:r/>
            <w:r>
              <w:rPr>
                <w:b w:val="0"/>
                <w:i w:val="0"/>
                <w:sz w:val="18"/>
              </w:rPr>
              <w:t>Trustees of the Makowhai Trust – titles in receivership (A Grenfell and K Johnstone, McGrathNicol)</w:t>
            </w:r>
          </w:p>
        </w:tc>
      </w:tr>
      <w:tr>
        <w:tc>
          <w:tcPr>
            <w:tcW w:type="dxa" w:w="2608"/>
            <w:shd w:val="clear" w:color="auto" w:fill="F2F0EA"/>
          </w:tcPr>
          <w:p>
            <w:pPr>
              <w:spacing w:after="0" w:line="240" w:lineRule="auto"/>
            </w:pPr>
            <w:r/>
            <w:r>
              <w:rPr>
                <w:b/>
                <w:i w:val="0"/>
                <w:sz w:val="18"/>
              </w:rPr>
              <w:t>Records of title</w:t>
            </w:r>
          </w:p>
        </w:tc>
        <w:tc>
          <w:tcPr>
            <w:tcW w:type="dxa" w:w="7030"/>
          </w:tcPr>
          <w:p>
            <w:pPr>
              <w:spacing w:after="0" w:line="240" w:lineRule="auto"/>
            </w:pPr>
            <w:r/>
            <w:r>
              <w:rPr>
                <w:b w:val="0"/>
                <w:i w:val="0"/>
                <w:sz w:val="18"/>
              </w:rPr>
              <w:t>TN227/30, TN227/31, TN227/32 (Taranaki Land District)</w:t>
            </w:r>
          </w:p>
        </w:tc>
      </w:tr>
      <w:tr>
        <w:tc>
          <w:tcPr>
            <w:tcW w:type="dxa" w:w="2608"/>
            <w:shd w:val="clear" w:color="auto" w:fill="F2F0EA"/>
          </w:tcPr>
          <w:p>
            <w:pPr>
              <w:spacing w:after="0" w:line="240" w:lineRule="auto"/>
            </w:pPr>
            <w:r/>
            <w:r>
              <w:rPr>
                <w:b/>
                <w:i w:val="0"/>
                <w:sz w:val="18"/>
              </w:rPr>
              <w:t>Title area</w:t>
            </w:r>
          </w:p>
        </w:tc>
        <w:tc>
          <w:tcPr>
            <w:tcW w:type="dxa" w:w="7030"/>
          </w:tcPr>
          <w:p>
            <w:pPr>
              <w:spacing w:after="0" w:line="240" w:lineRule="auto"/>
            </w:pPr>
            <w:r/>
            <w:r>
              <w:rPr>
                <w:b w:val="0"/>
                <w:i w:val="0"/>
                <w:sz w:val="18"/>
              </w:rPr>
              <w:t>1,317.71 ha</w:t>
            </w:r>
          </w:p>
        </w:tc>
      </w:tr>
      <w:tr>
        <w:tc>
          <w:tcPr>
            <w:tcW w:type="dxa" w:w="2608"/>
            <w:shd w:val="clear" w:color="auto" w:fill="F2F0EA"/>
          </w:tcPr>
          <w:p>
            <w:pPr>
              <w:spacing w:after="0" w:line="240" w:lineRule="auto"/>
            </w:pPr>
            <w:r/>
            <w:r>
              <w:rPr>
                <w:b/>
                <w:i w:val="0"/>
                <w:sz w:val="18"/>
              </w:rPr>
              <w:t>Location / address</w:t>
            </w:r>
          </w:p>
        </w:tc>
        <w:tc>
          <w:tcPr>
            <w:tcW w:type="dxa" w:w="7030"/>
          </w:tcPr>
          <w:p>
            <w:pPr>
              <w:spacing w:after="0" w:line="240" w:lineRule="auto"/>
            </w:pPr>
            <w:r/>
            <w:r>
              <w:rPr>
                <w:b w:val="0"/>
                <w:i w:val="0"/>
                <w:sz w:val="18"/>
              </w:rPr>
              <w:t>1, 3 and 4A Waitotara Valley Road</w:t>
            </w:r>
          </w:p>
        </w:tc>
      </w:tr>
      <w:tr>
        <w:tc>
          <w:tcPr>
            <w:tcW w:type="dxa" w:w="2608"/>
            <w:shd w:val="clear" w:color="auto" w:fill="F2F0EA"/>
          </w:tcPr>
          <w:p>
            <w:pPr>
              <w:spacing w:after="0" w:line="240" w:lineRule="auto"/>
            </w:pPr>
            <w:r/>
            <w:r>
              <w:rPr>
                <w:b/>
                <w:i w:val="0"/>
                <w:sz w:val="18"/>
              </w:rPr>
              <w:t>Territorial authority</w:t>
            </w:r>
          </w:p>
        </w:tc>
        <w:tc>
          <w:tcPr>
            <w:tcW w:type="dxa" w:w="7030"/>
          </w:tcPr>
          <w:p>
            <w:pPr>
              <w:spacing w:after="0" w:line="240" w:lineRule="auto"/>
            </w:pPr>
            <w:r/>
            <w:r>
              <w:rPr>
                <w:b w:val="0"/>
                <w:i w:val="0"/>
                <w:sz w:val="18"/>
              </w:rPr>
              <w:t>South Taranaki District</w:t>
            </w:r>
          </w:p>
        </w:tc>
      </w:tr>
      <w:tr>
        <w:tc>
          <w:tcPr>
            <w:tcW w:type="dxa" w:w="2608"/>
            <w:shd w:val="clear" w:color="auto" w:fill="F2F0EA"/>
          </w:tcPr>
          <w:p>
            <w:pPr>
              <w:spacing w:after="0" w:line="240" w:lineRule="auto"/>
            </w:pPr>
            <w:r/>
            <w:r>
              <w:rPr>
                <w:b/>
                <w:i w:val="0"/>
                <w:sz w:val="18"/>
              </w:rPr>
              <w:t>Regional council</w:t>
            </w:r>
          </w:p>
        </w:tc>
        <w:tc>
          <w:tcPr>
            <w:tcW w:type="dxa" w:w="7030"/>
          </w:tcPr>
          <w:p>
            <w:pPr>
              <w:spacing w:after="0" w:line="240" w:lineRule="auto"/>
            </w:pPr>
            <w:r/>
            <w:r>
              <w:rPr>
                <w:b w:val="0"/>
                <w:i w:val="0"/>
                <w:sz w:val="18"/>
              </w:rPr>
              <w:t>Taranaki Regional Council</w:t>
            </w:r>
          </w:p>
        </w:tc>
      </w:tr>
      <w:tr>
        <w:tc>
          <w:tcPr>
            <w:tcW w:type="dxa" w:w="2608"/>
            <w:shd w:val="clear" w:color="auto" w:fill="F2F0EA"/>
          </w:tcPr>
          <w:p>
            <w:pPr>
              <w:spacing w:after="0" w:line="240" w:lineRule="auto"/>
            </w:pPr>
            <w:r/>
            <w:r>
              <w:rPr>
                <w:b/>
                <w:i w:val="0"/>
                <w:sz w:val="18"/>
              </w:rPr>
              <w:t>Land cover (July 2026 mapping)</w:t>
            </w:r>
          </w:p>
        </w:tc>
        <w:tc>
          <w:tcPr>
            <w:tcW w:type="dxa" w:w="7030"/>
          </w:tcPr>
          <w:p>
            <w:pPr>
              <w:spacing w:after="0" w:line="240" w:lineRule="auto"/>
            </w:pPr>
            <w:r/>
            <w:r>
              <w:rPr>
                <w:b w:val="0"/>
                <w:i w:val="0"/>
                <w:sz w:val="18"/>
              </w:rPr>
              <w:t>Native bush 676.7 ha · Mānuka / kānuka 611.7 ha · Open grassland 28.9 ha</w:t>
            </w:r>
          </w:p>
        </w:tc>
      </w:tr>
      <w:tr>
        <w:tc>
          <w:tcPr>
            <w:tcW w:type="dxa" w:w="2608"/>
            <w:shd w:val="clear" w:color="auto" w:fill="F2F0EA"/>
          </w:tcPr>
          <w:p>
            <w:pPr>
              <w:spacing w:after="0" w:line="240" w:lineRule="auto"/>
            </w:pPr>
            <w:r/>
            <w:r>
              <w:rPr>
                <w:b/>
                <w:i w:val="0"/>
                <w:sz w:val="18"/>
              </w:rPr>
              <w:t>Open grassland by slope</w:t>
            </w:r>
          </w:p>
        </w:tc>
        <w:tc>
          <w:tcPr>
            <w:tcW w:type="dxa" w:w="7030"/>
          </w:tcPr>
          <w:p>
            <w:pPr>
              <w:spacing w:after="0" w:line="240" w:lineRule="auto"/>
            </w:pPr>
            <w:r/>
            <w:r>
              <w:rPr>
                <w:b w:val="0"/>
                <w:i w:val="0"/>
                <w:sz w:val="18"/>
              </w:rPr>
              <w:t>flat 1.6 · rolling 6.0 · medium hill 14.0 · very steep 7.4 ha</w:t>
            </w:r>
          </w:p>
        </w:tc>
      </w:tr>
      <w:tr>
        <w:tc>
          <w:tcPr>
            <w:tcW w:type="dxa" w:w="2608"/>
            <w:shd w:val="clear" w:color="auto" w:fill="F2F0EA"/>
          </w:tcPr>
          <w:p>
            <w:pPr>
              <w:spacing w:after="0" w:line="240" w:lineRule="auto"/>
            </w:pPr>
            <w:r/>
            <w:r>
              <w:rPr>
                <w:b/>
                <w:i w:val="0"/>
                <w:sz w:val="18"/>
              </w:rPr>
              <w:t>Pinus radiata crop (PF Olsen, April 2026)</w:t>
            </w:r>
          </w:p>
        </w:tc>
        <w:tc>
          <w:tcPr>
            <w:tcW w:type="dxa" w:w="7030"/>
          </w:tcPr>
          <w:p>
            <w:pPr>
              <w:spacing w:after="0" w:line="240" w:lineRule="auto"/>
            </w:pPr>
            <w:r/>
            <w:r>
              <w:rPr>
                <w:b w:val="0"/>
                <w:i w:val="0"/>
                <w:sz w:val="18"/>
              </w:rPr>
              <w:t>None</w:t>
            </w:r>
          </w:p>
        </w:tc>
      </w:tr>
      <w:tr>
        <w:tc>
          <w:tcPr>
            <w:tcW w:type="dxa" w:w="2608"/>
            <w:shd w:val="clear" w:color="auto" w:fill="F2F0EA"/>
          </w:tcPr>
          <w:p>
            <w:pPr>
              <w:spacing w:after="0" w:line="240" w:lineRule="auto"/>
            </w:pPr>
            <w:r/>
            <w:r>
              <w:rPr>
                <w:b/>
                <w:i w:val="0"/>
                <w:sz w:val="18"/>
              </w:rPr>
              <w:t>ETS carbon accounting areas</w:t>
            </w:r>
          </w:p>
        </w:tc>
        <w:tc>
          <w:tcPr>
            <w:tcW w:type="dxa" w:w="7030"/>
          </w:tcPr>
          <w:p>
            <w:pPr>
              <w:spacing w:after="0" w:line="240" w:lineRule="auto"/>
            </w:pPr>
            <w:r/>
            <w:r>
              <w:rPr>
                <w:b w:val="0"/>
                <w:i w:val="0"/>
                <w:sz w:val="18"/>
              </w:rPr>
              <w:t>No carbon accounting areas registered</w:t>
            </w:r>
          </w:p>
        </w:tc>
      </w:tr>
      <w:tr>
        <w:tc>
          <w:tcPr>
            <w:tcW w:type="dxa" w:w="2608"/>
            <w:shd w:val="clear" w:color="auto" w:fill="F2F0EA"/>
          </w:tcPr>
          <w:p>
            <w:pPr>
              <w:spacing w:after="0" w:line="240" w:lineRule="auto"/>
            </w:pPr>
            <w:r/>
            <w:r>
              <w:rPr>
                <w:b/>
                <w:i w:val="0"/>
                <w:sz w:val="18"/>
              </w:rPr>
              <w:t>Indicatively ETS-eligible land</w:t>
            </w:r>
          </w:p>
        </w:tc>
        <w:tc>
          <w:tcPr>
            <w:tcW w:type="dxa" w:w="7030"/>
          </w:tcPr>
          <w:p>
            <w:pPr>
              <w:spacing w:after="0" w:line="240" w:lineRule="auto"/>
            </w:pPr>
            <w:r/>
            <w:r>
              <w:rPr>
                <w:b w:val="0"/>
                <w:i w:val="0"/>
                <w:sz w:val="18"/>
              </w:rPr>
              <w:t>about 3.1 ha (post-1989 grassland and scrub, MPI to determine)</w:t>
            </w:r>
          </w:p>
        </w:tc>
      </w:tr>
      <w:tr>
        <w:tc>
          <w:tcPr>
            <w:tcW w:type="dxa" w:w="2608"/>
            <w:shd w:val="clear" w:color="auto" w:fill="F2F0EA"/>
          </w:tcPr>
          <w:p>
            <w:pPr>
              <w:spacing w:after="0" w:line="240" w:lineRule="auto"/>
            </w:pPr>
            <w:r/>
            <w:r>
              <w:rPr>
                <w:b/>
                <w:i w:val="0"/>
                <w:sz w:val="18"/>
              </w:rPr>
              <w:t>Leases / occupation</w:t>
            </w:r>
          </w:p>
        </w:tc>
        <w:tc>
          <w:tcPr>
            <w:tcW w:type="dxa" w:w="7030"/>
          </w:tcPr>
          <w:p>
            <w:pPr>
              <w:spacing w:after="0" w:line="240" w:lineRule="auto"/>
            </w:pPr>
            <w:r/>
            <w:r>
              <w:rPr>
                <w:b w:val="0"/>
                <w:i w:val="0"/>
                <w:sz w:val="18"/>
              </w:rPr>
              <w:t xml:space="preserve">None known </w:t>
            </w:r>
            <w:r>
              <w:rPr>
                <w:b/>
                <w:i w:val="0"/>
                <w:color w:val="B01E1E"/>
                <w:sz w:val="18"/>
              </w:rPr>
              <w:t>[TBC]</w:t>
            </w:r>
          </w:p>
        </w:tc>
      </w:tr>
      <w:tr>
        <w:tc>
          <w:tcPr>
            <w:tcW w:type="dxa" w:w="2608"/>
            <w:shd w:val="clear" w:color="auto" w:fill="F2F0EA"/>
          </w:tcPr>
          <w:p>
            <w:pPr>
              <w:spacing w:after="0" w:line="240" w:lineRule="auto"/>
            </w:pPr>
            <w:r/>
            <w:r>
              <w:rPr>
                <w:b/>
                <w:i w:val="0"/>
                <w:sz w:val="18"/>
              </w:rPr>
              <w:t>Access</w:t>
            </w:r>
          </w:p>
        </w:tc>
        <w:tc>
          <w:tcPr>
            <w:tcW w:type="dxa" w:w="7030"/>
          </w:tcPr>
          <w:p>
            <w:pPr>
              <w:spacing w:after="0" w:line="240" w:lineRule="auto"/>
            </w:pPr>
            <w:r/>
            <w:r>
              <w:rPr>
                <w:b w:val="0"/>
                <w:i w:val="0"/>
                <w:sz w:val="18"/>
              </w:rPr>
              <w:t xml:space="preserve">Waitotara Valley Road frontage </w:t>
            </w:r>
            <w:r>
              <w:rPr>
                <w:b/>
                <w:i w:val="0"/>
                <w:color w:val="B01E1E"/>
                <w:sz w:val="18"/>
              </w:rPr>
              <w:t>[TBC]</w:t>
            </w:r>
            <w:r>
              <w:rPr>
                <w:b w:val="0"/>
                <w:i w:val="0"/>
                <w:sz w:val="18"/>
              </w:rPr>
              <w:t>.</w:t>
            </w:r>
          </w:p>
        </w:tc>
      </w:tr>
      <w:tr>
        <w:tc>
          <w:tcPr>
            <w:tcW w:type="dxa" w:w="2608"/>
            <w:shd w:val="clear" w:color="auto" w:fill="F2F0EA"/>
          </w:tcPr>
          <w:p>
            <w:pPr>
              <w:spacing w:after="0" w:line="240" w:lineRule="auto"/>
            </w:pPr>
            <w:r/>
            <w:r>
              <w:rPr>
                <w:b/>
                <w:i w:val="0"/>
                <w:sz w:val="18"/>
              </w:rPr>
              <w:t>Improvements</w:t>
            </w:r>
          </w:p>
        </w:tc>
        <w:tc>
          <w:tcPr>
            <w:tcW w:type="dxa" w:w="7030"/>
          </w:tcPr>
          <w:p>
            <w:pPr>
              <w:spacing w:after="0" w:line="240" w:lineRule="auto"/>
            </w:pPr>
            <w:r/>
            <w:r>
              <w:rPr>
                <w:b/>
                <w:i w:val="0"/>
                <w:color w:val="B01E1E"/>
                <w:sz w:val="18"/>
              </w:rPr>
              <w:t>[TBC – schedule of buildings]</w:t>
            </w:r>
            <w:r>
              <w:rPr>
                <w:b w:val="0"/>
                <w:i w:val="0"/>
                <w:sz w:val="18"/>
              </w:rPr>
              <w:t xml:space="preserve"> (CBRE Oct 2024 carried $400,000 of improvements)</w:t>
            </w:r>
          </w:p>
        </w:tc>
      </w:tr>
      <w:tr>
        <w:tc>
          <w:tcPr>
            <w:tcW w:type="dxa" w:w="2608"/>
            <w:shd w:val="clear" w:color="auto" w:fill="F2F0EA"/>
          </w:tcPr>
          <w:p>
            <w:pPr>
              <w:spacing w:after="0" w:line="240" w:lineRule="auto"/>
            </w:pPr>
            <w:r/>
            <w:r>
              <w:rPr>
                <w:b/>
                <w:i w:val="0"/>
                <w:sz w:val="18"/>
              </w:rPr>
              <w:t>Rating valuation / rates</w:t>
            </w:r>
          </w:p>
        </w:tc>
        <w:tc>
          <w:tcPr>
            <w:tcW w:type="dxa" w:w="7030"/>
          </w:tcPr>
          <w:p>
            <w:pPr>
              <w:spacing w:after="0" w:line="240" w:lineRule="auto"/>
            </w:pPr>
            <w:r/>
            <w:r>
              <w:rPr>
                <w:b/>
                <w:i w:val="0"/>
                <w:color w:val="B01E1E"/>
                <w:sz w:val="18"/>
              </w:rPr>
              <w:t>[TBC]</w:t>
            </w:r>
          </w:p>
        </w:tc>
      </w:tr>
    </w:tbl>
    <w:p>
      <w:pPr>
        <w:spacing w:after="40"/>
      </w:pPr>
    </w:p>
    <w:p>
      <w:pPr>
        <w:pStyle w:val="Heading3"/>
      </w:pPr>
      <w:r>
        <w:t>Description</w:t>
      </w:r>
    </w:p>
    <w:p>
      <w:r>
        <w:rPr>
          <w:b w:val="0"/>
          <w:i w:val="0"/>
        </w:rPr>
        <w:t>A 1,318 ha block that is almost entirely native bush (677 ha) and regenerating mānuka/kānuka (612 ha), with under 30 ha of open ground. It is a honey and conservation block rather than a development property, and almost none of it is indicatively ETS-eligible as post-1989 land. CBRE carried $400,000 of improvements.</w:t>
      </w:r>
    </w:p>
    <w:p>
      <w:pPr>
        <w:pStyle w:val="Heading3"/>
      </w:pPr>
      <w:r>
        <w:t>Points to note</w:t>
      </w:r>
    </w:p>
    <w:p>
      <w:pPr>
        <w:pStyle w:val="ListBullet"/>
        <w:spacing w:after="40"/>
      </w:pPr>
      <w:r>
        <w:rPr>
          <w:b w:val="0"/>
          <w:i w:val="0"/>
        </w:rPr>
        <w:t>No Pinus radiata on the block.</w:t>
      </w:r>
    </w:p>
    <w:p>
      <w:pPr>
        <w:pStyle w:val="Heading3"/>
      </w:pPr>
      <w:r>
        <w:t>Items to confirm</w:t>
      </w:r>
    </w:p>
    <w:p>
      <w:pPr>
        <w:pStyle w:val="ListBullet"/>
        <w:spacing w:after="40"/>
      </w:pPr>
      <w:r>
        <w:rPr>
          <w:b/>
          <w:i w:val="0"/>
          <w:color w:val="B01E1E"/>
        </w:rPr>
        <w:t>[TBC]</w:t>
      </w:r>
      <w:r>
        <w:rPr>
          <w:b w:val="0"/>
          <w:i w:val="0"/>
        </w:rPr>
        <w:t xml:space="preserve"> Improvements and occupancy.</w:t>
      </w:r>
    </w:p>
    <w:p>
      <w:pPr>
        <w:pStyle w:val="ListBullet"/>
        <w:spacing w:after="40"/>
      </w:pPr>
      <w:r>
        <w:rPr>
          <w:b/>
          <w:i w:val="0"/>
          <w:color w:val="B01E1E"/>
        </w:rPr>
        <w:t>[TBC]</w:t>
      </w:r>
      <w:r>
        <w:rPr>
          <w:b w:val="0"/>
          <w:i w:val="0"/>
        </w:rPr>
        <w:t xml:space="preserve"> Legal access.</w:t>
      </w:r>
    </w:p>
    <w:p>
      <w:r>
        <w:br w:type="page"/>
      </w:r>
    </w:p>
    <w:p>
      <w:pPr>
        <w:pStyle w:val="Heading2"/>
      </w:pPr>
      <w:r>
        <w:t>3.11  Home Block</w:t>
      </w:r>
    </w:p>
    <w:p>
      <w:pPr>
        <w:spacing w:after="120"/>
      </w:pPr>
      <w:r>
        <w:rPr>
          <w:b w:val="0"/>
          <w:i/>
          <w:color w:val="717D4A"/>
        </w:rPr>
        <w:t>Waitōtara Valley / Ngamatapouri (South Taranaki District) · Native / mānuka block</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4819"/>
        <w:gridCol w:w="4819"/>
      </w:tblGrid>
      <w:tr>
        <w:tc>
          <w:tcPr>
            <w:tcW w:type="dxa" w:w="2608"/>
            <w:shd w:val="clear" w:color="auto" w:fill="F2F0EA"/>
          </w:tcPr>
          <w:p>
            <w:pPr>
              <w:spacing w:after="0" w:line="240" w:lineRule="auto"/>
            </w:pPr>
            <w:r/>
            <w:r>
              <w:rPr>
                <w:b/>
                <w:i w:val="0"/>
                <w:sz w:val="18"/>
              </w:rPr>
              <w:t>Vendor / interest</w:t>
            </w:r>
          </w:p>
        </w:tc>
        <w:tc>
          <w:tcPr>
            <w:tcW w:type="dxa" w:w="7030"/>
          </w:tcPr>
          <w:p>
            <w:pPr>
              <w:spacing w:after="0" w:line="240" w:lineRule="auto"/>
            </w:pPr>
            <w:r/>
            <w:r>
              <w:rPr>
                <w:b w:val="0"/>
                <w:i w:val="0"/>
                <w:sz w:val="18"/>
              </w:rPr>
              <w:t>Trustees of the Makowhai Trust – titles in receivership (A Grenfell and K Johnstone, McGrathNicol)</w:t>
            </w:r>
          </w:p>
        </w:tc>
      </w:tr>
      <w:tr>
        <w:tc>
          <w:tcPr>
            <w:tcW w:type="dxa" w:w="2608"/>
            <w:shd w:val="clear" w:color="auto" w:fill="F2F0EA"/>
          </w:tcPr>
          <w:p>
            <w:pPr>
              <w:spacing w:after="0" w:line="240" w:lineRule="auto"/>
            </w:pPr>
            <w:r/>
            <w:r>
              <w:rPr>
                <w:b/>
                <w:i w:val="0"/>
                <w:sz w:val="18"/>
              </w:rPr>
              <w:t>Records of title</w:t>
            </w:r>
          </w:p>
        </w:tc>
        <w:tc>
          <w:tcPr>
            <w:tcW w:type="dxa" w:w="7030"/>
          </w:tcPr>
          <w:p>
            <w:pPr>
              <w:spacing w:after="0" w:line="240" w:lineRule="auto"/>
            </w:pPr>
            <w:r/>
            <w:r>
              <w:rPr>
                <w:b w:val="0"/>
                <w:i w:val="0"/>
                <w:sz w:val="18"/>
              </w:rPr>
              <w:t>TN119/223, TNE3/650 (Taranaki Land District)</w:t>
            </w:r>
          </w:p>
        </w:tc>
      </w:tr>
      <w:tr>
        <w:tc>
          <w:tcPr>
            <w:tcW w:type="dxa" w:w="2608"/>
            <w:shd w:val="clear" w:color="auto" w:fill="F2F0EA"/>
          </w:tcPr>
          <w:p>
            <w:pPr>
              <w:spacing w:after="0" w:line="240" w:lineRule="auto"/>
            </w:pPr>
            <w:r/>
            <w:r>
              <w:rPr>
                <w:b/>
                <w:i w:val="0"/>
                <w:sz w:val="18"/>
              </w:rPr>
              <w:t>Title area</w:t>
            </w:r>
          </w:p>
        </w:tc>
        <w:tc>
          <w:tcPr>
            <w:tcW w:type="dxa" w:w="7030"/>
          </w:tcPr>
          <w:p>
            <w:pPr>
              <w:spacing w:after="0" w:line="240" w:lineRule="auto"/>
            </w:pPr>
            <w:r/>
            <w:r>
              <w:rPr>
                <w:b w:val="0"/>
                <w:i w:val="0"/>
                <w:sz w:val="18"/>
              </w:rPr>
              <w:t>1,165.17 ha</w:t>
            </w:r>
          </w:p>
        </w:tc>
      </w:tr>
      <w:tr>
        <w:tc>
          <w:tcPr>
            <w:tcW w:type="dxa" w:w="2608"/>
            <w:shd w:val="clear" w:color="auto" w:fill="F2F0EA"/>
          </w:tcPr>
          <w:p>
            <w:pPr>
              <w:spacing w:after="0" w:line="240" w:lineRule="auto"/>
            </w:pPr>
            <w:r/>
            <w:r>
              <w:rPr>
                <w:b/>
                <w:i w:val="0"/>
                <w:sz w:val="18"/>
              </w:rPr>
              <w:t>Location / address</w:t>
            </w:r>
          </w:p>
        </w:tc>
        <w:tc>
          <w:tcPr>
            <w:tcW w:type="dxa" w:w="7030"/>
          </w:tcPr>
          <w:p>
            <w:pPr>
              <w:spacing w:after="0" w:line="240" w:lineRule="auto"/>
            </w:pPr>
            <w:r/>
            <w:r>
              <w:rPr>
                <w:b w:val="0"/>
                <w:i w:val="0"/>
                <w:sz w:val="18"/>
              </w:rPr>
              <w:t>776–845 Kapara Road, Ngamatapouri</w:t>
            </w:r>
          </w:p>
        </w:tc>
      </w:tr>
      <w:tr>
        <w:tc>
          <w:tcPr>
            <w:tcW w:type="dxa" w:w="2608"/>
            <w:shd w:val="clear" w:color="auto" w:fill="F2F0EA"/>
          </w:tcPr>
          <w:p>
            <w:pPr>
              <w:spacing w:after="0" w:line="240" w:lineRule="auto"/>
            </w:pPr>
            <w:r/>
            <w:r>
              <w:rPr>
                <w:b/>
                <w:i w:val="0"/>
                <w:sz w:val="18"/>
              </w:rPr>
              <w:t>Territorial authority</w:t>
            </w:r>
          </w:p>
        </w:tc>
        <w:tc>
          <w:tcPr>
            <w:tcW w:type="dxa" w:w="7030"/>
          </w:tcPr>
          <w:p>
            <w:pPr>
              <w:spacing w:after="0" w:line="240" w:lineRule="auto"/>
            </w:pPr>
            <w:r/>
            <w:r>
              <w:rPr>
                <w:b w:val="0"/>
                <w:i w:val="0"/>
                <w:sz w:val="18"/>
              </w:rPr>
              <w:t>South Taranaki District</w:t>
            </w:r>
          </w:p>
        </w:tc>
      </w:tr>
      <w:tr>
        <w:tc>
          <w:tcPr>
            <w:tcW w:type="dxa" w:w="2608"/>
            <w:shd w:val="clear" w:color="auto" w:fill="F2F0EA"/>
          </w:tcPr>
          <w:p>
            <w:pPr>
              <w:spacing w:after="0" w:line="240" w:lineRule="auto"/>
            </w:pPr>
            <w:r/>
            <w:r>
              <w:rPr>
                <w:b/>
                <w:i w:val="0"/>
                <w:sz w:val="18"/>
              </w:rPr>
              <w:t>Regional council</w:t>
            </w:r>
          </w:p>
        </w:tc>
        <w:tc>
          <w:tcPr>
            <w:tcW w:type="dxa" w:w="7030"/>
          </w:tcPr>
          <w:p>
            <w:pPr>
              <w:spacing w:after="0" w:line="240" w:lineRule="auto"/>
            </w:pPr>
            <w:r/>
            <w:r>
              <w:rPr>
                <w:b w:val="0"/>
                <w:i w:val="0"/>
                <w:sz w:val="18"/>
              </w:rPr>
              <w:t>Taranaki Regional Council</w:t>
            </w:r>
          </w:p>
        </w:tc>
      </w:tr>
      <w:tr>
        <w:tc>
          <w:tcPr>
            <w:tcW w:type="dxa" w:w="2608"/>
            <w:shd w:val="clear" w:color="auto" w:fill="F2F0EA"/>
          </w:tcPr>
          <w:p>
            <w:pPr>
              <w:spacing w:after="0" w:line="240" w:lineRule="auto"/>
            </w:pPr>
            <w:r/>
            <w:r>
              <w:rPr>
                <w:b/>
                <w:i w:val="0"/>
                <w:sz w:val="18"/>
              </w:rPr>
              <w:t>Land cover (July 2026 mapping)</w:t>
            </w:r>
          </w:p>
        </w:tc>
        <w:tc>
          <w:tcPr>
            <w:tcW w:type="dxa" w:w="7030"/>
          </w:tcPr>
          <w:p>
            <w:pPr>
              <w:spacing w:after="0" w:line="240" w:lineRule="auto"/>
            </w:pPr>
            <w:r/>
            <w:r>
              <w:rPr>
                <w:b w:val="0"/>
                <w:i w:val="0"/>
                <w:sz w:val="18"/>
              </w:rPr>
              <w:t>Native bush 673.3 ha · Mānuka / kānuka 417.7 ha · Open grassland 73.9 ha</w:t>
            </w:r>
          </w:p>
        </w:tc>
      </w:tr>
      <w:tr>
        <w:tc>
          <w:tcPr>
            <w:tcW w:type="dxa" w:w="2608"/>
            <w:shd w:val="clear" w:color="auto" w:fill="F2F0EA"/>
          </w:tcPr>
          <w:p>
            <w:pPr>
              <w:spacing w:after="0" w:line="240" w:lineRule="auto"/>
            </w:pPr>
            <w:r/>
            <w:r>
              <w:rPr>
                <w:b/>
                <w:i w:val="0"/>
                <w:sz w:val="18"/>
              </w:rPr>
              <w:t>Open grassland by slope</w:t>
            </w:r>
          </w:p>
        </w:tc>
        <w:tc>
          <w:tcPr>
            <w:tcW w:type="dxa" w:w="7030"/>
          </w:tcPr>
          <w:p>
            <w:pPr>
              <w:spacing w:after="0" w:line="240" w:lineRule="auto"/>
            </w:pPr>
            <w:r/>
            <w:r>
              <w:rPr>
                <w:b w:val="0"/>
                <w:i w:val="0"/>
                <w:sz w:val="18"/>
              </w:rPr>
              <w:t>flat 5.1 · rolling 15.7 · medium hill 34.4 · very steep 18.7 ha</w:t>
            </w:r>
          </w:p>
        </w:tc>
      </w:tr>
      <w:tr>
        <w:tc>
          <w:tcPr>
            <w:tcW w:type="dxa" w:w="2608"/>
            <w:shd w:val="clear" w:color="auto" w:fill="F2F0EA"/>
          </w:tcPr>
          <w:p>
            <w:pPr>
              <w:spacing w:after="0" w:line="240" w:lineRule="auto"/>
            </w:pPr>
            <w:r/>
            <w:r>
              <w:rPr>
                <w:b/>
                <w:i w:val="0"/>
                <w:sz w:val="18"/>
              </w:rPr>
              <w:t>Pinus radiata crop (PF Olsen, April 2026)</w:t>
            </w:r>
          </w:p>
        </w:tc>
        <w:tc>
          <w:tcPr>
            <w:tcW w:type="dxa" w:w="7030"/>
          </w:tcPr>
          <w:p>
            <w:pPr>
              <w:spacing w:after="0" w:line="240" w:lineRule="auto"/>
            </w:pPr>
            <w:r/>
            <w:r>
              <w:rPr>
                <w:b w:val="0"/>
                <w:i w:val="0"/>
                <w:sz w:val="18"/>
              </w:rPr>
              <w:t>None</w:t>
            </w:r>
          </w:p>
        </w:tc>
      </w:tr>
      <w:tr>
        <w:tc>
          <w:tcPr>
            <w:tcW w:type="dxa" w:w="2608"/>
            <w:shd w:val="clear" w:color="auto" w:fill="F2F0EA"/>
          </w:tcPr>
          <w:p>
            <w:pPr>
              <w:spacing w:after="0" w:line="240" w:lineRule="auto"/>
            </w:pPr>
            <w:r/>
            <w:r>
              <w:rPr>
                <w:b/>
                <w:i w:val="0"/>
                <w:sz w:val="18"/>
              </w:rPr>
              <w:t>ETS carbon accounting areas</w:t>
            </w:r>
          </w:p>
        </w:tc>
        <w:tc>
          <w:tcPr>
            <w:tcW w:type="dxa" w:w="7030"/>
          </w:tcPr>
          <w:p>
            <w:pPr>
              <w:spacing w:after="0" w:line="240" w:lineRule="auto"/>
            </w:pPr>
            <w:r/>
            <w:r>
              <w:rPr>
                <w:b w:val="0"/>
                <w:i w:val="0"/>
                <w:sz w:val="18"/>
              </w:rPr>
              <w:t>Makowhai Station (landowner): 18.5 ha – Part of permanent-forest CAA 69 – 1996 indigenous on TN119/223</w:t>
            </w:r>
          </w:p>
        </w:tc>
      </w:tr>
      <w:tr>
        <w:tc>
          <w:tcPr>
            <w:tcW w:type="dxa" w:w="2608"/>
            <w:shd w:val="clear" w:color="auto" w:fill="F2F0EA"/>
          </w:tcPr>
          <w:p>
            <w:pPr>
              <w:spacing w:after="0" w:line="240" w:lineRule="auto"/>
            </w:pPr>
            <w:r/>
            <w:r>
              <w:rPr>
                <w:b/>
                <w:i w:val="0"/>
                <w:sz w:val="18"/>
              </w:rPr>
              <w:t>Indicatively ETS-eligible land</w:t>
            </w:r>
          </w:p>
        </w:tc>
        <w:tc>
          <w:tcPr>
            <w:tcW w:type="dxa" w:w="7030"/>
          </w:tcPr>
          <w:p>
            <w:pPr>
              <w:spacing w:after="0" w:line="240" w:lineRule="auto"/>
            </w:pPr>
            <w:r/>
            <w:r>
              <w:rPr>
                <w:b w:val="0"/>
                <w:i w:val="0"/>
                <w:sz w:val="18"/>
              </w:rPr>
              <w:t>about 259.8 ha (post-1989 grassland and scrub, MPI to determine)</w:t>
            </w:r>
          </w:p>
        </w:tc>
      </w:tr>
      <w:tr>
        <w:tc>
          <w:tcPr>
            <w:tcW w:type="dxa" w:w="2608"/>
            <w:shd w:val="clear" w:color="auto" w:fill="F2F0EA"/>
          </w:tcPr>
          <w:p>
            <w:pPr>
              <w:spacing w:after="0" w:line="240" w:lineRule="auto"/>
            </w:pPr>
            <w:r/>
            <w:r>
              <w:rPr>
                <w:b/>
                <w:i w:val="0"/>
                <w:sz w:val="18"/>
              </w:rPr>
              <w:t>Leases / occupation</w:t>
            </w:r>
          </w:p>
        </w:tc>
        <w:tc>
          <w:tcPr>
            <w:tcW w:type="dxa" w:w="7030"/>
          </w:tcPr>
          <w:p>
            <w:pPr>
              <w:spacing w:after="0" w:line="240" w:lineRule="auto"/>
            </w:pPr>
            <w:r/>
            <w:r>
              <w:rPr>
                <w:b w:val="0"/>
                <w:i w:val="0"/>
                <w:sz w:val="18"/>
              </w:rPr>
              <w:t xml:space="preserve">None known </w:t>
            </w:r>
            <w:r>
              <w:rPr>
                <w:b/>
                <w:i w:val="0"/>
                <w:color w:val="B01E1E"/>
                <w:sz w:val="18"/>
              </w:rPr>
              <w:t>[TBC]</w:t>
            </w:r>
          </w:p>
        </w:tc>
      </w:tr>
      <w:tr>
        <w:tc>
          <w:tcPr>
            <w:tcW w:type="dxa" w:w="2608"/>
            <w:shd w:val="clear" w:color="auto" w:fill="F2F0EA"/>
          </w:tcPr>
          <w:p>
            <w:pPr>
              <w:spacing w:after="0" w:line="240" w:lineRule="auto"/>
            </w:pPr>
            <w:r/>
            <w:r>
              <w:rPr>
                <w:b/>
                <w:i w:val="0"/>
                <w:sz w:val="18"/>
              </w:rPr>
              <w:t>Access</w:t>
            </w:r>
          </w:p>
        </w:tc>
        <w:tc>
          <w:tcPr>
            <w:tcW w:type="dxa" w:w="7030"/>
          </w:tcPr>
          <w:p>
            <w:pPr>
              <w:spacing w:after="0" w:line="240" w:lineRule="auto"/>
            </w:pPr>
            <w:r/>
            <w:r>
              <w:rPr>
                <w:b w:val="0"/>
                <w:i w:val="0"/>
                <w:sz w:val="18"/>
              </w:rPr>
              <w:t xml:space="preserve">Kapara Road frontage </w:t>
            </w:r>
            <w:r>
              <w:rPr>
                <w:b/>
                <w:i w:val="0"/>
                <w:color w:val="B01E1E"/>
                <w:sz w:val="18"/>
              </w:rPr>
              <w:t>[TBC]</w:t>
            </w:r>
            <w:r>
              <w:rPr>
                <w:b w:val="0"/>
                <w:i w:val="0"/>
                <w:sz w:val="18"/>
              </w:rPr>
              <w:t>.</w:t>
            </w:r>
          </w:p>
        </w:tc>
      </w:tr>
      <w:tr>
        <w:tc>
          <w:tcPr>
            <w:tcW w:type="dxa" w:w="2608"/>
            <w:shd w:val="clear" w:color="auto" w:fill="F2F0EA"/>
          </w:tcPr>
          <w:p>
            <w:pPr>
              <w:spacing w:after="0" w:line="240" w:lineRule="auto"/>
            </w:pPr>
            <w:r/>
            <w:r>
              <w:rPr>
                <w:b/>
                <w:i w:val="0"/>
                <w:sz w:val="18"/>
              </w:rPr>
              <w:t>Improvements</w:t>
            </w:r>
          </w:p>
        </w:tc>
        <w:tc>
          <w:tcPr>
            <w:tcW w:type="dxa" w:w="7030"/>
          </w:tcPr>
          <w:p>
            <w:pPr>
              <w:spacing w:after="0" w:line="240" w:lineRule="auto"/>
            </w:pPr>
            <w:r/>
            <w:r>
              <w:rPr>
                <w:b/>
                <w:i w:val="0"/>
                <w:color w:val="B01E1E"/>
                <w:sz w:val="18"/>
              </w:rPr>
              <w:t>[TBC – schedule of buildings]</w:t>
            </w:r>
            <w:r>
              <w:rPr>
                <w:b w:val="0"/>
                <w:i w:val="0"/>
                <w:sz w:val="18"/>
              </w:rPr>
              <w:t xml:space="preserve"> (CBRE Oct 2024 carried $275,000 of improvements)</w:t>
            </w:r>
          </w:p>
        </w:tc>
      </w:tr>
      <w:tr>
        <w:tc>
          <w:tcPr>
            <w:tcW w:type="dxa" w:w="2608"/>
            <w:shd w:val="clear" w:color="auto" w:fill="F2F0EA"/>
          </w:tcPr>
          <w:p>
            <w:pPr>
              <w:spacing w:after="0" w:line="240" w:lineRule="auto"/>
            </w:pPr>
            <w:r/>
            <w:r>
              <w:rPr>
                <w:b/>
                <w:i w:val="0"/>
                <w:sz w:val="18"/>
              </w:rPr>
              <w:t>Rating valuation / rates</w:t>
            </w:r>
          </w:p>
        </w:tc>
        <w:tc>
          <w:tcPr>
            <w:tcW w:type="dxa" w:w="7030"/>
          </w:tcPr>
          <w:p>
            <w:pPr>
              <w:spacing w:after="0" w:line="240" w:lineRule="auto"/>
            </w:pPr>
            <w:r/>
            <w:r>
              <w:rPr>
                <w:b/>
                <w:i w:val="0"/>
                <w:color w:val="B01E1E"/>
                <w:sz w:val="18"/>
              </w:rPr>
              <w:t>[TBC]</w:t>
            </w:r>
          </w:p>
        </w:tc>
      </w:tr>
    </w:tbl>
    <w:p>
      <w:pPr>
        <w:spacing w:after="40"/>
      </w:pPr>
    </w:p>
    <w:p>
      <w:pPr>
        <w:pStyle w:val="Heading3"/>
      </w:pPr>
      <w:r>
        <w:t>Description</w:t>
      </w:r>
    </w:p>
    <w:p>
      <w:r>
        <w:rPr>
          <w:b w:val="0"/>
          <w:i w:val="0"/>
        </w:rPr>
        <w:t>Two titles of 1,165 ha between Front Farm and the Eastern Block: 673 ha of native bush, 418 ha of mānuka/kānuka and about 74 ha of open ground. About 260 ha of the scrub and grassland is indicatively post-1989 and potentially ETS-eligible. CBRE carried $275,000 of improvements. The private residence occupied by the former owner is understood not to be on the land being sold.</w:t>
      </w:r>
    </w:p>
    <w:p>
      <w:pPr>
        <w:pStyle w:val="Heading3"/>
      </w:pPr>
      <w:r>
        <w:t>Points to note</w:t>
      </w:r>
    </w:p>
    <w:p>
      <w:pPr>
        <w:pStyle w:val="ListBullet"/>
        <w:spacing w:after="40"/>
      </w:pPr>
      <w:r>
        <w:rPr>
          <w:b w:val="0"/>
          <w:i w:val="0"/>
        </w:rPr>
        <w:t>No Pinus radiata on the block.</w:t>
      </w:r>
    </w:p>
    <w:p>
      <w:pPr>
        <w:pStyle w:val="Heading3"/>
      </w:pPr>
      <w:r>
        <w:t>Items to confirm</w:t>
      </w:r>
    </w:p>
    <w:p>
      <w:pPr>
        <w:pStyle w:val="ListBullet"/>
        <w:spacing w:after="40"/>
      </w:pPr>
      <w:r>
        <w:rPr>
          <w:b/>
          <w:i w:val="0"/>
          <w:color w:val="B01E1E"/>
        </w:rPr>
        <w:t>[TBC]</w:t>
      </w:r>
      <w:r>
        <w:rPr>
          <w:b w:val="0"/>
          <w:i w:val="0"/>
        </w:rPr>
        <w:t xml:space="preserve"> Improvements and occupancy; confirm the former owner's residence is outside the sale titles.</w:t>
      </w:r>
    </w:p>
    <w:p>
      <w:r>
        <w:br w:type="page"/>
      </w:r>
    </w:p>
    <w:p>
      <w:pPr>
        <w:pStyle w:val="Heading2"/>
      </w:pPr>
      <w:r>
        <w:t>3.12  Patricks House</w:t>
      </w:r>
    </w:p>
    <w:p>
      <w:pPr>
        <w:spacing w:after="120"/>
      </w:pPr>
      <w:r>
        <w:rPr>
          <w:b w:val="0"/>
          <w:i/>
          <w:color w:val="717D4A"/>
        </w:rPr>
        <w:t>Waitōtara Valley / Ngamatapouri (South Taranaki District) · Dwelling block</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4819"/>
        <w:gridCol w:w="4819"/>
      </w:tblGrid>
      <w:tr>
        <w:tc>
          <w:tcPr>
            <w:tcW w:type="dxa" w:w="2608"/>
            <w:shd w:val="clear" w:color="auto" w:fill="F2F0EA"/>
          </w:tcPr>
          <w:p>
            <w:pPr>
              <w:spacing w:after="0" w:line="240" w:lineRule="auto"/>
            </w:pPr>
            <w:r/>
            <w:r>
              <w:rPr>
                <w:b/>
                <w:i w:val="0"/>
                <w:sz w:val="18"/>
              </w:rPr>
              <w:t>Vendor / interest</w:t>
            </w:r>
          </w:p>
        </w:tc>
        <w:tc>
          <w:tcPr>
            <w:tcW w:type="dxa" w:w="7030"/>
          </w:tcPr>
          <w:p>
            <w:pPr>
              <w:spacing w:after="0" w:line="240" w:lineRule="auto"/>
            </w:pPr>
            <w:r/>
            <w:r>
              <w:rPr>
                <w:b w:val="0"/>
                <w:i w:val="0"/>
                <w:sz w:val="18"/>
              </w:rPr>
              <w:t>Nirvana Farm Limited (In Receivership)</w:t>
            </w:r>
          </w:p>
        </w:tc>
      </w:tr>
      <w:tr>
        <w:tc>
          <w:tcPr>
            <w:tcW w:type="dxa" w:w="2608"/>
            <w:shd w:val="clear" w:color="auto" w:fill="F2F0EA"/>
          </w:tcPr>
          <w:p>
            <w:pPr>
              <w:spacing w:after="0" w:line="240" w:lineRule="auto"/>
            </w:pPr>
            <w:r/>
            <w:r>
              <w:rPr>
                <w:b/>
                <w:i w:val="0"/>
                <w:sz w:val="18"/>
              </w:rPr>
              <w:t>Records of title</w:t>
            </w:r>
          </w:p>
        </w:tc>
        <w:tc>
          <w:tcPr>
            <w:tcW w:type="dxa" w:w="7030"/>
          </w:tcPr>
          <w:p>
            <w:pPr>
              <w:spacing w:after="0" w:line="240" w:lineRule="auto"/>
            </w:pPr>
            <w:r/>
            <w:r>
              <w:rPr>
                <w:b w:val="0"/>
                <w:i w:val="0"/>
                <w:sz w:val="18"/>
              </w:rPr>
              <w:t>690021, WN53B/169, WN53B/170 (Wellington Land District)</w:t>
            </w:r>
          </w:p>
        </w:tc>
      </w:tr>
      <w:tr>
        <w:tc>
          <w:tcPr>
            <w:tcW w:type="dxa" w:w="2608"/>
            <w:shd w:val="clear" w:color="auto" w:fill="F2F0EA"/>
          </w:tcPr>
          <w:p>
            <w:pPr>
              <w:spacing w:after="0" w:line="240" w:lineRule="auto"/>
            </w:pPr>
            <w:r/>
            <w:r>
              <w:rPr>
                <w:b/>
                <w:i w:val="0"/>
                <w:sz w:val="18"/>
              </w:rPr>
              <w:t>Title area</w:t>
            </w:r>
          </w:p>
        </w:tc>
        <w:tc>
          <w:tcPr>
            <w:tcW w:type="dxa" w:w="7030"/>
          </w:tcPr>
          <w:p>
            <w:pPr>
              <w:spacing w:after="0" w:line="240" w:lineRule="auto"/>
            </w:pPr>
            <w:r/>
            <w:r>
              <w:rPr>
                <w:b w:val="0"/>
                <w:i w:val="0"/>
                <w:sz w:val="18"/>
              </w:rPr>
              <w:t>27.66 ha</w:t>
            </w:r>
          </w:p>
        </w:tc>
      </w:tr>
      <w:tr>
        <w:tc>
          <w:tcPr>
            <w:tcW w:type="dxa" w:w="2608"/>
            <w:shd w:val="clear" w:color="auto" w:fill="F2F0EA"/>
          </w:tcPr>
          <w:p>
            <w:pPr>
              <w:spacing w:after="0" w:line="240" w:lineRule="auto"/>
            </w:pPr>
            <w:r/>
            <w:r>
              <w:rPr>
                <w:b/>
                <w:i w:val="0"/>
                <w:sz w:val="18"/>
              </w:rPr>
              <w:t>Location / address</w:t>
            </w:r>
          </w:p>
        </w:tc>
        <w:tc>
          <w:tcPr>
            <w:tcW w:type="dxa" w:w="7030"/>
          </w:tcPr>
          <w:p>
            <w:pPr>
              <w:spacing w:after="0" w:line="240" w:lineRule="auto"/>
            </w:pPr>
            <w:r/>
            <w:r>
              <w:rPr>
                <w:b w:val="0"/>
                <w:i w:val="0"/>
                <w:sz w:val="18"/>
              </w:rPr>
              <w:t>2606 Waitotara Valley Road, Waitōtara</w:t>
            </w:r>
          </w:p>
        </w:tc>
      </w:tr>
      <w:tr>
        <w:tc>
          <w:tcPr>
            <w:tcW w:type="dxa" w:w="2608"/>
            <w:shd w:val="clear" w:color="auto" w:fill="F2F0EA"/>
          </w:tcPr>
          <w:p>
            <w:pPr>
              <w:spacing w:after="0" w:line="240" w:lineRule="auto"/>
            </w:pPr>
            <w:r/>
            <w:r>
              <w:rPr>
                <w:b/>
                <w:i w:val="0"/>
                <w:sz w:val="18"/>
              </w:rPr>
              <w:t>Territorial authority</w:t>
            </w:r>
          </w:p>
        </w:tc>
        <w:tc>
          <w:tcPr>
            <w:tcW w:type="dxa" w:w="7030"/>
          </w:tcPr>
          <w:p>
            <w:pPr>
              <w:spacing w:after="0" w:line="240" w:lineRule="auto"/>
            </w:pPr>
            <w:r/>
            <w:r>
              <w:rPr>
                <w:b w:val="0"/>
                <w:i w:val="0"/>
                <w:sz w:val="18"/>
              </w:rPr>
              <w:t>South Taranaki District</w:t>
            </w:r>
          </w:p>
        </w:tc>
      </w:tr>
      <w:tr>
        <w:tc>
          <w:tcPr>
            <w:tcW w:type="dxa" w:w="2608"/>
            <w:shd w:val="clear" w:color="auto" w:fill="F2F0EA"/>
          </w:tcPr>
          <w:p>
            <w:pPr>
              <w:spacing w:after="0" w:line="240" w:lineRule="auto"/>
            </w:pPr>
            <w:r/>
            <w:r>
              <w:rPr>
                <w:b/>
                <w:i w:val="0"/>
                <w:sz w:val="18"/>
              </w:rPr>
              <w:t>Regional council</w:t>
            </w:r>
          </w:p>
        </w:tc>
        <w:tc>
          <w:tcPr>
            <w:tcW w:type="dxa" w:w="7030"/>
          </w:tcPr>
          <w:p>
            <w:pPr>
              <w:spacing w:after="0" w:line="240" w:lineRule="auto"/>
            </w:pPr>
            <w:r/>
            <w:r>
              <w:rPr>
                <w:b w:val="0"/>
                <w:i w:val="0"/>
                <w:sz w:val="18"/>
              </w:rPr>
              <w:t>Taranaki Regional Council</w:t>
            </w:r>
          </w:p>
        </w:tc>
      </w:tr>
      <w:tr>
        <w:tc>
          <w:tcPr>
            <w:tcW w:type="dxa" w:w="2608"/>
            <w:shd w:val="clear" w:color="auto" w:fill="F2F0EA"/>
          </w:tcPr>
          <w:p>
            <w:pPr>
              <w:spacing w:after="0" w:line="240" w:lineRule="auto"/>
            </w:pPr>
            <w:r/>
            <w:r>
              <w:rPr>
                <w:b/>
                <w:i w:val="0"/>
                <w:sz w:val="18"/>
              </w:rPr>
              <w:t>Land cover (July 2026 mapping)</w:t>
            </w:r>
          </w:p>
        </w:tc>
        <w:tc>
          <w:tcPr>
            <w:tcW w:type="dxa" w:w="7030"/>
          </w:tcPr>
          <w:p>
            <w:pPr>
              <w:spacing w:after="0" w:line="240" w:lineRule="auto"/>
            </w:pPr>
            <w:r/>
            <w:r>
              <w:rPr>
                <w:b w:val="0"/>
                <w:i w:val="0"/>
                <w:sz w:val="18"/>
              </w:rPr>
              <w:t>Native bush 0.1 ha · Mānuka / kānuka 16.5 ha · Open grassland 11.1 ha</w:t>
            </w:r>
          </w:p>
        </w:tc>
      </w:tr>
      <w:tr>
        <w:tc>
          <w:tcPr>
            <w:tcW w:type="dxa" w:w="2608"/>
            <w:shd w:val="clear" w:color="auto" w:fill="F2F0EA"/>
          </w:tcPr>
          <w:p>
            <w:pPr>
              <w:spacing w:after="0" w:line="240" w:lineRule="auto"/>
            </w:pPr>
            <w:r/>
            <w:r>
              <w:rPr>
                <w:b/>
                <w:i w:val="0"/>
                <w:sz w:val="18"/>
              </w:rPr>
              <w:t>Open grassland by slope</w:t>
            </w:r>
          </w:p>
        </w:tc>
        <w:tc>
          <w:tcPr>
            <w:tcW w:type="dxa" w:w="7030"/>
          </w:tcPr>
          <w:p>
            <w:pPr>
              <w:spacing w:after="0" w:line="240" w:lineRule="auto"/>
            </w:pPr>
            <w:r/>
            <w:r>
              <w:rPr>
                <w:b w:val="0"/>
                <w:i w:val="0"/>
                <w:sz w:val="18"/>
              </w:rPr>
              <w:t>flat 6.5 · rolling 2.2 · medium hill 1.9 · very steep 0.3 ha</w:t>
            </w:r>
          </w:p>
        </w:tc>
      </w:tr>
      <w:tr>
        <w:tc>
          <w:tcPr>
            <w:tcW w:type="dxa" w:w="2608"/>
            <w:shd w:val="clear" w:color="auto" w:fill="F2F0EA"/>
          </w:tcPr>
          <w:p>
            <w:pPr>
              <w:spacing w:after="0" w:line="240" w:lineRule="auto"/>
            </w:pPr>
            <w:r/>
            <w:r>
              <w:rPr>
                <w:b/>
                <w:i w:val="0"/>
                <w:sz w:val="18"/>
              </w:rPr>
              <w:t>Pinus radiata crop (PF Olsen, April 2026)</w:t>
            </w:r>
          </w:p>
        </w:tc>
        <w:tc>
          <w:tcPr>
            <w:tcW w:type="dxa" w:w="7030"/>
          </w:tcPr>
          <w:p>
            <w:pPr>
              <w:spacing w:after="0" w:line="240" w:lineRule="auto"/>
            </w:pPr>
            <w:r/>
            <w:r>
              <w:rPr>
                <w:b w:val="0"/>
                <w:i w:val="0"/>
                <w:sz w:val="18"/>
              </w:rPr>
              <w:t>None</w:t>
            </w:r>
          </w:p>
        </w:tc>
      </w:tr>
      <w:tr>
        <w:tc>
          <w:tcPr>
            <w:tcW w:type="dxa" w:w="2608"/>
            <w:shd w:val="clear" w:color="auto" w:fill="F2F0EA"/>
          </w:tcPr>
          <w:p>
            <w:pPr>
              <w:spacing w:after="0" w:line="240" w:lineRule="auto"/>
            </w:pPr>
            <w:r/>
            <w:r>
              <w:rPr>
                <w:b/>
                <w:i w:val="0"/>
                <w:sz w:val="18"/>
              </w:rPr>
              <w:t>ETS carbon accounting areas</w:t>
            </w:r>
          </w:p>
        </w:tc>
        <w:tc>
          <w:tcPr>
            <w:tcW w:type="dxa" w:w="7030"/>
          </w:tcPr>
          <w:p>
            <w:pPr>
              <w:spacing w:after="0" w:line="240" w:lineRule="auto"/>
            </w:pPr>
            <w:r/>
            <w:r>
              <w:rPr>
                <w:b w:val="0"/>
                <w:i w:val="0"/>
                <w:sz w:val="18"/>
              </w:rPr>
              <w:t>No carbon accounting areas registered</w:t>
            </w:r>
          </w:p>
        </w:tc>
      </w:tr>
      <w:tr>
        <w:tc>
          <w:tcPr>
            <w:tcW w:type="dxa" w:w="2608"/>
            <w:shd w:val="clear" w:color="auto" w:fill="F2F0EA"/>
          </w:tcPr>
          <w:p>
            <w:pPr>
              <w:spacing w:after="0" w:line="240" w:lineRule="auto"/>
            </w:pPr>
            <w:r/>
            <w:r>
              <w:rPr>
                <w:b/>
                <w:i w:val="0"/>
                <w:sz w:val="18"/>
              </w:rPr>
              <w:t>Indicatively ETS-eligible land</w:t>
            </w:r>
          </w:p>
        </w:tc>
        <w:tc>
          <w:tcPr>
            <w:tcW w:type="dxa" w:w="7030"/>
          </w:tcPr>
          <w:p>
            <w:pPr>
              <w:spacing w:after="0" w:line="240" w:lineRule="auto"/>
            </w:pPr>
            <w:r/>
            <w:r>
              <w:rPr>
                <w:b w:val="0"/>
                <w:i w:val="0"/>
                <w:sz w:val="18"/>
              </w:rPr>
              <w:t>about 27.6 ha (post-1989 grassland and scrub, MPI to determine)</w:t>
            </w:r>
          </w:p>
        </w:tc>
      </w:tr>
      <w:tr>
        <w:tc>
          <w:tcPr>
            <w:tcW w:type="dxa" w:w="2608"/>
            <w:shd w:val="clear" w:color="auto" w:fill="F2F0EA"/>
          </w:tcPr>
          <w:p>
            <w:pPr>
              <w:spacing w:after="0" w:line="240" w:lineRule="auto"/>
            </w:pPr>
            <w:r/>
            <w:r>
              <w:rPr>
                <w:b/>
                <w:i w:val="0"/>
                <w:sz w:val="18"/>
              </w:rPr>
              <w:t>Leases / occupation</w:t>
            </w:r>
          </w:p>
        </w:tc>
        <w:tc>
          <w:tcPr>
            <w:tcW w:type="dxa" w:w="7030"/>
          </w:tcPr>
          <w:p>
            <w:pPr>
              <w:spacing w:after="0" w:line="240" w:lineRule="auto"/>
            </w:pPr>
            <w:r/>
            <w:r>
              <w:rPr>
                <w:b w:val="0"/>
                <w:i w:val="0"/>
                <w:sz w:val="18"/>
              </w:rPr>
              <w:t xml:space="preserve">None known </w:t>
            </w:r>
            <w:r>
              <w:rPr>
                <w:b/>
                <w:i w:val="0"/>
                <w:color w:val="B01E1E"/>
                <w:sz w:val="18"/>
              </w:rPr>
              <w:t>[TBC]</w:t>
            </w:r>
          </w:p>
        </w:tc>
      </w:tr>
      <w:tr>
        <w:tc>
          <w:tcPr>
            <w:tcW w:type="dxa" w:w="2608"/>
            <w:shd w:val="clear" w:color="auto" w:fill="F2F0EA"/>
          </w:tcPr>
          <w:p>
            <w:pPr>
              <w:spacing w:after="0" w:line="240" w:lineRule="auto"/>
            </w:pPr>
            <w:r/>
            <w:r>
              <w:rPr>
                <w:b/>
                <w:i w:val="0"/>
                <w:sz w:val="18"/>
              </w:rPr>
              <w:t>Access</w:t>
            </w:r>
          </w:p>
        </w:tc>
        <w:tc>
          <w:tcPr>
            <w:tcW w:type="dxa" w:w="7030"/>
          </w:tcPr>
          <w:p>
            <w:pPr>
              <w:spacing w:after="0" w:line="240" w:lineRule="auto"/>
            </w:pPr>
            <w:r/>
            <w:r>
              <w:rPr>
                <w:b w:val="0"/>
                <w:i w:val="0"/>
                <w:sz w:val="18"/>
              </w:rPr>
              <w:t>Road frontage to Waitotara Valley Road.</w:t>
            </w:r>
          </w:p>
        </w:tc>
      </w:tr>
      <w:tr>
        <w:tc>
          <w:tcPr>
            <w:tcW w:type="dxa" w:w="2608"/>
            <w:shd w:val="clear" w:color="auto" w:fill="F2F0EA"/>
          </w:tcPr>
          <w:p>
            <w:pPr>
              <w:spacing w:after="0" w:line="240" w:lineRule="auto"/>
            </w:pPr>
            <w:r/>
            <w:r>
              <w:rPr>
                <w:b/>
                <w:i w:val="0"/>
                <w:sz w:val="18"/>
              </w:rPr>
              <w:t>Improvements</w:t>
            </w:r>
          </w:p>
        </w:tc>
        <w:tc>
          <w:tcPr>
            <w:tcW w:type="dxa" w:w="7030"/>
          </w:tcPr>
          <w:p>
            <w:pPr>
              <w:spacing w:after="0" w:line="240" w:lineRule="auto"/>
            </w:pPr>
            <w:r/>
            <w:r>
              <w:rPr>
                <w:b/>
                <w:i w:val="0"/>
                <w:color w:val="B01E1E"/>
                <w:sz w:val="18"/>
              </w:rPr>
              <w:t>[TBC – schedule of buildings]</w:t>
            </w:r>
            <w:r>
              <w:rPr>
                <w:b w:val="0"/>
                <w:i w:val="0"/>
                <w:sz w:val="18"/>
              </w:rPr>
              <w:t xml:space="preserve"> (CBRE Oct 2024 carried $300,000 of improvements)</w:t>
            </w:r>
          </w:p>
        </w:tc>
      </w:tr>
      <w:tr>
        <w:tc>
          <w:tcPr>
            <w:tcW w:type="dxa" w:w="2608"/>
            <w:shd w:val="clear" w:color="auto" w:fill="F2F0EA"/>
          </w:tcPr>
          <w:p>
            <w:pPr>
              <w:spacing w:after="0" w:line="240" w:lineRule="auto"/>
            </w:pPr>
            <w:r/>
            <w:r>
              <w:rPr>
                <w:b/>
                <w:i w:val="0"/>
                <w:sz w:val="18"/>
              </w:rPr>
              <w:t>Rating valuation / rates</w:t>
            </w:r>
          </w:p>
        </w:tc>
        <w:tc>
          <w:tcPr>
            <w:tcW w:type="dxa" w:w="7030"/>
          </w:tcPr>
          <w:p>
            <w:pPr>
              <w:spacing w:after="0" w:line="240" w:lineRule="auto"/>
            </w:pPr>
            <w:r/>
            <w:r>
              <w:rPr>
                <w:b/>
                <w:i w:val="0"/>
                <w:color w:val="B01E1E"/>
                <w:sz w:val="18"/>
              </w:rPr>
              <w:t>[TBC]</w:t>
            </w:r>
          </w:p>
        </w:tc>
      </w:tr>
    </w:tbl>
    <w:p>
      <w:pPr>
        <w:spacing w:after="40"/>
      </w:pPr>
    </w:p>
    <w:p>
      <w:pPr>
        <w:pStyle w:val="Heading3"/>
      </w:pPr>
      <w:r>
        <w:t>Description</w:t>
      </w:r>
    </w:p>
    <w:p>
      <w:r>
        <w:rPr>
          <w:b w:val="0"/>
          <w:i w:val="0"/>
        </w:rPr>
        <w:t>A 27.7 ha dwelling block on the Waitotara Valley Road with about 11 ha of easy to rolling pasture and 16 ha of scrub. CBRE carried $300,000 of improvements, being the house and outbuildings.</w:t>
      </w:r>
    </w:p>
    <w:p>
      <w:pPr>
        <w:pStyle w:val="Heading3"/>
      </w:pPr>
      <w:r>
        <w:t>Items to confirm</w:t>
      </w:r>
    </w:p>
    <w:p>
      <w:pPr>
        <w:pStyle w:val="ListBullet"/>
        <w:spacing w:after="40"/>
      </w:pPr>
      <w:r>
        <w:rPr>
          <w:b/>
          <w:i w:val="0"/>
          <w:color w:val="B01E1E"/>
        </w:rPr>
        <w:t>[TBC]</w:t>
      </w:r>
      <w:r>
        <w:rPr>
          <w:b w:val="0"/>
          <w:i w:val="0"/>
        </w:rPr>
        <w:t xml:space="preserve"> Dwelling description, condition and occupancy (a tenant, 'Rex', is believed to occupy one of the estate dwellings).</w:t>
      </w:r>
    </w:p>
    <w:p>
      <w:r>
        <w:br w:type="page"/>
      </w:r>
    </w:p>
    <w:p>
      <w:pPr>
        <w:pStyle w:val="Heading2"/>
      </w:pPr>
      <w:r>
        <w:t>3.13  Workers House</w:t>
      </w:r>
    </w:p>
    <w:p>
      <w:pPr>
        <w:spacing w:after="120"/>
      </w:pPr>
      <w:r>
        <w:rPr>
          <w:b w:val="0"/>
          <w:i/>
          <w:color w:val="717D4A"/>
        </w:rPr>
        <w:t>Waitōtara Valley / Ngamatapouri (South Taranaki District) · Dwelling block</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4819"/>
        <w:gridCol w:w="4819"/>
      </w:tblGrid>
      <w:tr>
        <w:tc>
          <w:tcPr>
            <w:tcW w:type="dxa" w:w="2608"/>
            <w:shd w:val="clear" w:color="auto" w:fill="F2F0EA"/>
          </w:tcPr>
          <w:p>
            <w:pPr>
              <w:spacing w:after="0" w:line="240" w:lineRule="auto"/>
            </w:pPr>
            <w:r/>
            <w:r>
              <w:rPr>
                <w:b/>
                <w:i w:val="0"/>
                <w:sz w:val="18"/>
              </w:rPr>
              <w:t>Vendor / interest</w:t>
            </w:r>
          </w:p>
        </w:tc>
        <w:tc>
          <w:tcPr>
            <w:tcW w:type="dxa" w:w="7030"/>
          </w:tcPr>
          <w:p>
            <w:pPr>
              <w:spacing w:after="0" w:line="240" w:lineRule="auto"/>
            </w:pPr>
            <w:r/>
            <w:r>
              <w:rPr>
                <w:b w:val="0"/>
                <w:i w:val="0"/>
                <w:sz w:val="18"/>
              </w:rPr>
              <w:t>Nirvana Farm Limited (In Receivership)</w:t>
            </w:r>
          </w:p>
        </w:tc>
      </w:tr>
      <w:tr>
        <w:tc>
          <w:tcPr>
            <w:tcW w:type="dxa" w:w="2608"/>
            <w:shd w:val="clear" w:color="auto" w:fill="F2F0EA"/>
          </w:tcPr>
          <w:p>
            <w:pPr>
              <w:spacing w:after="0" w:line="240" w:lineRule="auto"/>
            </w:pPr>
            <w:r/>
            <w:r>
              <w:rPr>
                <w:b/>
                <w:i w:val="0"/>
                <w:sz w:val="18"/>
              </w:rPr>
              <w:t>Records of title</w:t>
            </w:r>
          </w:p>
        </w:tc>
        <w:tc>
          <w:tcPr>
            <w:tcW w:type="dxa" w:w="7030"/>
          </w:tcPr>
          <w:p>
            <w:pPr>
              <w:spacing w:after="0" w:line="240" w:lineRule="auto"/>
            </w:pPr>
            <w:r/>
            <w:r>
              <w:rPr>
                <w:b w:val="0"/>
                <w:i w:val="0"/>
                <w:sz w:val="18"/>
              </w:rPr>
              <w:t>TNE3/610, TNE3/611 (Taranaki Land District)</w:t>
            </w:r>
          </w:p>
        </w:tc>
      </w:tr>
      <w:tr>
        <w:tc>
          <w:tcPr>
            <w:tcW w:type="dxa" w:w="2608"/>
            <w:shd w:val="clear" w:color="auto" w:fill="F2F0EA"/>
          </w:tcPr>
          <w:p>
            <w:pPr>
              <w:spacing w:after="0" w:line="240" w:lineRule="auto"/>
            </w:pPr>
            <w:r/>
            <w:r>
              <w:rPr>
                <w:b/>
                <w:i w:val="0"/>
                <w:sz w:val="18"/>
              </w:rPr>
              <w:t>Title area</w:t>
            </w:r>
          </w:p>
        </w:tc>
        <w:tc>
          <w:tcPr>
            <w:tcW w:type="dxa" w:w="7030"/>
          </w:tcPr>
          <w:p>
            <w:pPr>
              <w:spacing w:after="0" w:line="240" w:lineRule="auto"/>
            </w:pPr>
            <w:r/>
            <w:r>
              <w:rPr>
                <w:b w:val="0"/>
                <w:i w:val="0"/>
                <w:sz w:val="18"/>
              </w:rPr>
              <w:t>1.71 ha</w:t>
            </w:r>
          </w:p>
        </w:tc>
      </w:tr>
      <w:tr>
        <w:tc>
          <w:tcPr>
            <w:tcW w:type="dxa" w:w="2608"/>
            <w:shd w:val="clear" w:color="auto" w:fill="F2F0EA"/>
          </w:tcPr>
          <w:p>
            <w:pPr>
              <w:spacing w:after="0" w:line="240" w:lineRule="auto"/>
            </w:pPr>
            <w:r/>
            <w:r>
              <w:rPr>
                <w:b/>
                <w:i w:val="0"/>
                <w:sz w:val="18"/>
              </w:rPr>
              <w:t>Location / address</w:t>
            </w:r>
          </w:p>
        </w:tc>
        <w:tc>
          <w:tcPr>
            <w:tcW w:type="dxa" w:w="7030"/>
          </w:tcPr>
          <w:p>
            <w:pPr>
              <w:spacing w:after="0" w:line="240" w:lineRule="auto"/>
            </w:pPr>
            <w:r/>
            <w:r>
              <w:rPr>
                <w:b w:val="0"/>
                <w:i w:val="0"/>
                <w:sz w:val="18"/>
              </w:rPr>
              <w:t>228 Taumatatahi Road, Ngamatapouri</w:t>
            </w:r>
          </w:p>
        </w:tc>
      </w:tr>
      <w:tr>
        <w:tc>
          <w:tcPr>
            <w:tcW w:type="dxa" w:w="2608"/>
            <w:shd w:val="clear" w:color="auto" w:fill="F2F0EA"/>
          </w:tcPr>
          <w:p>
            <w:pPr>
              <w:spacing w:after="0" w:line="240" w:lineRule="auto"/>
            </w:pPr>
            <w:r/>
            <w:r>
              <w:rPr>
                <w:b/>
                <w:i w:val="0"/>
                <w:sz w:val="18"/>
              </w:rPr>
              <w:t>Territorial authority</w:t>
            </w:r>
          </w:p>
        </w:tc>
        <w:tc>
          <w:tcPr>
            <w:tcW w:type="dxa" w:w="7030"/>
          </w:tcPr>
          <w:p>
            <w:pPr>
              <w:spacing w:after="0" w:line="240" w:lineRule="auto"/>
            </w:pPr>
            <w:r/>
            <w:r>
              <w:rPr>
                <w:b w:val="0"/>
                <w:i w:val="0"/>
                <w:sz w:val="18"/>
              </w:rPr>
              <w:t>South Taranaki District</w:t>
            </w:r>
          </w:p>
        </w:tc>
      </w:tr>
      <w:tr>
        <w:tc>
          <w:tcPr>
            <w:tcW w:type="dxa" w:w="2608"/>
            <w:shd w:val="clear" w:color="auto" w:fill="F2F0EA"/>
          </w:tcPr>
          <w:p>
            <w:pPr>
              <w:spacing w:after="0" w:line="240" w:lineRule="auto"/>
            </w:pPr>
            <w:r/>
            <w:r>
              <w:rPr>
                <w:b/>
                <w:i w:val="0"/>
                <w:sz w:val="18"/>
              </w:rPr>
              <w:t>Regional council</w:t>
            </w:r>
          </w:p>
        </w:tc>
        <w:tc>
          <w:tcPr>
            <w:tcW w:type="dxa" w:w="7030"/>
          </w:tcPr>
          <w:p>
            <w:pPr>
              <w:spacing w:after="0" w:line="240" w:lineRule="auto"/>
            </w:pPr>
            <w:r/>
            <w:r>
              <w:rPr>
                <w:b w:val="0"/>
                <w:i w:val="0"/>
                <w:sz w:val="18"/>
              </w:rPr>
              <w:t>Taranaki Regional Council</w:t>
            </w:r>
          </w:p>
        </w:tc>
      </w:tr>
      <w:tr>
        <w:tc>
          <w:tcPr>
            <w:tcW w:type="dxa" w:w="2608"/>
            <w:shd w:val="clear" w:color="auto" w:fill="F2F0EA"/>
          </w:tcPr>
          <w:p>
            <w:pPr>
              <w:spacing w:after="0" w:line="240" w:lineRule="auto"/>
            </w:pPr>
            <w:r/>
            <w:r>
              <w:rPr>
                <w:b/>
                <w:i w:val="0"/>
                <w:sz w:val="18"/>
              </w:rPr>
              <w:t>Land cover (July 2026 mapping)</w:t>
            </w:r>
          </w:p>
        </w:tc>
        <w:tc>
          <w:tcPr>
            <w:tcW w:type="dxa" w:w="7030"/>
          </w:tcPr>
          <w:p>
            <w:pPr>
              <w:spacing w:after="0" w:line="240" w:lineRule="auto"/>
            </w:pPr>
            <w:r/>
            <w:r>
              <w:rPr>
                <w:b w:val="0"/>
                <w:i w:val="0"/>
                <w:sz w:val="18"/>
              </w:rPr>
              <w:t>Open grassland 1.7 ha</w:t>
            </w:r>
          </w:p>
        </w:tc>
      </w:tr>
      <w:tr>
        <w:tc>
          <w:tcPr>
            <w:tcW w:type="dxa" w:w="2608"/>
            <w:shd w:val="clear" w:color="auto" w:fill="F2F0EA"/>
          </w:tcPr>
          <w:p>
            <w:pPr>
              <w:spacing w:after="0" w:line="240" w:lineRule="auto"/>
            </w:pPr>
            <w:r/>
            <w:r>
              <w:rPr>
                <w:b/>
                <w:i w:val="0"/>
                <w:sz w:val="18"/>
              </w:rPr>
              <w:t>Open grassland by slope</w:t>
            </w:r>
          </w:p>
        </w:tc>
        <w:tc>
          <w:tcPr>
            <w:tcW w:type="dxa" w:w="7030"/>
          </w:tcPr>
          <w:p>
            <w:pPr>
              <w:spacing w:after="0" w:line="240" w:lineRule="auto"/>
            </w:pPr>
            <w:r/>
            <w:r>
              <w:rPr>
                <w:b w:val="0"/>
                <w:i w:val="0"/>
                <w:sz w:val="18"/>
              </w:rPr>
              <w:t>flat 1.7 · rolling 0.0 · medium hill 0.0 · very steep 0.0 ha</w:t>
            </w:r>
          </w:p>
        </w:tc>
      </w:tr>
      <w:tr>
        <w:tc>
          <w:tcPr>
            <w:tcW w:type="dxa" w:w="2608"/>
            <w:shd w:val="clear" w:color="auto" w:fill="F2F0EA"/>
          </w:tcPr>
          <w:p>
            <w:pPr>
              <w:spacing w:after="0" w:line="240" w:lineRule="auto"/>
            </w:pPr>
            <w:r/>
            <w:r>
              <w:rPr>
                <w:b/>
                <w:i w:val="0"/>
                <w:sz w:val="18"/>
              </w:rPr>
              <w:t>Pinus radiata crop (PF Olsen, April 2026)</w:t>
            </w:r>
          </w:p>
        </w:tc>
        <w:tc>
          <w:tcPr>
            <w:tcW w:type="dxa" w:w="7030"/>
          </w:tcPr>
          <w:p>
            <w:pPr>
              <w:spacing w:after="0" w:line="240" w:lineRule="auto"/>
            </w:pPr>
            <w:r/>
            <w:r>
              <w:rPr>
                <w:b w:val="0"/>
                <w:i w:val="0"/>
                <w:sz w:val="18"/>
              </w:rPr>
              <w:t>None</w:t>
            </w:r>
          </w:p>
        </w:tc>
      </w:tr>
      <w:tr>
        <w:tc>
          <w:tcPr>
            <w:tcW w:type="dxa" w:w="2608"/>
            <w:shd w:val="clear" w:color="auto" w:fill="F2F0EA"/>
          </w:tcPr>
          <w:p>
            <w:pPr>
              <w:spacing w:after="0" w:line="240" w:lineRule="auto"/>
            </w:pPr>
            <w:r/>
            <w:r>
              <w:rPr>
                <w:b/>
                <w:i w:val="0"/>
                <w:sz w:val="18"/>
              </w:rPr>
              <w:t>ETS carbon accounting areas</w:t>
            </w:r>
          </w:p>
        </w:tc>
        <w:tc>
          <w:tcPr>
            <w:tcW w:type="dxa" w:w="7030"/>
          </w:tcPr>
          <w:p>
            <w:pPr>
              <w:spacing w:after="0" w:line="240" w:lineRule="auto"/>
            </w:pPr>
            <w:r/>
            <w:r>
              <w:rPr>
                <w:b w:val="0"/>
                <w:i w:val="0"/>
                <w:sz w:val="18"/>
              </w:rPr>
              <w:t>No carbon accounting areas registered</w:t>
            </w:r>
          </w:p>
        </w:tc>
      </w:tr>
      <w:tr>
        <w:tc>
          <w:tcPr>
            <w:tcW w:type="dxa" w:w="2608"/>
            <w:shd w:val="clear" w:color="auto" w:fill="F2F0EA"/>
          </w:tcPr>
          <w:p>
            <w:pPr>
              <w:spacing w:after="0" w:line="240" w:lineRule="auto"/>
            </w:pPr>
            <w:r/>
            <w:r>
              <w:rPr>
                <w:b/>
                <w:i w:val="0"/>
                <w:sz w:val="18"/>
              </w:rPr>
              <w:t>Indicatively ETS-eligible land</w:t>
            </w:r>
          </w:p>
        </w:tc>
        <w:tc>
          <w:tcPr>
            <w:tcW w:type="dxa" w:w="7030"/>
          </w:tcPr>
          <w:p>
            <w:pPr>
              <w:spacing w:after="0" w:line="240" w:lineRule="auto"/>
            </w:pPr>
            <w:r/>
            <w:r>
              <w:rPr>
                <w:b w:val="0"/>
                <w:i w:val="0"/>
                <w:sz w:val="18"/>
              </w:rPr>
              <w:t>about 1.6 ha (post-1989 grassland and scrub, MPI to determine)</w:t>
            </w:r>
          </w:p>
        </w:tc>
      </w:tr>
      <w:tr>
        <w:tc>
          <w:tcPr>
            <w:tcW w:type="dxa" w:w="2608"/>
            <w:shd w:val="clear" w:color="auto" w:fill="F2F0EA"/>
          </w:tcPr>
          <w:p>
            <w:pPr>
              <w:spacing w:after="0" w:line="240" w:lineRule="auto"/>
            </w:pPr>
            <w:r/>
            <w:r>
              <w:rPr>
                <w:b/>
                <w:i w:val="0"/>
                <w:sz w:val="18"/>
              </w:rPr>
              <w:t>Leases / occupation</w:t>
            </w:r>
          </w:p>
        </w:tc>
        <w:tc>
          <w:tcPr>
            <w:tcW w:type="dxa" w:w="7030"/>
          </w:tcPr>
          <w:p>
            <w:pPr>
              <w:spacing w:after="0" w:line="240" w:lineRule="auto"/>
            </w:pPr>
            <w:r/>
            <w:r>
              <w:rPr>
                <w:b w:val="0"/>
                <w:i w:val="0"/>
                <w:sz w:val="18"/>
              </w:rPr>
              <w:t xml:space="preserve">None known </w:t>
            </w:r>
            <w:r>
              <w:rPr>
                <w:b/>
                <w:i w:val="0"/>
                <w:color w:val="B01E1E"/>
                <w:sz w:val="18"/>
              </w:rPr>
              <w:t>[TBC]</w:t>
            </w:r>
          </w:p>
        </w:tc>
      </w:tr>
      <w:tr>
        <w:tc>
          <w:tcPr>
            <w:tcW w:type="dxa" w:w="2608"/>
            <w:shd w:val="clear" w:color="auto" w:fill="F2F0EA"/>
          </w:tcPr>
          <w:p>
            <w:pPr>
              <w:spacing w:after="0" w:line="240" w:lineRule="auto"/>
            </w:pPr>
            <w:r/>
            <w:r>
              <w:rPr>
                <w:b/>
                <w:i w:val="0"/>
                <w:sz w:val="18"/>
              </w:rPr>
              <w:t>Access</w:t>
            </w:r>
          </w:p>
        </w:tc>
        <w:tc>
          <w:tcPr>
            <w:tcW w:type="dxa" w:w="7030"/>
          </w:tcPr>
          <w:p>
            <w:pPr>
              <w:spacing w:after="0" w:line="240" w:lineRule="auto"/>
            </w:pPr>
            <w:r/>
            <w:r>
              <w:rPr>
                <w:b w:val="0"/>
                <w:i w:val="0"/>
                <w:sz w:val="18"/>
              </w:rPr>
              <w:t>Road frontage to Taumatatahi Road.</w:t>
            </w:r>
          </w:p>
        </w:tc>
      </w:tr>
      <w:tr>
        <w:tc>
          <w:tcPr>
            <w:tcW w:type="dxa" w:w="2608"/>
            <w:shd w:val="clear" w:color="auto" w:fill="F2F0EA"/>
          </w:tcPr>
          <w:p>
            <w:pPr>
              <w:spacing w:after="0" w:line="240" w:lineRule="auto"/>
            </w:pPr>
            <w:r/>
            <w:r>
              <w:rPr>
                <w:b/>
                <w:i w:val="0"/>
                <w:sz w:val="18"/>
              </w:rPr>
              <w:t>Improvements</w:t>
            </w:r>
          </w:p>
        </w:tc>
        <w:tc>
          <w:tcPr>
            <w:tcW w:type="dxa" w:w="7030"/>
          </w:tcPr>
          <w:p>
            <w:pPr>
              <w:spacing w:after="0" w:line="240" w:lineRule="auto"/>
            </w:pPr>
            <w:r/>
            <w:r>
              <w:rPr>
                <w:b/>
                <w:i w:val="0"/>
                <w:color w:val="B01E1E"/>
                <w:sz w:val="18"/>
              </w:rPr>
              <w:t>[TBC – schedule of buildings]</w:t>
            </w:r>
            <w:r>
              <w:rPr>
                <w:b w:val="0"/>
                <w:i w:val="0"/>
                <w:sz w:val="18"/>
              </w:rPr>
              <w:t xml:space="preserve"> (CBRE Oct 2024 carried $150,000 of improvements)</w:t>
            </w:r>
          </w:p>
        </w:tc>
      </w:tr>
      <w:tr>
        <w:tc>
          <w:tcPr>
            <w:tcW w:type="dxa" w:w="2608"/>
            <w:shd w:val="clear" w:color="auto" w:fill="F2F0EA"/>
          </w:tcPr>
          <w:p>
            <w:pPr>
              <w:spacing w:after="0" w:line="240" w:lineRule="auto"/>
            </w:pPr>
            <w:r/>
            <w:r>
              <w:rPr>
                <w:b/>
                <w:i w:val="0"/>
                <w:sz w:val="18"/>
              </w:rPr>
              <w:t>Rating valuation / rates</w:t>
            </w:r>
          </w:p>
        </w:tc>
        <w:tc>
          <w:tcPr>
            <w:tcW w:type="dxa" w:w="7030"/>
          </w:tcPr>
          <w:p>
            <w:pPr>
              <w:spacing w:after="0" w:line="240" w:lineRule="auto"/>
            </w:pPr>
            <w:r/>
            <w:r>
              <w:rPr>
                <w:b/>
                <w:i w:val="0"/>
                <w:color w:val="B01E1E"/>
                <w:sz w:val="18"/>
              </w:rPr>
              <w:t>[TBC]</w:t>
            </w:r>
          </w:p>
        </w:tc>
      </w:tr>
    </w:tbl>
    <w:p>
      <w:pPr>
        <w:spacing w:after="40"/>
      </w:pPr>
    </w:p>
    <w:p>
      <w:pPr>
        <w:pStyle w:val="Heading3"/>
      </w:pPr>
      <w:r>
        <w:t>Description</w:t>
      </w:r>
    </w:p>
    <w:p>
      <w:r>
        <w:rPr>
          <w:b w:val="0"/>
          <w:i w:val="0"/>
        </w:rPr>
        <w:t>Two small sections (1.7 ha) on Taumatatahi Road with a workers' dwelling (CBRE improvements $150,000).</w:t>
      </w:r>
    </w:p>
    <w:p>
      <w:pPr>
        <w:pStyle w:val="Heading3"/>
      </w:pPr>
      <w:r>
        <w:t>Items to confirm</w:t>
      </w:r>
    </w:p>
    <w:p>
      <w:pPr>
        <w:pStyle w:val="ListBullet"/>
        <w:spacing w:after="40"/>
      </w:pPr>
      <w:r>
        <w:rPr>
          <w:b/>
          <w:i w:val="0"/>
          <w:color w:val="B01E1E"/>
        </w:rPr>
        <w:t>[TBC]</w:t>
      </w:r>
      <w:r>
        <w:rPr>
          <w:b w:val="0"/>
          <w:i w:val="0"/>
        </w:rPr>
        <w:t xml:space="preserve"> Dwelling description, condition and occupancy.</w:t>
      </w:r>
    </w:p>
    <w:p>
      <w:r>
        <w:br w:type="page"/>
      </w:r>
    </w:p>
    <w:p>
      <w:pPr>
        <w:pStyle w:val="Heading2"/>
      </w:pPr>
      <w:r>
        <w:t>3.14  Moonys</w:t>
      </w:r>
    </w:p>
    <w:p>
      <w:pPr>
        <w:spacing w:after="120"/>
      </w:pPr>
      <w:r>
        <w:rPr>
          <w:b w:val="0"/>
          <w:i/>
          <w:color w:val="717D4A"/>
        </w:rPr>
        <w:t>Waverley / Nukumaru coast (South Taranaki – Whanganui boundary) · Native / mānuka block</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4819"/>
        <w:gridCol w:w="4819"/>
      </w:tblGrid>
      <w:tr>
        <w:tc>
          <w:tcPr>
            <w:tcW w:type="dxa" w:w="2608"/>
            <w:shd w:val="clear" w:color="auto" w:fill="F2F0EA"/>
          </w:tcPr>
          <w:p>
            <w:pPr>
              <w:spacing w:after="0" w:line="240" w:lineRule="auto"/>
            </w:pPr>
            <w:r/>
            <w:r>
              <w:rPr>
                <w:b/>
                <w:i w:val="0"/>
                <w:sz w:val="18"/>
              </w:rPr>
              <w:t>Vendor / interest</w:t>
            </w:r>
          </w:p>
        </w:tc>
        <w:tc>
          <w:tcPr>
            <w:tcW w:type="dxa" w:w="7030"/>
          </w:tcPr>
          <w:p>
            <w:pPr>
              <w:spacing w:after="0" w:line="240" w:lineRule="auto"/>
            </w:pPr>
            <w:r/>
            <w:r>
              <w:rPr>
                <w:b w:val="0"/>
                <w:i w:val="0"/>
                <w:sz w:val="18"/>
              </w:rPr>
              <w:t>Nirvana Farm Limited (In Receivership)</w:t>
            </w:r>
          </w:p>
        </w:tc>
      </w:tr>
      <w:tr>
        <w:tc>
          <w:tcPr>
            <w:tcW w:type="dxa" w:w="2608"/>
            <w:shd w:val="clear" w:color="auto" w:fill="F2F0EA"/>
          </w:tcPr>
          <w:p>
            <w:pPr>
              <w:spacing w:after="0" w:line="240" w:lineRule="auto"/>
            </w:pPr>
            <w:r/>
            <w:r>
              <w:rPr>
                <w:b/>
                <w:i w:val="0"/>
                <w:sz w:val="18"/>
              </w:rPr>
              <w:t>Records of title</w:t>
            </w:r>
          </w:p>
        </w:tc>
        <w:tc>
          <w:tcPr>
            <w:tcW w:type="dxa" w:w="7030"/>
          </w:tcPr>
          <w:p>
            <w:pPr>
              <w:spacing w:after="0" w:line="240" w:lineRule="auto"/>
            </w:pPr>
            <w:r/>
            <w:r>
              <w:rPr>
                <w:b w:val="0"/>
                <w:i w:val="0"/>
                <w:sz w:val="18"/>
              </w:rPr>
              <w:t>WN110/44, WN181/222, WN23A/665, WN476/64 (Wellington Land District)</w:t>
            </w:r>
          </w:p>
        </w:tc>
      </w:tr>
      <w:tr>
        <w:tc>
          <w:tcPr>
            <w:tcW w:type="dxa" w:w="2608"/>
            <w:shd w:val="clear" w:color="auto" w:fill="F2F0EA"/>
          </w:tcPr>
          <w:p>
            <w:pPr>
              <w:spacing w:after="0" w:line="240" w:lineRule="auto"/>
            </w:pPr>
            <w:r/>
            <w:r>
              <w:rPr>
                <w:b/>
                <w:i w:val="0"/>
                <w:sz w:val="18"/>
              </w:rPr>
              <w:t>Title area</w:t>
            </w:r>
          </w:p>
        </w:tc>
        <w:tc>
          <w:tcPr>
            <w:tcW w:type="dxa" w:w="7030"/>
          </w:tcPr>
          <w:p>
            <w:pPr>
              <w:spacing w:after="0" w:line="240" w:lineRule="auto"/>
            </w:pPr>
            <w:r/>
            <w:r>
              <w:rPr>
                <w:b w:val="0"/>
                <w:i w:val="0"/>
                <w:sz w:val="18"/>
              </w:rPr>
              <w:t>643.62 ha</w:t>
            </w:r>
          </w:p>
        </w:tc>
      </w:tr>
      <w:tr>
        <w:tc>
          <w:tcPr>
            <w:tcW w:type="dxa" w:w="2608"/>
            <w:shd w:val="clear" w:color="auto" w:fill="F2F0EA"/>
          </w:tcPr>
          <w:p>
            <w:pPr>
              <w:spacing w:after="0" w:line="240" w:lineRule="auto"/>
            </w:pPr>
            <w:r/>
            <w:r>
              <w:rPr>
                <w:b/>
                <w:i w:val="0"/>
                <w:sz w:val="18"/>
              </w:rPr>
              <w:t>Location / address</w:t>
            </w:r>
          </w:p>
        </w:tc>
        <w:tc>
          <w:tcPr>
            <w:tcW w:type="dxa" w:w="7030"/>
          </w:tcPr>
          <w:p>
            <w:pPr>
              <w:spacing w:after="0" w:line="240" w:lineRule="auto"/>
            </w:pPr>
            <w:r/>
            <w:r>
              <w:rPr>
                <w:b w:val="0"/>
                <w:i w:val="0"/>
                <w:sz w:val="18"/>
              </w:rPr>
              <w:t>12–19 Waikare Road and Lakes Road, Nukumaru</w:t>
            </w:r>
          </w:p>
        </w:tc>
      </w:tr>
      <w:tr>
        <w:tc>
          <w:tcPr>
            <w:tcW w:type="dxa" w:w="2608"/>
            <w:shd w:val="clear" w:color="auto" w:fill="F2F0EA"/>
          </w:tcPr>
          <w:p>
            <w:pPr>
              <w:spacing w:after="0" w:line="240" w:lineRule="auto"/>
            </w:pPr>
            <w:r/>
            <w:r>
              <w:rPr>
                <w:b/>
                <w:i w:val="0"/>
                <w:sz w:val="18"/>
              </w:rPr>
              <w:t>Territorial authority</w:t>
            </w:r>
          </w:p>
        </w:tc>
        <w:tc>
          <w:tcPr>
            <w:tcW w:type="dxa" w:w="7030"/>
          </w:tcPr>
          <w:p>
            <w:pPr>
              <w:spacing w:after="0" w:line="240" w:lineRule="auto"/>
            </w:pPr>
            <w:r/>
            <w:r>
              <w:rPr>
                <w:b w:val="0"/>
                <w:i w:val="0"/>
                <w:sz w:val="18"/>
              </w:rPr>
              <w:t xml:space="preserve">South Taranaki / Whanganui District </w:t>
            </w:r>
            <w:r>
              <w:rPr>
                <w:b/>
                <w:i w:val="0"/>
                <w:color w:val="B01E1E"/>
                <w:sz w:val="18"/>
              </w:rPr>
              <w:t>[TBC]</w:t>
            </w:r>
          </w:p>
        </w:tc>
      </w:tr>
      <w:tr>
        <w:tc>
          <w:tcPr>
            <w:tcW w:type="dxa" w:w="2608"/>
            <w:shd w:val="clear" w:color="auto" w:fill="F2F0EA"/>
          </w:tcPr>
          <w:p>
            <w:pPr>
              <w:spacing w:after="0" w:line="240" w:lineRule="auto"/>
            </w:pPr>
            <w:r/>
            <w:r>
              <w:rPr>
                <w:b/>
                <w:i w:val="0"/>
                <w:sz w:val="18"/>
              </w:rPr>
              <w:t>Regional council</w:t>
            </w:r>
          </w:p>
        </w:tc>
        <w:tc>
          <w:tcPr>
            <w:tcW w:type="dxa" w:w="7030"/>
          </w:tcPr>
          <w:p>
            <w:pPr>
              <w:spacing w:after="0" w:line="240" w:lineRule="auto"/>
            </w:pPr>
            <w:r/>
            <w:r>
              <w:rPr>
                <w:b w:val="0"/>
                <w:i w:val="0"/>
                <w:sz w:val="18"/>
              </w:rPr>
              <w:t xml:space="preserve">Taranaki / Horizons Regional Council </w:t>
            </w:r>
            <w:r>
              <w:rPr>
                <w:b/>
                <w:i w:val="0"/>
                <w:color w:val="B01E1E"/>
                <w:sz w:val="18"/>
              </w:rPr>
              <w:t>[TBC]</w:t>
            </w:r>
          </w:p>
        </w:tc>
      </w:tr>
      <w:tr>
        <w:tc>
          <w:tcPr>
            <w:tcW w:type="dxa" w:w="2608"/>
            <w:shd w:val="clear" w:color="auto" w:fill="F2F0EA"/>
          </w:tcPr>
          <w:p>
            <w:pPr>
              <w:spacing w:after="0" w:line="240" w:lineRule="auto"/>
            </w:pPr>
            <w:r/>
            <w:r>
              <w:rPr>
                <w:b/>
                <w:i w:val="0"/>
                <w:sz w:val="18"/>
              </w:rPr>
              <w:t>Land cover (July 2026 mapping)</w:t>
            </w:r>
          </w:p>
        </w:tc>
        <w:tc>
          <w:tcPr>
            <w:tcW w:type="dxa" w:w="7030"/>
          </w:tcPr>
          <w:p>
            <w:pPr>
              <w:spacing w:after="0" w:line="240" w:lineRule="auto"/>
            </w:pPr>
            <w:r/>
            <w:r>
              <w:rPr>
                <w:b w:val="0"/>
                <w:i w:val="0"/>
                <w:sz w:val="18"/>
              </w:rPr>
              <w:t>Pine / exotic 113.7 ha · Native bush 94.2 ha · Mānuka / kānuka 276.9 ha · Open grassland 158.8 ha</w:t>
            </w:r>
          </w:p>
        </w:tc>
      </w:tr>
      <w:tr>
        <w:tc>
          <w:tcPr>
            <w:tcW w:type="dxa" w:w="2608"/>
            <w:shd w:val="clear" w:color="auto" w:fill="F2F0EA"/>
          </w:tcPr>
          <w:p>
            <w:pPr>
              <w:spacing w:after="0" w:line="240" w:lineRule="auto"/>
            </w:pPr>
            <w:r/>
            <w:r>
              <w:rPr>
                <w:b/>
                <w:i w:val="0"/>
                <w:sz w:val="18"/>
              </w:rPr>
              <w:t>Open grassland by slope</w:t>
            </w:r>
          </w:p>
        </w:tc>
        <w:tc>
          <w:tcPr>
            <w:tcW w:type="dxa" w:w="7030"/>
          </w:tcPr>
          <w:p>
            <w:pPr>
              <w:spacing w:after="0" w:line="240" w:lineRule="auto"/>
            </w:pPr>
            <w:r/>
            <w:r>
              <w:rPr>
                <w:b w:val="0"/>
                <w:i w:val="0"/>
                <w:sz w:val="18"/>
              </w:rPr>
              <w:t>flat 25.0 · rolling 26.8 · medium hill 68.7 · very steep 38.3 ha</w:t>
            </w:r>
          </w:p>
        </w:tc>
      </w:tr>
      <w:tr>
        <w:tc>
          <w:tcPr>
            <w:tcW w:type="dxa" w:w="2608"/>
            <w:shd w:val="clear" w:color="auto" w:fill="F2F0EA"/>
          </w:tcPr>
          <w:p>
            <w:pPr>
              <w:spacing w:after="0" w:line="240" w:lineRule="auto"/>
            </w:pPr>
            <w:r/>
            <w:r>
              <w:rPr>
                <w:b/>
                <w:i w:val="0"/>
                <w:sz w:val="18"/>
              </w:rPr>
              <w:t>Pinus radiata crop (PF Olsen, April 2026)</w:t>
            </w:r>
          </w:p>
        </w:tc>
        <w:tc>
          <w:tcPr>
            <w:tcW w:type="dxa" w:w="7030"/>
          </w:tcPr>
          <w:p>
            <w:pPr>
              <w:spacing w:after="0" w:line="240" w:lineRule="auto"/>
            </w:pPr>
            <w:r/>
            <w:r>
              <w:rPr>
                <w:b w:val="0"/>
                <w:i w:val="0"/>
                <w:sz w:val="18"/>
              </w:rPr>
              <w:t>None</w:t>
            </w:r>
          </w:p>
        </w:tc>
      </w:tr>
      <w:tr>
        <w:tc>
          <w:tcPr>
            <w:tcW w:type="dxa" w:w="2608"/>
            <w:shd w:val="clear" w:color="auto" w:fill="F2F0EA"/>
          </w:tcPr>
          <w:p>
            <w:pPr>
              <w:spacing w:after="0" w:line="240" w:lineRule="auto"/>
            </w:pPr>
            <w:r/>
            <w:r>
              <w:rPr>
                <w:b/>
                <w:i w:val="0"/>
                <w:sz w:val="18"/>
              </w:rPr>
              <w:t>ETS carbon accounting areas</w:t>
            </w:r>
          </w:p>
        </w:tc>
        <w:tc>
          <w:tcPr>
            <w:tcW w:type="dxa" w:w="7030"/>
          </w:tcPr>
          <w:p>
            <w:pPr>
              <w:spacing w:after="0" w:line="240" w:lineRule="auto"/>
            </w:pPr>
            <w:r/>
            <w:r>
              <w:rPr>
                <w:b w:val="0"/>
                <w:i w:val="0"/>
                <w:sz w:val="18"/>
              </w:rPr>
              <w:t>No carbon accounting areas registered</w:t>
            </w:r>
          </w:p>
        </w:tc>
      </w:tr>
      <w:tr>
        <w:tc>
          <w:tcPr>
            <w:tcW w:type="dxa" w:w="2608"/>
            <w:shd w:val="clear" w:color="auto" w:fill="F2F0EA"/>
          </w:tcPr>
          <w:p>
            <w:pPr>
              <w:spacing w:after="0" w:line="240" w:lineRule="auto"/>
            </w:pPr>
            <w:r/>
            <w:r>
              <w:rPr>
                <w:b/>
                <w:i w:val="0"/>
                <w:sz w:val="18"/>
              </w:rPr>
              <w:t>Indicatively ETS-eligible land</w:t>
            </w:r>
          </w:p>
        </w:tc>
        <w:tc>
          <w:tcPr>
            <w:tcW w:type="dxa" w:w="7030"/>
          </w:tcPr>
          <w:p>
            <w:pPr>
              <w:spacing w:after="0" w:line="240" w:lineRule="auto"/>
            </w:pPr>
            <w:r/>
            <w:r>
              <w:rPr>
                <w:b w:val="0"/>
                <w:i w:val="0"/>
                <w:sz w:val="18"/>
              </w:rPr>
              <w:t>about 35.8 ha (post-1989 grassland and scrub, MPI to determine)</w:t>
            </w:r>
          </w:p>
        </w:tc>
      </w:tr>
      <w:tr>
        <w:tc>
          <w:tcPr>
            <w:tcW w:type="dxa" w:w="2608"/>
            <w:shd w:val="clear" w:color="auto" w:fill="F2F0EA"/>
          </w:tcPr>
          <w:p>
            <w:pPr>
              <w:spacing w:after="0" w:line="240" w:lineRule="auto"/>
            </w:pPr>
            <w:r/>
            <w:r>
              <w:rPr>
                <w:b/>
                <w:i w:val="0"/>
                <w:sz w:val="18"/>
              </w:rPr>
              <w:t>Leases / occupation</w:t>
            </w:r>
          </w:p>
        </w:tc>
        <w:tc>
          <w:tcPr>
            <w:tcW w:type="dxa" w:w="7030"/>
          </w:tcPr>
          <w:p>
            <w:pPr>
              <w:spacing w:after="0" w:line="240" w:lineRule="auto"/>
            </w:pPr>
            <w:r/>
            <w:r>
              <w:rPr>
                <w:b w:val="0"/>
                <w:i w:val="0"/>
                <w:sz w:val="18"/>
              </w:rPr>
              <w:t xml:space="preserve">None known </w:t>
            </w:r>
            <w:r>
              <w:rPr>
                <w:b/>
                <w:i w:val="0"/>
                <w:color w:val="B01E1E"/>
                <w:sz w:val="18"/>
              </w:rPr>
              <w:t>[TBC]</w:t>
            </w:r>
          </w:p>
        </w:tc>
      </w:tr>
      <w:tr>
        <w:tc>
          <w:tcPr>
            <w:tcW w:type="dxa" w:w="2608"/>
            <w:shd w:val="clear" w:color="auto" w:fill="F2F0EA"/>
          </w:tcPr>
          <w:p>
            <w:pPr>
              <w:spacing w:after="0" w:line="240" w:lineRule="auto"/>
            </w:pPr>
            <w:r/>
            <w:r>
              <w:rPr>
                <w:b/>
                <w:i w:val="0"/>
                <w:sz w:val="18"/>
              </w:rPr>
              <w:t>Access</w:t>
            </w:r>
          </w:p>
        </w:tc>
        <w:tc>
          <w:tcPr>
            <w:tcW w:type="dxa" w:w="7030"/>
          </w:tcPr>
          <w:p>
            <w:pPr>
              <w:spacing w:after="0" w:line="240" w:lineRule="auto"/>
            </w:pPr>
            <w:r/>
            <w:r>
              <w:rPr>
                <w:b w:val="0"/>
                <w:i w:val="0"/>
                <w:sz w:val="18"/>
              </w:rPr>
              <w:t xml:space="preserve">Waikare Road / Lakes Road frontage </w:t>
            </w:r>
            <w:r>
              <w:rPr>
                <w:b/>
                <w:i w:val="0"/>
                <w:color w:val="B01E1E"/>
                <w:sz w:val="18"/>
              </w:rPr>
              <w:t>[TBC]</w:t>
            </w:r>
            <w:r>
              <w:rPr>
                <w:b w:val="0"/>
                <w:i w:val="0"/>
                <w:sz w:val="18"/>
              </w:rPr>
              <w:t>.</w:t>
            </w:r>
          </w:p>
        </w:tc>
      </w:tr>
      <w:tr>
        <w:tc>
          <w:tcPr>
            <w:tcW w:type="dxa" w:w="2608"/>
            <w:shd w:val="clear" w:color="auto" w:fill="F2F0EA"/>
          </w:tcPr>
          <w:p>
            <w:pPr>
              <w:spacing w:after="0" w:line="240" w:lineRule="auto"/>
            </w:pPr>
            <w:r/>
            <w:r>
              <w:rPr>
                <w:b/>
                <w:i w:val="0"/>
                <w:sz w:val="18"/>
              </w:rPr>
              <w:t>Improvements</w:t>
            </w:r>
          </w:p>
        </w:tc>
        <w:tc>
          <w:tcPr>
            <w:tcW w:type="dxa" w:w="7030"/>
          </w:tcPr>
          <w:p>
            <w:pPr>
              <w:spacing w:after="0" w:line="240" w:lineRule="auto"/>
            </w:pPr>
            <w:r/>
            <w:r>
              <w:rPr>
                <w:b/>
                <w:i w:val="0"/>
                <w:color w:val="B01E1E"/>
                <w:sz w:val="18"/>
              </w:rPr>
              <w:t>[TBC – schedule of buildings]</w:t>
            </w:r>
            <w:r>
              <w:rPr>
                <w:b w:val="0"/>
                <w:i w:val="0"/>
                <w:sz w:val="18"/>
              </w:rPr>
              <w:t xml:space="preserve"> (CBRE Oct 2024 carried $100,000 of improvements)</w:t>
            </w:r>
          </w:p>
        </w:tc>
      </w:tr>
      <w:tr>
        <w:tc>
          <w:tcPr>
            <w:tcW w:type="dxa" w:w="2608"/>
            <w:shd w:val="clear" w:color="auto" w:fill="F2F0EA"/>
          </w:tcPr>
          <w:p>
            <w:pPr>
              <w:spacing w:after="0" w:line="240" w:lineRule="auto"/>
            </w:pPr>
            <w:r/>
            <w:r>
              <w:rPr>
                <w:b/>
                <w:i w:val="0"/>
                <w:sz w:val="18"/>
              </w:rPr>
              <w:t>Rating valuation / rates</w:t>
            </w:r>
          </w:p>
        </w:tc>
        <w:tc>
          <w:tcPr>
            <w:tcW w:type="dxa" w:w="7030"/>
          </w:tcPr>
          <w:p>
            <w:pPr>
              <w:spacing w:after="0" w:line="240" w:lineRule="auto"/>
            </w:pPr>
            <w:r/>
            <w:r>
              <w:rPr>
                <w:b/>
                <w:i w:val="0"/>
                <w:color w:val="B01E1E"/>
                <w:sz w:val="18"/>
              </w:rPr>
              <w:t>[TBC]</w:t>
            </w:r>
          </w:p>
        </w:tc>
      </w:tr>
    </w:tbl>
    <w:p>
      <w:pPr>
        <w:spacing w:after="40"/>
      </w:pPr>
    </w:p>
    <w:p>
      <w:pPr>
        <w:pStyle w:val="Heading3"/>
      </w:pPr>
      <w:r>
        <w:t>Description</w:t>
      </w:r>
    </w:p>
    <w:p>
      <w:r>
        <w:rPr>
          <w:b w:val="0"/>
          <w:i w:val="0"/>
        </w:rPr>
        <w:t>A 644 ha block of mixed scrub, native and open hill country near the Waverley coast, adjoining Ridge Road and Puau Road. The appraisal mapping shows about 277 ha of mānuka/kānuka, 94 ha of native bush, 159 ha of open grassland and about 114 ha of exotic forest cover. No radiata has been established under the current programme and there is no ETS registration on the block, so the mapped exotic cover needs to be checked on the ground.</w:t>
      </w:r>
    </w:p>
    <w:p>
      <w:pPr>
        <w:pStyle w:val="Heading3"/>
      </w:pPr>
      <w:r>
        <w:t>Points to note</w:t>
      </w:r>
    </w:p>
    <w:p>
      <w:pPr>
        <w:pStyle w:val="ListBullet"/>
        <w:spacing w:after="40"/>
      </w:pPr>
      <w:r>
        <w:rPr>
          <w:b w:val="0"/>
          <w:i w:val="0"/>
        </w:rPr>
        <w:t>Not in PF Olsen's planting programme; no ETS CAAs.</w:t>
      </w:r>
    </w:p>
    <w:p>
      <w:pPr>
        <w:pStyle w:val="Heading3"/>
      </w:pPr>
      <w:r>
        <w:t>Items to confirm</w:t>
      </w:r>
    </w:p>
    <w:p>
      <w:pPr>
        <w:pStyle w:val="ListBullet"/>
        <w:spacing w:after="40"/>
      </w:pPr>
      <w:r>
        <w:rPr>
          <w:b/>
          <w:i w:val="0"/>
          <w:color w:val="B01E1E"/>
        </w:rPr>
        <w:t>[TBC]</w:t>
      </w:r>
      <w:r>
        <w:rPr>
          <w:b w:val="0"/>
          <w:i w:val="0"/>
        </w:rPr>
        <w:t xml:space="preserve"> Nature and age of the ~114 ha mapped as exotic forest cover (older plantation, wilding pine or scrub).</w:t>
      </w:r>
    </w:p>
    <w:p>
      <w:pPr>
        <w:pStyle w:val="ListBullet"/>
        <w:spacing w:after="40"/>
      </w:pPr>
      <w:r>
        <w:rPr>
          <w:b/>
          <w:i w:val="0"/>
          <w:color w:val="B01E1E"/>
        </w:rPr>
        <w:t>[TBC]</w:t>
      </w:r>
      <w:r>
        <w:rPr>
          <w:b w:val="0"/>
          <w:i w:val="0"/>
        </w:rPr>
        <w:t xml:space="preserve"> Improvements (CBRE $100,000) and occupancy.</w:t>
      </w:r>
    </w:p>
    <w:p>
      <w:r>
        <w:br w:type="page"/>
      </w:r>
    </w:p>
    <w:p>
      <w:pPr>
        <w:pStyle w:val="Heading2"/>
      </w:pPr>
      <w:r>
        <w:t>3.15  Ridge Road</w:t>
      </w:r>
    </w:p>
    <w:p>
      <w:pPr>
        <w:spacing w:after="120"/>
      </w:pPr>
      <w:r>
        <w:rPr>
          <w:b w:val="0"/>
          <w:i/>
          <w:color w:val="717D4A"/>
        </w:rPr>
        <w:t>Waverley / Nukumaru coast (South Taranaki – Whanganui boundary) · Native / mānuka block</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4819"/>
        <w:gridCol w:w="4819"/>
      </w:tblGrid>
      <w:tr>
        <w:tc>
          <w:tcPr>
            <w:tcW w:type="dxa" w:w="2608"/>
            <w:shd w:val="clear" w:color="auto" w:fill="F2F0EA"/>
          </w:tcPr>
          <w:p>
            <w:pPr>
              <w:spacing w:after="0" w:line="240" w:lineRule="auto"/>
            </w:pPr>
            <w:r/>
            <w:r>
              <w:rPr>
                <w:b/>
                <w:i w:val="0"/>
                <w:sz w:val="18"/>
              </w:rPr>
              <w:t>Vendor / interest</w:t>
            </w:r>
          </w:p>
        </w:tc>
        <w:tc>
          <w:tcPr>
            <w:tcW w:type="dxa" w:w="7030"/>
          </w:tcPr>
          <w:p>
            <w:pPr>
              <w:spacing w:after="0" w:line="240" w:lineRule="auto"/>
            </w:pPr>
            <w:r/>
            <w:r>
              <w:rPr>
                <w:b w:val="0"/>
                <w:i w:val="0"/>
                <w:sz w:val="18"/>
              </w:rPr>
              <w:t>Nirvana Farm Limited (In Receivership)</w:t>
            </w:r>
          </w:p>
        </w:tc>
      </w:tr>
      <w:tr>
        <w:tc>
          <w:tcPr>
            <w:tcW w:type="dxa" w:w="2608"/>
            <w:shd w:val="clear" w:color="auto" w:fill="F2F0EA"/>
          </w:tcPr>
          <w:p>
            <w:pPr>
              <w:spacing w:after="0" w:line="240" w:lineRule="auto"/>
            </w:pPr>
            <w:r/>
            <w:r>
              <w:rPr>
                <w:b/>
                <w:i w:val="0"/>
                <w:sz w:val="18"/>
              </w:rPr>
              <w:t>Records of title</w:t>
            </w:r>
          </w:p>
        </w:tc>
        <w:tc>
          <w:tcPr>
            <w:tcW w:type="dxa" w:w="7030"/>
          </w:tcPr>
          <w:p>
            <w:pPr>
              <w:spacing w:after="0" w:line="240" w:lineRule="auto"/>
            </w:pPr>
            <w:r/>
            <w:r>
              <w:rPr>
                <w:b w:val="0"/>
                <w:i w:val="0"/>
                <w:sz w:val="18"/>
              </w:rPr>
              <w:t>753569, WN526/225, WN8C/173 (Wellington Land District)</w:t>
            </w:r>
          </w:p>
        </w:tc>
      </w:tr>
      <w:tr>
        <w:tc>
          <w:tcPr>
            <w:tcW w:type="dxa" w:w="2608"/>
            <w:shd w:val="clear" w:color="auto" w:fill="F2F0EA"/>
          </w:tcPr>
          <w:p>
            <w:pPr>
              <w:spacing w:after="0" w:line="240" w:lineRule="auto"/>
            </w:pPr>
            <w:r/>
            <w:r>
              <w:rPr>
                <w:b/>
                <w:i w:val="0"/>
                <w:sz w:val="18"/>
              </w:rPr>
              <w:t>Title area</w:t>
            </w:r>
          </w:p>
        </w:tc>
        <w:tc>
          <w:tcPr>
            <w:tcW w:type="dxa" w:w="7030"/>
          </w:tcPr>
          <w:p>
            <w:pPr>
              <w:spacing w:after="0" w:line="240" w:lineRule="auto"/>
            </w:pPr>
            <w:r/>
            <w:r>
              <w:rPr>
                <w:b w:val="0"/>
                <w:i w:val="0"/>
                <w:sz w:val="18"/>
              </w:rPr>
              <w:t>282.59 ha</w:t>
            </w:r>
          </w:p>
        </w:tc>
      </w:tr>
      <w:tr>
        <w:tc>
          <w:tcPr>
            <w:tcW w:type="dxa" w:w="2608"/>
            <w:shd w:val="clear" w:color="auto" w:fill="F2F0EA"/>
          </w:tcPr>
          <w:p>
            <w:pPr>
              <w:spacing w:after="0" w:line="240" w:lineRule="auto"/>
            </w:pPr>
            <w:r/>
            <w:r>
              <w:rPr>
                <w:b/>
                <w:i w:val="0"/>
                <w:sz w:val="18"/>
              </w:rPr>
              <w:t>Location / address</w:t>
            </w:r>
          </w:p>
        </w:tc>
        <w:tc>
          <w:tcPr>
            <w:tcW w:type="dxa" w:w="7030"/>
          </w:tcPr>
          <w:p>
            <w:pPr>
              <w:spacing w:after="0" w:line="240" w:lineRule="auto"/>
            </w:pPr>
            <w:r/>
            <w:r>
              <w:rPr>
                <w:b w:val="0"/>
                <w:i w:val="0"/>
                <w:sz w:val="18"/>
              </w:rPr>
              <w:t>1464 Ridge Road, Nukumaru</w:t>
            </w:r>
          </w:p>
        </w:tc>
      </w:tr>
      <w:tr>
        <w:tc>
          <w:tcPr>
            <w:tcW w:type="dxa" w:w="2608"/>
            <w:shd w:val="clear" w:color="auto" w:fill="F2F0EA"/>
          </w:tcPr>
          <w:p>
            <w:pPr>
              <w:spacing w:after="0" w:line="240" w:lineRule="auto"/>
            </w:pPr>
            <w:r/>
            <w:r>
              <w:rPr>
                <w:b/>
                <w:i w:val="0"/>
                <w:sz w:val="18"/>
              </w:rPr>
              <w:t>Territorial authority</w:t>
            </w:r>
          </w:p>
        </w:tc>
        <w:tc>
          <w:tcPr>
            <w:tcW w:type="dxa" w:w="7030"/>
          </w:tcPr>
          <w:p>
            <w:pPr>
              <w:spacing w:after="0" w:line="240" w:lineRule="auto"/>
            </w:pPr>
            <w:r/>
            <w:r>
              <w:rPr>
                <w:b w:val="0"/>
                <w:i w:val="0"/>
                <w:sz w:val="18"/>
              </w:rPr>
              <w:t xml:space="preserve">South Taranaki / Whanganui District </w:t>
            </w:r>
            <w:r>
              <w:rPr>
                <w:b/>
                <w:i w:val="0"/>
                <w:color w:val="B01E1E"/>
                <w:sz w:val="18"/>
              </w:rPr>
              <w:t>[TBC]</w:t>
            </w:r>
          </w:p>
        </w:tc>
      </w:tr>
      <w:tr>
        <w:tc>
          <w:tcPr>
            <w:tcW w:type="dxa" w:w="2608"/>
            <w:shd w:val="clear" w:color="auto" w:fill="F2F0EA"/>
          </w:tcPr>
          <w:p>
            <w:pPr>
              <w:spacing w:after="0" w:line="240" w:lineRule="auto"/>
            </w:pPr>
            <w:r/>
            <w:r>
              <w:rPr>
                <w:b/>
                <w:i w:val="0"/>
                <w:sz w:val="18"/>
              </w:rPr>
              <w:t>Regional council</w:t>
            </w:r>
          </w:p>
        </w:tc>
        <w:tc>
          <w:tcPr>
            <w:tcW w:type="dxa" w:w="7030"/>
          </w:tcPr>
          <w:p>
            <w:pPr>
              <w:spacing w:after="0" w:line="240" w:lineRule="auto"/>
            </w:pPr>
            <w:r/>
            <w:r>
              <w:rPr>
                <w:b w:val="0"/>
                <w:i w:val="0"/>
                <w:sz w:val="18"/>
              </w:rPr>
              <w:t xml:space="preserve">Taranaki / Horizons Regional Council </w:t>
            </w:r>
            <w:r>
              <w:rPr>
                <w:b/>
                <w:i w:val="0"/>
                <w:color w:val="B01E1E"/>
                <w:sz w:val="18"/>
              </w:rPr>
              <w:t>[TBC]</w:t>
            </w:r>
          </w:p>
        </w:tc>
      </w:tr>
      <w:tr>
        <w:tc>
          <w:tcPr>
            <w:tcW w:type="dxa" w:w="2608"/>
            <w:shd w:val="clear" w:color="auto" w:fill="F2F0EA"/>
          </w:tcPr>
          <w:p>
            <w:pPr>
              <w:spacing w:after="0" w:line="240" w:lineRule="auto"/>
            </w:pPr>
            <w:r/>
            <w:r>
              <w:rPr>
                <w:b/>
                <w:i w:val="0"/>
                <w:sz w:val="18"/>
              </w:rPr>
              <w:t>Land cover (July 2026 mapping)</w:t>
            </w:r>
          </w:p>
        </w:tc>
        <w:tc>
          <w:tcPr>
            <w:tcW w:type="dxa" w:w="7030"/>
          </w:tcPr>
          <w:p>
            <w:pPr>
              <w:spacing w:after="0" w:line="240" w:lineRule="auto"/>
            </w:pPr>
            <w:r/>
            <w:r>
              <w:rPr>
                <w:b w:val="0"/>
                <w:i w:val="0"/>
                <w:sz w:val="18"/>
              </w:rPr>
              <w:t>Native bush 57.9 ha · Mānuka / kānuka 153.3 ha · Open grassland 71.3 ha</w:t>
            </w:r>
          </w:p>
        </w:tc>
      </w:tr>
      <w:tr>
        <w:tc>
          <w:tcPr>
            <w:tcW w:type="dxa" w:w="2608"/>
            <w:shd w:val="clear" w:color="auto" w:fill="F2F0EA"/>
          </w:tcPr>
          <w:p>
            <w:pPr>
              <w:spacing w:after="0" w:line="240" w:lineRule="auto"/>
            </w:pPr>
            <w:r/>
            <w:r>
              <w:rPr>
                <w:b/>
                <w:i w:val="0"/>
                <w:sz w:val="18"/>
              </w:rPr>
              <w:t>Open grassland by slope</w:t>
            </w:r>
          </w:p>
        </w:tc>
        <w:tc>
          <w:tcPr>
            <w:tcW w:type="dxa" w:w="7030"/>
          </w:tcPr>
          <w:p>
            <w:pPr>
              <w:spacing w:after="0" w:line="240" w:lineRule="auto"/>
            </w:pPr>
            <w:r/>
            <w:r>
              <w:rPr>
                <w:b w:val="0"/>
                <w:i w:val="0"/>
                <w:sz w:val="18"/>
              </w:rPr>
              <w:t>flat 22.3 · rolling 22.8 · medium hill 20.0 · very steep 6.2 ha</w:t>
            </w:r>
          </w:p>
        </w:tc>
      </w:tr>
      <w:tr>
        <w:tc>
          <w:tcPr>
            <w:tcW w:type="dxa" w:w="2608"/>
            <w:shd w:val="clear" w:color="auto" w:fill="F2F0EA"/>
          </w:tcPr>
          <w:p>
            <w:pPr>
              <w:spacing w:after="0" w:line="240" w:lineRule="auto"/>
            </w:pPr>
            <w:r/>
            <w:r>
              <w:rPr>
                <w:b/>
                <w:i w:val="0"/>
                <w:sz w:val="18"/>
              </w:rPr>
              <w:t>Pinus radiata crop (PF Olsen, April 2026)</w:t>
            </w:r>
          </w:p>
        </w:tc>
        <w:tc>
          <w:tcPr>
            <w:tcW w:type="dxa" w:w="7030"/>
          </w:tcPr>
          <w:p>
            <w:pPr>
              <w:spacing w:after="0" w:line="240" w:lineRule="auto"/>
            </w:pPr>
            <w:r/>
            <w:r>
              <w:rPr>
                <w:b w:val="0"/>
                <w:i w:val="0"/>
                <w:sz w:val="18"/>
              </w:rPr>
              <w:t>None</w:t>
            </w:r>
          </w:p>
        </w:tc>
      </w:tr>
      <w:tr>
        <w:tc>
          <w:tcPr>
            <w:tcW w:type="dxa" w:w="2608"/>
            <w:shd w:val="clear" w:color="auto" w:fill="F2F0EA"/>
          </w:tcPr>
          <w:p>
            <w:pPr>
              <w:spacing w:after="0" w:line="240" w:lineRule="auto"/>
            </w:pPr>
            <w:r/>
            <w:r>
              <w:rPr>
                <w:b/>
                <w:i w:val="0"/>
                <w:sz w:val="18"/>
              </w:rPr>
              <w:t>ETS carbon accounting areas</w:t>
            </w:r>
          </w:p>
        </w:tc>
        <w:tc>
          <w:tcPr>
            <w:tcW w:type="dxa" w:w="7030"/>
          </w:tcPr>
          <w:p>
            <w:pPr>
              <w:spacing w:after="0" w:line="240" w:lineRule="auto"/>
            </w:pPr>
            <w:r/>
            <w:r>
              <w:rPr>
                <w:b w:val="0"/>
                <w:i w:val="0"/>
                <w:sz w:val="18"/>
              </w:rPr>
              <w:t>No carbon accounting areas registered</w:t>
            </w:r>
          </w:p>
        </w:tc>
      </w:tr>
      <w:tr>
        <w:tc>
          <w:tcPr>
            <w:tcW w:type="dxa" w:w="2608"/>
            <w:shd w:val="clear" w:color="auto" w:fill="F2F0EA"/>
          </w:tcPr>
          <w:p>
            <w:pPr>
              <w:spacing w:after="0" w:line="240" w:lineRule="auto"/>
            </w:pPr>
            <w:r/>
            <w:r>
              <w:rPr>
                <w:b/>
                <w:i w:val="0"/>
                <w:sz w:val="18"/>
              </w:rPr>
              <w:t>Indicatively ETS-eligible land</w:t>
            </w:r>
          </w:p>
        </w:tc>
        <w:tc>
          <w:tcPr>
            <w:tcW w:type="dxa" w:w="7030"/>
          </w:tcPr>
          <w:p>
            <w:pPr>
              <w:spacing w:after="0" w:line="240" w:lineRule="auto"/>
            </w:pPr>
            <w:r/>
            <w:r>
              <w:rPr>
                <w:b w:val="0"/>
                <w:i w:val="0"/>
                <w:sz w:val="18"/>
              </w:rPr>
              <w:t>about 65.6 ha (post-1989 grassland and scrub, MPI to determine)</w:t>
            </w:r>
          </w:p>
        </w:tc>
      </w:tr>
      <w:tr>
        <w:tc>
          <w:tcPr>
            <w:tcW w:type="dxa" w:w="2608"/>
            <w:shd w:val="clear" w:color="auto" w:fill="F2F0EA"/>
          </w:tcPr>
          <w:p>
            <w:pPr>
              <w:spacing w:after="0" w:line="240" w:lineRule="auto"/>
            </w:pPr>
            <w:r/>
            <w:r>
              <w:rPr>
                <w:b/>
                <w:i w:val="0"/>
                <w:sz w:val="18"/>
              </w:rPr>
              <w:t>Leases / occupation</w:t>
            </w:r>
          </w:p>
        </w:tc>
        <w:tc>
          <w:tcPr>
            <w:tcW w:type="dxa" w:w="7030"/>
          </w:tcPr>
          <w:p>
            <w:pPr>
              <w:spacing w:after="0" w:line="240" w:lineRule="auto"/>
            </w:pPr>
            <w:r/>
            <w:r>
              <w:rPr>
                <w:b w:val="0"/>
                <w:i w:val="0"/>
                <w:sz w:val="18"/>
              </w:rPr>
              <w:t xml:space="preserve">None known </w:t>
            </w:r>
            <w:r>
              <w:rPr>
                <w:b/>
                <w:i w:val="0"/>
                <w:color w:val="B01E1E"/>
                <w:sz w:val="18"/>
              </w:rPr>
              <w:t>[TBC]</w:t>
            </w:r>
          </w:p>
        </w:tc>
      </w:tr>
      <w:tr>
        <w:tc>
          <w:tcPr>
            <w:tcW w:type="dxa" w:w="2608"/>
            <w:shd w:val="clear" w:color="auto" w:fill="F2F0EA"/>
          </w:tcPr>
          <w:p>
            <w:pPr>
              <w:spacing w:after="0" w:line="240" w:lineRule="auto"/>
            </w:pPr>
            <w:r/>
            <w:r>
              <w:rPr>
                <w:b/>
                <w:i w:val="0"/>
                <w:sz w:val="18"/>
              </w:rPr>
              <w:t>Access</w:t>
            </w:r>
          </w:p>
        </w:tc>
        <w:tc>
          <w:tcPr>
            <w:tcW w:type="dxa" w:w="7030"/>
          </w:tcPr>
          <w:p>
            <w:pPr>
              <w:spacing w:after="0" w:line="240" w:lineRule="auto"/>
            </w:pPr>
            <w:r/>
            <w:r>
              <w:rPr>
                <w:b w:val="0"/>
                <w:i w:val="0"/>
                <w:sz w:val="18"/>
              </w:rPr>
              <w:t>Road frontage to Ridge Road.</w:t>
            </w:r>
          </w:p>
        </w:tc>
      </w:tr>
      <w:tr>
        <w:tc>
          <w:tcPr>
            <w:tcW w:type="dxa" w:w="2608"/>
            <w:shd w:val="clear" w:color="auto" w:fill="F2F0EA"/>
          </w:tcPr>
          <w:p>
            <w:pPr>
              <w:spacing w:after="0" w:line="240" w:lineRule="auto"/>
            </w:pPr>
            <w:r/>
            <w:r>
              <w:rPr>
                <w:b/>
                <w:i w:val="0"/>
                <w:sz w:val="18"/>
              </w:rPr>
              <w:t>Improvements</w:t>
            </w:r>
          </w:p>
        </w:tc>
        <w:tc>
          <w:tcPr>
            <w:tcW w:type="dxa" w:w="7030"/>
          </w:tcPr>
          <w:p>
            <w:pPr>
              <w:spacing w:after="0" w:line="240" w:lineRule="auto"/>
            </w:pPr>
            <w:r/>
            <w:r>
              <w:rPr>
                <w:b/>
                <w:i w:val="0"/>
                <w:color w:val="B01E1E"/>
                <w:sz w:val="18"/>
              </w:rPr>
              <w:t>[TBC – schedule of buildings]</w:t>
            </w:r>
            <w:r>
              <w:rPr>
                <w:b w:val="0"/>
                <w:i w:val="0"/>
                <w:sz w:val="18"/>
              </w:rPr>
              <w:t xml:space="preserve"> (CBRE Oct 2024 carried $35,000 of improvements)</w:t>
            </w:r>
          </w:p>
        </w:tc>
      </w:tr>
      <w:tr>
        <w:tc>
          <w:tcPr>
            <w:tcW w:type="dxa" w:w="2608"/>
            <w:shd w:val="clear" w:color="auto" w:fill="F2F0EA"/>
          </w:tcPr>
          <w:p>
            <w:pPr>
              <w:spacing w:after="0" w:line="240" w:lineRule="auto"/>
            </w:pPr>
            <w:r/>
            <w:r>
              <w:rPr>
                <w:b/>
                <w:i w:val="0"/>
                <w:sz w:val="18"/>
              </w:rPr>
              <w:t>Rating valuation / rates</w:t>
            </w:r>
          </w:p>
        </w:tc>
        <w:tc>
          <w:tcPr>
            <w:tcW w:type="dxa" w:w="7030"/>
          </w:tcPr>
          <w:p>
            <w:pPr>
              <w:spacing w:after="0" w:line="240" w:lineRule="auto"/>
            </w:pPr>
            <w:r/>
            <w:r>
              <w:rPr>
                <w:b/>
                <w:i w:val="0"/>
                <w:color w:val="B01E1E"/>
                <w:sz w:val="18"/>
              </w:rPr>
              <w:t>[TBC]</w:t>
            </w:r>
          </w:p>
        </w:tc>
      </w:tr>
    </w:tbl>
    <w:p>
      <w:pPr>
        <w:spacing w:after="40"/>
      </w:pPr>
    </w:p>
    <w:p>
      <w:pPr>
        <w:pStyle w:val="Heading3"/>
      </w:pPr>
      <w:r>
        <w:t>Description</w:t>
      </w:r>
    </w:p>
    <w:p>
      <w:r>
        <w:rPr>
          <w:b w:val="0"/>
          <w:i w:val="0"/>
        </w:rPr>
        <w:t>A 283 ha block of regenerating scrub (153 ha) and native (58 ha) with about 71 ha of open ground, much of it flat to rolling. About 66 ha is indicatively ETS-eligible.</w:t>
      </w:r>
    </w:p>
    <w:p>
      <w:pPr>
        <w:pStyle w:val="Heading3"/>
      </w:pPr>
      <w:r>
        <w:t>Points to note</w:t>
      </w:r>
    </w:p>
    <w:p>
      <w:pPr>
        <w:pStyle w:val="ListBullet"/>
        <w:spacing w:after="40"/>
      </w:pPr>
      <w:r>
        <w:rPr>
          <w:b w:val="0"/>
          <w:i w:val="0"/>
        </w:rPr>
        <w:t>No Pinus radiata on the block.</w:t>
      </w:r>
    </w:p>
    <w:p>
      <w:pPr>
        <w:pStyle w:val="Heading3"/>
      </w:pPr>
      <w:r>
        <w:t>Items to confirm</w:t>
      </w:r>
    </w:p>
    <w:p>
      <w:pPr>
        <w:pStyle w:val="ListBullet"/>
        <w:spacing w:after="40"/>
      </w:pPr>
      <w:r>
        <w:rPr>
          <w:b/>
          <w:i w:val="0"/>
          <w:color w:val="B01E1E"/>
        </w:rPr>
        <w:t>[TBC]</w:t>
      </w:r>
      <w:r>
        <w:rPr>
          <w:b w:val="0"/>
          <w:i w:val="0"/>
        </w:rPr>
        <w:t xml:space="preserve"> Improvements (CBRE $35,000).</w:t>
      </w:r>
    </w:p>
    <w:p>
      <w:r>
        <w:br w:type="page"/>
      </w:r>
    </w:p>
    <w:p>
      <w:pPr>
        <w:pStyle w:val="Heading2"/>
      </w:pPr>
      <w:r>
        <w:t>3.16  Tims</w:t>
      </w:r>
    </w:p>
    <w:p>
      <w:pPr>
        <w:spacing w:after="120"/>
      </w:pPr>
      <w:r>
        <w:rPr>
          <w:b w:val="0"/>
          <w:i/>
          <w:color w:val="717D4A"/>
        </w:rPr>
        <w:t>Eastern Taranaki – Whangamomona / Mangaehu (Stratford District) · Dwelling block</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4819"/>
        <w:gridCol w:w="4819"/>
      </w:tblGrid>
      <w:tr>
        <w:tc>
          <w:tcPr>
            <w:tcW w:type="dxa" w:w="2608"/>
            <w:shd w:val="clear" w:color="auto" w:fill="F2F0EA"/>
          </w:tcPr>
          <w:p>
            <w:pPr>
              <w:spacing w:after="0" w:line="240" w:lineRule="auto"/>
            </w:pPr>
            <w:r/>
            <w:r>
              <w:rPr>
                <w:b/>
                <w:i w:val="0"/>
                <w:sz w:val="18"/>
              </w:rPr>
              <w:t>Vendor / interest</w:t>
            </w:r>
          </w:p>
        </w:tc>
        <w:tc>
          <w:tcPr>
            <w:tcW w:type="dxa" w:w="7030"/>
          </w:tcPr>
          <w:p>
            <w:pPr>
              <w:spacing w:after="0" w:line="240" w:lineRule="auto"/>
            </w:pPr>
            <w:r/>
            <w:r>
              <w:rPr>
                <w:b w:val="0"/>
                <w:i w:val="0"/>
                <w:sz w:val="18"/>
              </w:rPr>
              <w:t>Nirvana Farm Limited (In Receivership)</w:t>
            </w:r>
          </w:p>
        </w:tc>
      </w:tr>
      <w:tr>
        <w:tc>
          <w:tcPr>
            <w:tcW w:type="dxa" w:w="2608"/>
            <w:shd w:val="clear" w:color="auto" w:fill="F2F0EA"/>
          </w:tcPr>
          <w:p>
            <w:pPr>
              <w:spacing w:after="0" w:line="240" w:lineRule="auto"/>
            </w:pPr>
            <w:r/>
            <w:r>
              <w:rPr>
                <w:b/>
                <w:i w:val="0"/>
                <w:sz w:val="18"/>
              </w:rPr>
              <w:t>Records of title</w:t>
            </w:r>
          </w:p>
        </w:tc>
        <w:tc>
          <w:tcPr>
            <w:tcW w:type="dxa" w:w="7030"/>
          </w:tcPr>
          <w:p>
            <w:pPr>
              <w:spacing w:after="0" w:line="240" w:lineRule="auto"/>
            </w:pPr>
            <w:r/>
            <w:r>
              <w:rPr>
                <w:b w:val="0"/>
                <w:i w:val="0"/>
                <w:sz w:val="18"/>
              </w:rPr>
              <w:t>646771 (Taranaki Land District)</w:t>
            </w:r>
          </w:p>
        </w:tc>
      </w:tr>
      <w:tr>
        <w:tc>
          <w:tcPr>
            <w:tcW w:type="dxa" w:w="2608"/>
            <w:shd w:val="clear" w:color="auto" w:fill="F2F0EA"/>
          </w:tcPr>
          <w:p>
            <w:pPr>
              <w:spacing w:after="0" w:line="240" w:lineRule="auto"/>
            </w:pPr>
            <w:r/>
            <w:r>
              <w:rPr>
                <w:b/>
                <w:i w:val="0"/>
                <w:sz w:val="18"/>
              </w:rPr>
              <w:t>Title area</w:t>
            </w:r>
          </w:p>
        </w:tc>
        <w:tc>
          <w:tcPr>
            <w:tcW w:type="dxa" w:w="7030"/>
          </w:tcPr>
          <w:p>
            <w:pPr>
              <w:spacing w:after="0" w:line="240" w:lineRule="auto"/>
            </w:pPr>
            <w:r/>
            <w:r>
              <w:rPr>
                <w:b w:val="0"/>
                <w:i w:val="0"/>
                <w:sz w:val="18"/>
              </w:rPr>
              <w:t>14.32 ha</w:t>
            </w:r>
          </w:p>
        </w:tc>
      </w:tr>
      <w:tr>
        <w:tc>
          <w:tcPr>
            <w:tcW w:type="dxa" w:w="2608"/>
            <w:shd w:val="clear" w:color="auto" w:fill="F2F0EA"/>
          </w:tcPr>
          <w:p>
            <w:pPr>
              <w:spacing w:after="0" w:line="240" w:lineRule="auto"/>
            </w:pPr>
            <w:r/>
            <w:r>
              <w:rPr>
                <w:b/>
                <w:i w:val="0"/>
                <w:sz w:val="18"/>
              </w:rPr>
              <w:t>Location / address</w:t>
            </w:r>
          </w:p>
        </w:tc>
        <w:tc>
          <w:tcPr>
            <w:tcW w:type="dxa" w:w="7030"/>
          </w:tcPr>
          <w:p>
            <w:pPr>
              <w:spacing w:after="0" w:line="240" w:lineRule="auto"/>
            </w:pPr>
            <w:r/>
            <w:r>
              <w:rPr>
                <w:b w:val="0"/>
                <w:i w:val="0"/>
                <w:sz w:val="18"/>
              </w:rPr>
              <w:t>1210 Upper Mangaehu Road</w:t>
            </w:r>
          </w:p>
        </w:tc>
      </w:tr>
      <w:tr>
        <w:tc>
          <w:tcPr>
            <w:tcW w:type="dxa" w:w="2608"/>
            <w:shd w:val="clear" w:color="auto" w:fill="F2F0EA"/>
          </w:tcPr>
          <w:p>
            <w:pPr>
              <w:spacing w:after="0" w:line="240" w:lineRule="auto"/>
            </w:pPr>
            <w:r/>
            <w:r>
              <w:rPr>
                <w:b/>
                <w:i w:val="0"/>
                <w:sz w:val="18"/>
              </w:rPr>
              <w:t>Territorial authority</w:t>
            </w:r>
          </w:p>
        </w:tc>
        <w:tc>
          <w:tcPr>
            <w:tcW w:type="dxa" w:w="7030"/>
          </w:tcPr>
          <w:p>
            <w:pPr>
              <w:spacing w:after="0" w:line="240" w:lineRule="auto"/>
            </w:pPr>
            <w:r/>
            <w:r>
              <w:rPr>
                <w:b w:val="0"/>
                <w:i w:val="0"/>
                <w:sz w:val="18"/>
              </w:rPr>
              <w:t>Stratford District</w:t>
            </w:r>
          </w:p>
        </w:tc>
      </w:tr>
      <w:tr>
        <w:tc>
          <w:tcPr>
            <w:tcW w:type="dxa" w:w="2608"/>
            <w:shd w:val="clear" w:color="auto" w:fill="F2F0EA"/>
          </w:tcPr>
          <w:p>
            <w:pPr>
              <w:spacing w:after="0" w:line="240" w:lineRule="auto"/>
            </w:pPr>
            <w:r/>
            <w:r>
              <w:rPr>
                <w:b/>
                <w:i w:val="0"/>
                <w:sz w:val="18"/>
              </w:rPr>
              <w:t>Regional council</w:t>
            </w:r>
          </w:p>
        </w:tc>
        <w:tc>
          <w:tcPr>
            <w:tcW w:type="dxa" w:w="7030"/>
          </w:tcPr>
          <w:p>
            <w:pPr>
              <w:spacing w:after="0" w:line="240" w:lineRule="auto"/>
            </w:pPr>
            <w:r/>
            <w:r>
              <w:rPr>
                <w:b w:val="0"/>
                <w:i w:val="0"/>
                <w:sz w:val="18"/>
              </w:rPr>
              <w:t>Taranaki Regional Council</w:t>
            </w:r>
          </w:p>
        </w:tc>
      </w:tr>
      <w:tr>
        <w:tc>
          <w:tcPr>
            <w:tcW w:type="dxa" w:w="2608"/>
            <w:shd w:val="clear" w:color="auto" w:fill="F2F0EA"/>
          </w:tcPr>
          <w:p>
            <w:pPr>
              <w:spacing w:after="0" w:line="240" w:lineRule="auto"/>
            </w:pPr>
            <w:r/>
            <w:r>
              <w:rPr>
                <w:b/>
                <w:i w:val="0"/>
                <w:sz w:val="18"/>
              </w:rPr>
              <w:t>Land cover (July 2026 mapping)</w:t>
            </w:r>
          </w:p>
        </w:tc>
        <w:tc>
          <w:tcPr>
            <w:tcW w:type="dxa" w:w="7030"/>
          </w:tcPr>
          <w:p>
            <w:pPr>
              <w:spacing w:after="0" w:line="240" w:lineRule="auto"/>
            </w:pPr>
            <w:r/>
            <w:r>
              <w:rPr>
                <w:b w:val="0"/>
                <w:i w:val="0"/>
                <w:sz w:val="18"/>
              </w:rPr>
              <w:t>Native bush 4.9 ha · Mānuka / kānuka 9.4 ha</w:t>
            </w:r>
          </w:p>
        </w:tc>
      </w:tr>
      <w:tr>
        <w:tc>
          <w:tcPr>
            <w:tcW w:type="dxa" w:w="2608"/>
            <w:shd w:val="clear" w:color="auto" w:fill="F2F0EA"/>
          </w:tcPr>
          <w:p>
            <w:pPr>
              <w:spacing w:after="0" w:line="240" w:lineRule="auto"/>
            </w:pPr>
            <w:r/>
            <w:r>
              <w:rPr>
                <w:b/>
                <w:i w:val="0"/>
                <w:sz w:val="18"/>
              </w:rPr>
              <w:t>Open grassland by slope</w:t>
            </w:r>
          </w:p>
        </w:tc>
        <w:tc>
          <w:tcPr>
            <w:tcW w:type="dxa" w:w="7030"/>
          </w:tcPr>
          <w:p>
            <w:pPr>
              <w:spacing w:after="0" w:line="240" w:lineRule="auto"/>
            </w:pPr>
            <w:r/>
            <w:r>
              <w:rPr>
                <w:b w:val="0"/>
                <w:i w:val="0"/>
                <w:sz w:val="18"/>
              </w:rPr>
              <w:t>–</w:t>
            </w:r>
          </w:p>
        </w:tc>
      </w:tr>
      <w:tr>
        <w:tc>
          <w:tcPr>
            <w:tcW w:type="dxa" w:w="2608"/>
            <w:shd w:val="clear" w:color="auto" w:fill="F2F0EA"/>
          </w:tcPr>
          <w:p>
            <w:pPr>
              <w:spacing w:after="0" w:line="240" w:lineRule="auto"/>
            </w:pPr>
            <w:r/>
            <w:r>
              <w:rPr>
                <w:b/>
                <w:i w:val="0"/>
                <w:sz w:val="18"/>
              </w:rPr>
              <w:t>Pinus radiata crop (PF Olsen, April 2026)</w:t>
            </w:r>
          </w:p>
        </w:tc>
        <w:tc>
          <w:tcPr>
            <w:tcW w:type="dxa" w:w="7030"/>
          </w:tcPr>
          <w:p>
            <w:pPr>
              <w:spacing w:after="0" w:line="240" w:lineRule="auto"/>
            </w:pPr>
            <w:r/>
            <w:r>
              <w:rPr>
                <w:b w:val="0"/>
                <w:i w:val="0"/>
                <w:sz w:val="18"/>
              </w:rPr>
              <w:t>None</w:t>
            </w:r>
          </w:p>
        </w:tc>
      </w:tr>
      <w:tr>
        <w:tc>
          <w:tcPr>
            <w:tcW w:type="dxa" w:w="2608"/>
            <w:shd w:val="clear" w:color="auto" w:fill="F2F0EA"/>
          </w:tcPr>
          <w:p>
            <w:pPr>
              <w:spacing w:after="0" w:line="240" w:lineRule="auto"/>
            </w:pPr>
            <w:r/>
            <w:r>
              <w:rPr>
                <w:b/>
                <w:i w:val="0"/>
                <w:sz w:val="18"/>
              </w:rPr>
              <w:t>ETS carbon accounting areas</w:t>
            </w:r>
          </w:p>
        </w:tc>
        <w:tc>
          <w:tcPr>
            <w:tcW w:type="dxa" w:w="7030"/>
          </w:tcPr>
          <w:p>
            <w:pPr>
              <w:spacing w:after="0" w:line="240" w:lineRule="auto"/>
            </w:pPr>
            <w:r/>
            <w:r>
              <w:rPr>
                <w:b w:val="0"/>
                <w:i w:val="0"/>
                <w:sz w:val="18"/>
              </w:rPr>
              <w:t>No carbon accounting areas registered</w:t>
            </w:r>
          </w:p>
        </w:tc>
      </w:tr>
      <w:tr>
        <w:tc>
          <w:tcPr>
            <w:tcW w:type="dxa" w:w="2608"/>
            <w:shd w:val="clear" w:color="auto" w:fill="F2F0EA"/>
          </w:tcPr>
          <w:p>
            <w:pPr>
              <w:spacing w:after="0" w:line="240" w:lineRule="auto"/>
            </w:pPr>
            <w:r/>
            <w:r>
              <w:rPr>
                <w:b/>
                <w:i w:val="0"/>
                <w:sz w:val="18"/>
              </w:rPr>
              <w:t>Indicatively ETS-eligible land</w:t>
            </w:r>
          </w:p>
        </w:tc>
        <w:tc>
          <w:tcPr>
            <w:tcW w:type="dxa" w:w="7030"/>
          </w:tcPr>
          <w:p>
            <w:pPr>
              <w:spacing w:after="0" w:line="240" w:lineRule="auto"/>
            </w:pPr>
            <w:r/>
            <w:r>
              <w:rPr>
                <w:b w:val="0"/>
                <w:i w:val="0"/>
                <w:sz w:val="18"/>
              </w:rPr>
              <w:t>Negligible</w:t>
            </w:r>
          </w:p>
        </w:tc>
      </w:tr>
      <w:tr>
        <w:tc>
          <w:tcPr>
            <w:tcW w:type="dxa" w:w="2608"/>
            <w:shd w:val="clear" w:color="auto" w:fill="F2F0EA"/>
          </w:tcPr>
          <w:p>
            <w:pPr>
              <w:spacing w:after="0" w:line="240" w:lineRule="auto"/>
            </w:pPr>
            <w:r/>
            <w:r>
              <w:rPr>
                <w:b/>
                <w:i w:val="0"/>
                <w:sz w:val="18"/>
              </w:rPr>
              <w:t>Leases / occupation</w:t>
            </w:r>
          </w:p>
        </w:tc>
        <w:tc>
          <w:tcPr>
            <w:tcW w:type="dxa" w:w="7030"/>
          </w:tcPr>
          <w:p>
            <w:pPr>
              <w:spacing w:after="0" w:line="240" w:lineRule="auto"/>
            </w:pPr>
            <w:r/>
            <w:r>
              <w:rPr>
                <w:b w:val="0"/>
                <w:i w:val="0"/>
                <w:sz w:val="18"/>
              </w:rPr>
              <w:t xml:space="preserve">None known </w:t>
            </w:r>
            <w:r>
              <w:rPr>
                <w:b/>
                <w:i w:val="0"/>
                <w:color w:val="B01E1E"/>
                <w:sz w:val="18"/>
              </w:rPr>
              <w:t>[TBC]</w:t>
            </w:r>
          </w:p>
        </w:tc>
      </w:tr>
      <w:tr>
        <w:tc>
          <w:tcPr>
            <w:tcW w:type="dxa" w:w="2608"/>
            <w:shd w:val="clear" w:color="auto" w:fill="F2F0EA"/>
          </w:tcPr>
          <w:p>
            <w:pPr>
              <w:spacing w:after="0" w:line="240" w:lineRule="auto"/>
            </w:pPr>
            <w:r/>
            <w:r>
              <w:rPr>
                <w:b/>
                <w:i w:val="0"/>
                <w:sz w:val="18"/>
              </w:rPr>
              <w:t>Access</w:t>
            </w:r>
          </w:p>
        </w:tc>
        <w:tc>
          <w:tcPr>
            <w:tcW w:type="dxa" w:w="7030"/>
          </w:tcPr>
          <w:p>
            <w:pPr>
              <w:spacing w:after="0" w:line="240" w:lineRule="auto"/>
            </w:pPr>
            <w:r/>
            <w:r>
              <w:rPr>
                <w:b w:val="0"/>
                <w:i w:val="0"/>
                <w:sz w:val="18"/>
              </w:rPr>
              <w:t>Road frontage to Upper Mangaehu Road.</w:t>
            </w:r>
          </w:p>
        </w:tc>
      </w:tr>
      <w:tr>
        <w:tc>
          <w:tcPr>
            <w:tcW w:type="dxa" w:w="2608"/>
            <w:shd w:val="clear" w:color="auto" w:fill="F2F0EA"/>
          </w:tcPr>
          <w:p>
            <w:pPr>
              <w:spacing w:after="0" w:line="240" w:lineRule="auto"/>
            </w:pPr>
            <w:r/>
            <w:r>
              <w:rPr>
                <w:b/>
                <w:i w:val="0"/>
                <w:sz w:val="18"/>
              </w:rPr>
              <w:t>Improvements</w:t>
            </w:r>
          </w:p>
        </w:tc>
        <w:tc>
          <w:tcPr>
            <w:tcW w:type="dxa" w:w="7030"/>
          </w:tcPr>
          <w:p>
            <w:pPr>
              <w:spacing w:after="0" w:line="240" w:lineRule="auto"/>
            </w:pPr>
            <w:r/>
            <w:r>
              <w:rPr>
                <w:b/>
                <w:i w:val="0"/>
                <w:color w:val="B01E1E"/>
                <w:sz w:val="18"/>
              </w:rPr>
              <w:t>[TBC – schedule of buildings]</w:t>
            </w:r>
            <w:r>
              <w:rPr>
                <w:b w:val="0"/>
                <w:i w:val="0"/>
                <w:sz w:val="18"/>
              </w:rPr>
              <w:t xml:space="preserve"> (CBRE Oct 2024 carried $5,000 of improvements)</w:t>
            </w:r>
          </w:p>
        </w:tc>
      </w:tr>
      <w:tr>
        <w:tc>
          <w:tcPr>
            <w:tcW w:type="dxa" w:w="2608"/>
            <w:shd w:val="clear" w:color="auto" w:fill="F2F0EA"/>
          </w:tcPr>
          <w:p>
            <w:pPr>
              <w:spacing w:after="0" w:line="240" w:lineRule="auto"/>
            </w:pPr>
            <w:r/>
            <w:r>
              <w:rPr>
                <w:b/>
                <w:i w:val="0"/>
                <w:sz w:val="18"/>
              </w:rPr>
              <w:t>Rating valuation / rates</w:t>
            </w:r>
          </w:p>
        </w:tc>
        <w:tc>
          <w:tcPr>
            <w:tcW w:type="dxa" w:w="7030"/>
          </w:tcPr>
          <w:p>
            <w:pPr>
              <w:spacing w:after="0" w:line="240" w:lineRule="auto"/>
            </w:pPr>
            <w:r/>
            <w:r>
              <w:rPr>
                <w:b/>
                <w:i w:val="0"/>
                <w:color w:val="B01E1E"/>
                <w:sz w:val="18"/>
              </w:rPr>
              <w:t>[TBC]</w:t>
            </w:r>
          </w:p>
        </w:tc>
      </w:tr>
    </w:tbl>
    <w:p>
      <w:pPr>
        <w:spacing w:after="40"/>
      </w:pPr>
    </w:p>
    <w:p>
      <w:pPr>
        <w:pStyle w:val="Heading3"/>
      </w:pPr>
      <w:r>
        <w:t>Description</w:t>
      </w:r>
    </w:p>
    <w:p>
      <w:r>
        <w:rPr>
          <w:b w:val="0"/>
          <w:i w:val="0"/>
        </w:rPr>
        <w:t>A 14 ha block of native and scrub on Upper Mangaehu Road, near Staghaven.</w:t>
      </w:r>
    </w:p>
    <w:p>
      <w:r>
        <w:br w:type="page"/>
      </w:r>
    </w:p>
    <w:p>
      <w:pPr>
        <w:pStyle w:val="Heading2"/>
      </w:pPr>
      <w:r>
        <w:t>3.17  Pakihi</w:t>
      </w:r>
    </w:p>
    <w:p>
      <w:pPr>
        <w:spacing w:after="120"/>
      </w:pPr>
      <w:r>
        <w:rPr>
          <w:b w:val="0"/>
          <w:i/>
          <w:color w:val="717D4A"/>
        </w:rPr>
        <w:t>Eastern Bay of Plenty – Toatoa (Ōpōtiki District) · Native / mānuka block</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4819"/>
        <w:gridCol w:w="4819"/>
      </w:tblGrid>
      <w:tr>
        <w:tc>
          <w:tcPr>
            <w:tcW w:type="dxa" w:w="2608"/>
            <w:shd w:val="clear" w:color="auto" w:fill="F2F0EA"/>
          </w:tcPr>
          <w:p>
            <w:pPr>
              <w:spacing w:after="0" w:line="240" w:lineRule="auto"/>
            </w:pPr>
            <w:r/>
            <w:r>
              <w:rPr>
                <w:b/>
                <w:i w:val="0"/>
                <w:sz w:val="18"/>
              </w:rPr>
              <w:t>Vendor / interest</w:t>
            </w:r>
          </w:p>
        </w:tc>
        <w:tc>
          <w:tcPr>
            <w:tcW w:type="dxa" w:w="7030"/>
          </w:tcPr>
          <w:p>
            <w:pPr>
              <w:spacing w:after="0" w:line="240" w:lineRule="auto"/>
            </w:pPr>
            <w:r/>
            <w:r>
              <w:rPr>
                <w:b w:val="0"/>
                <w:i w:val="0"/>
                <w:sz w:val="18"/>
              </w:rPr>
              <w:t>Nirvana Farm Limited (In Receivership)</w:t>
            </w:r>
          </w:p>
        </w:tc>
      </w:tr>
      <w:tr>
        <w:tc>
          <w:tcPr>
            <w:tcW w:type="dxa" w:w="2608"/>
            <w:shd w:val="clear" w:color="auto" w:fill="F2F0EA"/>
          </w:tcPr>
          <w:p>
            <w:pPr>
              <w:spacing w:after="0" w:line="240" w:lineRule="auto"/>
            </w:pPr>
            <w:r/>
            <w:r>
              <w:rPr>
                <w:b/>
                <w:i w:val="0"/>
                <w:sz w:val="18"/>
              </w:rPr>
              <w:t>Records of title</w:t>
            </w:r>
          </w:p>
        </w:tc>
        <w:tc>
          <w:tcPr>
            <w:tcW w:type="dxa" w:w="7030"/>
          </w:tcPr>
          <w:p>
            <w:pPr>
              <w:spacing w:after="0" w:line="240" w:lineRule="auto"/>
            </w:pPr>
            <w:r/>
            <w:r>
              <w:rPr>
                <w:b w:val="0"/>
                <w:i w:val="0"/>
                <w:sz w:val="18"/>
              </w:rPr>
              <w:t>GS5C/1448, GS6C/1378, GS6C/1379, GS6C/1380 (Gisborne Land District)</w:t>
            </w:r>
          </w:p>
        </w:tc>
      </w:tr>
      <w:tr>
        <w:tc>
          <w:tcPr>
            <w:tcW w:type="dxa" w:w="2608"/>
            <w:shd w:val="clear" w:color="auto" w:fill="F2F0EA"/>
          </w:tcPr>
          <w:p>
            <w:pPr>
              <w:spacing w:after="0" w:line="240" w:lineRule="auto"/>
            </w:pPr>
            <w:r/>
            <w:r>
              <w:rPr>
                <w:b/>
                <w:i w:val="0"/>
                <w:sz w:val="18"/>
              </w:rPr>
              <w:t>Title area</w:t>
            </w:r>
          </w:p>
        </w:tc>
        <w:tc>
          <w:tcPr>
            <w:tcW w:type="dxa" w:w="7030"/>
          </w:tcPr>
          <w:p>
            <w:pPr>
              <w:spacing w:after="0" w:line="240" w:lineRule="auto"/>
            </w:pPr>
            <w:r/>
            <w:r>
              <w:rPr>
                <w:b w:val="0"/>
                <w:i w:val="0"/>
                <w:sz w:val="18"/>
              </w:rPr>
              <w:t>445.60 ha</w:t>
            </w:r>
          </w:p>
        </w:tc>
      </w:tr>
      <w:tr>
        <w:tc>
          <w:tcPr>
            <w:tcW w:type="dxa" w:w="2608"/>
            <w:shd w:val="clear" w:color="auto" w:fill="F2F0EA"/>
          </w:tcPr>
          <w:p>
            <w:pPr>
              <w:spacing w:after="0" w:line="240" w:lineRule="auto"/>
            </w:pPr>
            <w:r/>
            <w:r>
              <w:rPr>
                <w:b/>
                <w:i w:val="0"/>
                <w:sz w:val="18"/>
              </w:rPr>
              <w:t>Location / address</w:t>
            </w:r>
          </w:p>
        </w:tc>
        <w:tc>
          <w:tcPr>
            <w:tcW w:type="dxa" w:w="7030"/>
          </w:tcPr>
          <w:p>
            <w:pPr>
              <w:spacing w:after="0" w:line="240" w:lineRule="auto"/>
            </w:pPr>
            <w:r/>
            <w:r>
              <w:rPr>
                <w:b w:val="0"/>
                <w:i w:val="0"/>
                <w:sz w:val="18"/>
              </w:rPr>
              <w:t>Pakihi Road, Toatoa (573 / 1016 Pakihi Road)</w:t>
            </w:r>
          </w:p>
        </w:tc>
      </w:tr>
      <w:tr>
        <w:tc>
          <w:tcPr>
            <w:tcW w:type="dxa" w:w="2608"/>
            <w:shd w:val="clear" w:color="auto" w:fill="F2F0EA"/>
          </w:tcPr>
          <w:p>
            <w:pPr>
              <w:spacing w:after="0" w:line="240" w:lineRule="auto"/>
            </w:pPr>
            <w:r/>
            <w:r>
              <w:rPr>
                <w:b/>
                <w:i w:val="0"/>
                <w:sz w:val="18"/>
              </w:rPr>
              <w:t>Territorial authority</w:t>
            </w:r>
          </w:p>
        </w:tc>
        <w:tc>
          <w:tcPr>
            <w:tcW w:type="dxa" w:w="7030"/>
          </w:tcPr>
          <w:p>
            <w:pPr>
              <w:spacing w:after="0" w:line="240" w:lineRule="auto"/>
            </w:pPr>
            <w:r/>
            <w:r>
              <w:rPr>
                <w:b w:val="0"/>
                <w:i w:val="0"/>
                <w:sz w:val="18"/>
              </w:rPr>
              <w:t>Ōpōtiki District</w:t>
            </w:r>
          </w:p>
        </w:tc>
      </w:tr>
      <w:tr>
        <w:tc>
          <w:tcPr>
            <w:tcW w:type="dxa" w:w="2608"/>
            <w:shd w:val="clear" w:color="auto" w:fill="F2F0EA"/>
          </w:tcPr>
          <w:p>
            <w:pPr>
              <w:spacing w:after="0" w:line="240" w:lineRule="auto"/>
            </w:pPr>
            <w:r/>
            <w:r>
              <w:rPr>
                <w:b/>
                <w:i w:val="0"/>
                <w:sz w:val="18"/>
              </w:rPr>
              <w:t>Regional council</w:t>
            </w:r>
          </w:p>
        </w:tc>
        <w:tc>
          <w:tcPr>
            <w:tcW w:type="dxa" w:w="7030"/>
          </w:tcPr>
          <w:p>
            <w:pPr>
              <w:spacing w:after="0" w:line="240" w:lineRule="auto"/>
            </w:pPr>
            <w:r/>
            <w:r>
              <w:rPr>
                <w:b w:val="0"/>
                <w:i w:val="0"/>
                <w:sz w:val="18"/>
              </w:rPr>
              <w:t>Bay of Plenty Regional Council</w:t>
            </w:r>
          </w:p>
        </w:tc>
      </w:tr>
      <w:tr>
        <w:tc>
          <w:tcPr>
            <w:tcW w:type="dxa" w:w="2608"/>
            <w:shd w:val="clear" w:color="auto" w:fill="F2F0EA"/>
          </w:tcPr>
          <w:p>
            <w:pPr>
              <w:spacing w:after="0" w:line="240" w:lineRule="auto"/>
            </w:pPr>
            <w:r/>
            <w:r>
              <w:rPr>
                <w:b/>
                <w:i w:val="0"/>
                <w:sz w:val="18"/>
              </w:rPr>
              <w:t>Land cover (July 2026 mapping)</w:t>
            </w:r>
          </w:p>
        </w:tc>
        <w:tc>
          <w:tcPr>
            <w:tcW w:type="dxa" w:w="7030"/>
          </w:tcPr>
          <w:p>
            <w:pPr>
              <w:spacing w:after="0" w:line="240" w:lineRule="auto"/>
            </w:pPr>
            <w:r/>
            <w:r>
              <w:rPr>
                <w:b w:val="0"/>
                <w:i w:val="0"/>
                <w:sz w:val="18"/>
              </w:rPr>
              <w:t>Pine / exotic 0.5 ha · Native bush 243.7 ha · Mānuka / kānuka 199.4 ha · Open grassland 2.1 ha</w:t>
            </w:r>
          </w:p>
        </w:tc>
      </w:tr>
      <w:tr>
        <w:tc>
          <w:tcPr>
            <w:tcW w:type="dxa" w:w="2608"/>
            <w:shd w:val="clear" w:color="auto" w:fill="F2F0EA"/>
          </w:tcPr>
          <w:p>
            <w:pPr>
              <w:spacing w:after="0" w:line="240" w:lineRule="auto"/>
            </w:pPr>
            <w:r/>
            <w:r>
              <w:rPr>
                <w:b/>
                <w:i w:val="0"/>
                <w:sz w:val="18"/>
              </w:rPr>
              <w:t>Open grassland by slope</w:t>
            </w:r>
          </w:p>
        </w:tc>
        <w:tc>
          <w:tcPr>
            <w:tcW w:type="dxa" w:w="7030"/>
          </w:tcPr>
          <w:p>
            <w:pPr>
              <w:spacing w:after="0" w:line="240" w:lineRule="auto"/>
            </w:pPr>
            <w:r/>
            <w:r>
              <w:rPr>
                <w:b w:val="0"/>
                <w:i w:val="0"/>
                <w:sz w:val="18"/>
              </w:rPr>
              <w:t>flat 0.5 · rolling 0.9 · medium hill 0.5 · very steep 0.2 ha</w:t>
            </w:r>
          </w:p>
        </w:tc>
      </w:tr>
      <w:tr>
        <w:tc>
          <w:tcPr>
            <w:tcW w:type="dxa" w:w="2608"/>
            <w:shd w:val="clear" w:color="auto" w:fill="F2F0EA"/>
          </w:tcPr>
          <w:p>
            <w:pPr>
              <w:spacing w:after="0" w:line="240" w:lineRule="auto"/>
            </w:pPr>
            <w:r/>
            <w:r>
              <w:rPr>
                <w:b/>
                <w:i w:val="0"/>
                <w:sz w:val="18"/>
              </w:rPr>
              <w:t>Pinus radiata crop (PF Olsen, April 2026)</w:t>
            </w:r>
          </w:p>
        </w:tc>
        <w:tc>
          <w:tcPr>
            <w:tcW w:type="dxa" w:w="7030"/>
          </w:tcPr>
          <w:p>
            <w:pPr>
              <w:spacing w:after="0" w:line="240" w:lineRule="auto"/>
            </w:pPr>
            <w:r/>
            <w:r>
              <w:rPr>
                <w:b w:val="0"/>
                <w:i w:val="0"/>
                <w:sz w:val="18"/>
              </w:rPr>
              <w:t>None</w:t>
            </w:r>
          </w:p>
        </w:tc>
      </w:tr>
      <w:tr>
        <w:tc>
          <w:tcPr>
            <w:tcW w:type="dxa" w:w="2608"/>
            <w:shd w:val="clear" w:color="auto" w:fill="F2F0EA"/>
          </w:tcPr>
          <w:p>
            <w:pPr>
              <w:spacing w:after="0" w:line="240" w:lineRule="auto"/>
            </w:pPr>
            <w:r/>
            <w:r>
              <w:rPr>
                <w:b/>
                <w:i w:val="0"/>
                <w:sz w:val="18"/>
              </w:rPr>
              <w:t>ETS carbon accounting areas</w:t>
            </w:r>
          </w:p>
        </w:tc>
        <w:tc>
          <w:tcPr>
            <w:tcW w:type="dxa" w:w="7030"/>
          </w:tcPr>
          <w:p>
            <w:pPr>
              <w:spacing w:after="0" w:line="240" w:lineRule="auto"/>
            </w:pPr>
            <w:r/>
            <w:r>
              <w:rPr>
                <w:b w:val="0"/>
                <w:i w:val="0"/>
                <w:sz w:val="18"/>
              </w:rPr>
              <w:t>No carbon accounting areas registered</w:t>
            </w:r>
          </w:p>
        </w:tc>
      </w:tr>
      <w:tr>
        <w:tc>
          <w:tcPr>
            <w:tcW w:type="dxa" w:w="2608"/>
            <w:shd w:val="clear" w:color="auto" w:fill="F2F0EA"/>
          </w:tcPr>
          <w:p>
            <w:pPr>
              <w:spacing w:after="0" w:line="240" w:lineRule="auto"/>
            </w:pPr>
            <w:r/>
            <w:r>
              <w:rPr>
                <w:b/>
                <w:i w:val="0"/>
                <w:sz w:val="18"/>
              </w:rPr>
              <w:t>Indicatively ETS-eligible land</w:t>
            </w:r>
          </w:p>
        </w:tc>
        <w:tc>
          <w:tcPr>
            <w:tcW w:type="dxa" w:w="7030"/>
          </w:tcPr>
          <w:p>
            <w:pPr>
              <w:spacing w:after="0" w:line="240" w:lineRule="auto"/>
            </w:pPr>
            <w:r/>
            <w:r>
              <w:rPr>
                <w:b w:val="0"/>
                <w:i w:val="0"/>
                <w:sz w:val="18"/>
              </w:rPr>
              <w:t>about 1.3 ha (post-1989 grassland and scrub, MPI to determine)</w:t>
            </w:r>
          </w:p>
        </w:tc>
      </w:tr>
      <w:tr>
        <w:tc>
          <w:tcPr>
            <w:tcW w:type="dxa" w:w="2608"/>
            <w:shd w:val="clear" w:color="auto" w:fill="F2F0EA"/>
          </w:tcPr>
          <w:p>
            <w:pPr>
              <w:spacing w:after="0" w:line="240" w:lineRule="auto"/>
            </w:pPr>
            <w:r/>
            <w:r>
              <w:rPr>
                <w:b/>
                <w:i w:val="0"/>
                <w:sz w:val="18"/>
              </w:rPr>
              <w:t>Leases / occupation</w:t>
            </w:r>
          </w:p>
        </w:tc>
        <w:tc>
          <w:tcPr>
            <w:tcW w:type="dxa" w:w="7030"/>
          </w:tcPr>
          <w:p>
            <w:pPr>
              <w:spacing w:after="0" w:line="240" w:lineRule="auto"/>
            </w:pPr>
            <w:r/>
            <w:r>
              <w:rPr>
                <w:b w:val="0"/>
                <w:i w:val="0"/>
                <w:sz w:val="18"/>
              </w:rPr>
              <w:t xml:space="preserve">None known </w:t>
            </w:r>
            <w:r>
              <w:rPr>
                <w:b/>
                <w:i w:val="0"/>
                <w:color w:val="B01E1E"/>
                <w:sz w:val="18"/>
              </w:rPr>
              <w:t>[TBC]</w:t>
            </w:r>
          </w:p>
        </w:tc>
      </w:tr>
      <w:tr>
        <w:tc>
          <w:tcPr>
            <w:tcW w:type="dxa" w:w="2608"/>
            <w:shd w:val="clear" w:color="auto" w:fill="F2F0EA"/>
          </w:tcPr>
          <w:p>
            <w:pPr>
              <w:spacing w:after="0" w:line="240" w:lineRule="auto"/>
            </w:pPr>
            <w:r/>
            <w:r>
              <w:rPr>
                <w:b/>
                <w:i w:val="0"/>
                <w:sz w:val="18"/>
              </w:rPr>
              <w:t>Access</w:t>
            </w:r>
          </w:p>
        </w:tc>
        <w:tc>
          <w:tcPr>
            <w:tcW w:type="dxa" w:w="7030"/>
          </w:tcPr>
          <w:p>
            <w:pPr>
              <w:spacing w:after="0" w:line="240" w:lineRule="auto"/>
            </w:pPr>
            <w:r/>
            <w:r>
              <w:rPr>
                <w:b w:val="0"/>
                <w:i w:val="0"/>
                <w:sz w:val="18"/>
              </w:rPr>
              <w:t>Road frontage to Pakihi Road.</w:t>
            </w:r>
          </w:p>
        </w:tc>
      </w:tr>
      <w:tr>
        <w:tc>
          <w:tcPr>
            <w:tcW w:type="dxa" w:w="2608"/>
            <w:shd w:val="clear" w:color="auto" w:fill="F2F0EA"/>
          </w:tcPr>
          <w:p>
            <w:pPr>
              <w:spacing w:after="0" w:line="240" w:lineRule="auto"/>
            </w:pPr>
            <w:r/>
            <w:r>
              <w:rPr>
                <w:b/>
                <w:i w:val="0"/>
                <w:sz w:val="18"/>
              </w:rPr>
              <w:t>Improvements</w:t>
            </w:r>
          </w:p>
        </w:tc>
        <w:tc>
          <w:tcPr>
            <w:tcW w:type="dxa" w:w="7030"/>
          </w:tcPr>
          <w:p>
            <w:pPr>
              <w:spacing w:after="0" w:line="240" w:lineRule="auto"/>
            </w:pPr>
            <w:r/>
            <w:r>
              <w:rPr>
                <w:b/>
                <w:i w:val="0"/>
                <w:color w:val="B01E1E"/>
                <w:sz w:val="18"/>
              </w:rPr>
              <w:t>[TBC – schedule of buildings]</w:t>
            </w:r>
            <w:r>
              <w:rPr>
                <w:b w:val="0"/>
                <w:i w:val="0"/>
                <w:sz w:val="18"/>
              </w:rPr>
              <w:t xml:space="preserve"> (CBRE Oct 2024 carried $100,000 of improvements)</w:t>
            </w:r>
          </w:p>
        </w:tc>
      </w:tr>
      <w:tr>
        <w:tc>
          <w:tcPr>
            <w:tcW w:type="dxa" w:w="2608"/>
            <w:shd w:val="clear" w:color="auto" w:fill="F2F0EA"/>
          </w:tcPr>
          <w:p>
            <w:pPr>
              <w:spacing w:after="0" w:line="240" w:lineRule="auto"/>
            </w:pPr>
            <w:r/>
            <w:r>
              <w:rPr>
                <w:b/>
                <w:i w:val="0"/>
                <w:sz w:val="18"/>
              </w:rPr>
              <w:t>Rating valuation / rates</w:t>
            </w:r>
          </w:p>
        </w:tc>
        <w:tc>
          <w:tcPr>
            <w:tcW w:type="dxa" w:w="7030"/>
          </w:tcPr>
          <w:p>
            <w:pPr>
              <w:spacing w:after="0" w:line="240" w:lineRule="auto"/>
            </w:pPr>
            <w:r/>
            <w:r>
              <w:rPr>
                <w:b/>
                <w:i w:val="0"/>
                <w:color w:val="B01E1E"/>
                <w:sz w:val="18"/>
              </w:rPr>
              <w:t>[TBC]</w:t>
            </w:r>
          </w:p>
        </w:tc>
      </w:tr>
    </w:tbl>
    <w:p>
      <w:pPr>
        <w:spacing w:after="40"/>
      </w:pPr>
    </w:p>
    <w:p>
      <w:pPr>
        <w:pStyle w:val="Heading3"/>
      </w:pPr>
      <w:r>
        <w:t>Description</w:t>
      </w:r>
    </w:p>
    <w:p>
      <w:r>
        <w:rPr>
          <w:b w:val="0"/>
          <w:i w:val="0"/>
        </w:rPr>
        <w:t>The one outlying block: 446 ha of mānuka and native bush on Pakihi Road inland from Ōpōtiki, about 21 km from the town. The appraisal mapping records 244 ha of native bush and 199 ha of mānuka/kānuka; CBRE's land classes (15 ha easy, 362 ha medium hill, 68 ha steep) describe it as a mānuka honey block. It is geographically separate from the Taranaki–Whanganui estate and could suit a separate purchaser.</w:t>
      </w:r>
    </w:p>
    <w:p>
      <w:pPr>
        <w:pStyle w:val="Heading3"/>
      </w:pPr>
      <w:r>
        <w:t>Points to note</w:t>
      </w:r>
    </w:p>
    <w:p>
      <w:pPr>
        <w:pStyle w:val="ListBullet"/>
        <w:spacing w:after="40"/>
      </w:pPr>
      <w:r>
        <w:rPr>
          <w:b w:val="0"/>
          <w:i w:val="0"/>
        </w:rPr>
        <w:t>No Pinus radiata on the block; almost none of the land is indicatively post-1989.</w:t>
      </w:r>
    </w:p>
    <w:p>
      <w:pPr>
        <w:pStyle w:val="Heading3"/>
      </w:pPr>
      <w:r>
        <w:t>Items to confirm</w:t>
      </w:r>
    </w:p>
    <w:p>
      <w:pPr>
        <w:pStyle w:val="ListBullet"/>
        <w:spacing w:after="40"/>
      </w:pPr>
      <w:r>
        <w:rPr>
          <w:b/>
          <w:i w:val="0"/>
          <w:color w:val="B01E1E"/>
        </w:rPr>
        <w:t>[TBC]</w:t>
      </w:r>
      <w:r>
        <w:rPr>
          <w:b w:val="0"/>
          <w:i w:val="0"/>
        </w:rPr>
        <w:t xml:space="preserve"> Land cover – the LCDB-based classification shows the block as open grassland, the 2023/24 imagery as bush and scrub.</w:t>
      </w:r>
    </w:p>
    <w:p>
      <w:pPr>
        <w:pStyle w:val="ListBullet"/>
        <w:spacing w:after="40"/>
      </w:pPr>
      <w:r>
        <w:rPr>
          <w:b/>
          <w:i w:val="0"/>
          <w:color w:val="B01E1E"/>
        </w:rPr>
        <w:t>[TBC]</w:t>
      </w:r>
      <w:r>
        <w:rPr>
          <w:b w:val="0"/>
          <w:i w:val="0"/>
        </w:rPr>
        <w:t xml:space="preserve"> Improvements (CBRE $100,000) and occupancy.</w:t>
      </w:r>
    </w:p>
    <w:p>
      <w:r>
        <w:br w:type="page"/>
      </w:r>
    </w:p>
    <w:p>
      <w:pPr>
        <w:pStyle w:val="Heading1"/>
      </w:pPr>
      <w:r>
        <w:t>Appendix A  Schedule of titles</w:t>
      </w:r>
    </w:p>
    <w:p>
      <w:r>
        <w:rPr>
          <w:b w:val="0"/>
          <w:i w:val="0"/>
        </w:rPr>
        <w:t>Title and area details from the LINZ register (agency agreement schedules, 14 and 21 September 2026). Areas are hectares.</w:t>
      </w:r>
    </w:p>
    <w:tbl>
      <w:tblPr>
        <w:tblStyle w:val="TableGrid"/>
        <w:tblW w:type="auto" w:w="0"/>
        <w:jc w:val="center"/>
        <w:tblLayout w:type="fixed"/>
        <w:tblLook w:firstColumn="1" w:firstRow="1" w:lastColumn="0" w:lastRow="0" w:noHBand="0" w:noVBand="1" w:val="04A0"/>
        <w:tblCellMar>
          <w:top w:w="40" w:type="dxa"/>
          <w:left w:w="80" w:type="dxa"/>
          <w:bottom w:w="40" w:type="dxa"/>
          <w:right w:w="80" w:type="dxa"/>
        </w:tblCellMar>
        <w:tblBorders>
          <w:top w:val="single" w:sz="4" w:space="0" w:color="CFCBC0"/>
          <w:left w:val="single" w:sz="4" w:space="0" w:color="CFCBC0"/>
          <w:bottom w:val="single" w:sz="4" w:space="0" w:color="CFCBC0"/>
          <w:right w:val="single" w:sz="4" w:space="0" w:color="CFCBC0"/>
          <w:insideH w:val="single" w:sz="4" w:space="0" w:color="CFCBC0"/>
          <w:insideV w:val="single" w:sz="4" w:space="0" w:color="CFCBC0"/>
        </w:tblBorders>
      </w:tblPr>
      <w:tblGrid>
        <w:gridCol w:w="2409"/>
        <w:gridCol w:w="2409"/>
        <w:gridCol w:w="2409"/>
        <w:gridCol w:w="2409"/>
      </w:tblGrid>
      <w:tr>
        <w:tc>
          <w:tcPr>
            <w:tcW w:type="dxa" w:w="1928"/>
            <w:shd w:val="clear" w:color="auto" w:fill="DBD2C3"/>
          </w:tcPr>
          <w:p>
            <w:pPr>
              <w:spacing w:after="0" w:line="240" w:lineRule="auto"/>
            </w:pPr>
            <w:r/>
            <w:r>
              <w:rPr>
                <w:b/>
                <w:i w:val="0"/>
                <w:sz w:val="17"/>
              </w:rPr>
              <w:t>Block</w:t>
            </w:r>
          </w:p>
        </w:tc>
        <w:tc>
          <w:tcPr>
            <w:tcW w:type="dxa" w:w="1928"/>
            <w:shd w:val="clear" w:color="auto" w:fill="DBD2C3"/>
          </w:tcPr>
          <w:p>
            <w:pPr>
              <w:spacing w:after="0" w:line="240" w:lineRule="auto"/>
            </w:pPr>
            <w:r/>
            <w:r>
              <w:rPr>
                <w:b/>
                <w:i w:val="0"/>
                <w:sz w:val="17"/>
              </w:rPr>
              <w:t>Vendor</w:t>
            </w:r>
          </w:p>
        </w:tc>
        <w:tc>
          <w:tcPr>
            <w:tcW w:type="dxa" w:w="3515"/>
            <w:shd w:val="clear" w:color="auto" w:fill="DBD2C3"/>
          </w:tcPr>
          <w:p>
            <w:pPr>
              <w:spacing w:after="0" w:line="240" w:lineRule="auto"/>
            </w:pPr>
            <w:r/>
            <w:r>
              <w:rPr>
                <w:b/>
                <w:i w:val="0"/>
                <w:sz w:val="17"/>
              </w:rPr>
              <w:t>Record of title</w:t>
            </w:r>
          </w:p>
        </w:tc>
        <w:tc>
          <w:tcPr>
            <w:tcW w:type="dxa" w:w="1361"/>
            <w:shd w:val="clear" w:color="auto" w:fill="DBD2C3"/>
          </w:tcPr>
          <w:p>
            <w:pPr>
              <w:spacing w:after="0" w:line="240" w:lineRule="auto"/>
            </w:pPr>
            <w:r/>
            <w:r>
              <w:rPr>
                <w:b/>
                <w:i w:val="0"/>
                <w:sz w:val="17"/>
              </w:rPr>
              <w:t>Area (ha)</w:t>
            </w:r>
          </w:p>
        </w:tc>
      </w:tr>
      <w:tr>
        <w:tc>
          <w:tcPr>
            <w:tcW w:type="dxa" w:w="1928"/>
          </w:tcPr>
          <w:p>
            <w:pPr>
              <w:spacing w:after="0" w:line="240" w:lineRule="auto"/>
            </w:pPr>
            <w:r/>
            <w:r>
              <w:rPr>
                <w:b w:val="0"/>
                <w:i w:val="0"/>
                <w:sz w:val="17"/>
              </w:rPr>
              <w:t>Back Farm</w:t>
            </w:r>
          </w:p>
        </w:tc>
        <w:tc>
          <w:tcPr>
            <w:tcW w:type="dxa" w:w="1928"/>
          </w:tcPr>
          <w:p>
            <w:pPr>
              <w:spacing w:after="0" w:line="240" w:lineRule="auto"/>
            </w:pPr>
            <w:r/>
            <w:r>
              <w:rPr>
                <w:b w:val="0"/>
                <w:i w:val="0"/>
                <w:sz w:val="17"/>
              </w:rPr>
              <w:t>Makowhai Trust</w:t>
            </w:r>
          </w:p>
        </w:tc>
        <w:tc>
          <w:tcPr>
            <w:tcW w:type="dxa" w:w="3515"/>
          </w:tcPr>
          <w:p>
            <w:pPr>
              <w:spacing w:after="0" w:line="240" w:lineRule="auto"/>
            </w:pPr>
            <w:r/>
            <w:r>
              <w:rPr>
                <w:b w:val="0"/>
                <w:i w:val="0"/>
                <w:sz w:val="17"/>
              </w:rPr>
              <w:t>TNA3/681 – Fee simple</w:t>
            </w:r>
          </w:p>
        </w:tc>
        <w:tc>
          <w:tcPr>
            <w:tcW w:type="dxa" w:w="1361"/>
          </w:tcPr>
          <w:p>
            <w:pPr>
              <w:spacing w:after="0" w:line="240" w:lineRule="auto"/>
              <w:jc w:val="right"/>
            </w:pPr>
            <w:r/>
            <w:r>
              <w:rPr>
                <w:b w:val="0"/>
                <w:i w:val="0"/>
                <w:sz w:val="17"/>
              </w:rPr>
              <w:t>212.8646</w:t>
            </w:r>
          </w:p>
        </w:tc>
      </w:tr>
      <w:tr>
        <w:tc>
          <w:tcPr>
            <w:tcW w:type="dxa" w:w="1928"/>
            <w:shd w:val="clear" w:color="auto" w:fill="FAF9F6"/>
          </w:tcPr>
          <w:p>
            <w:pPr>
              <w:spacing w:after="0" w:line="240" w:lineRule="auto"/>
            </w:pPr>
            <w:r/>
            <w:r>
              <w:rPr>
                <w:b w:val="0"/>
                <w:i w:val="0"/>
                <w:sz w:val="17"/>
              </w:rPr>
              <w:t>Back Farm</w:t>
            </w:r>
          </w:p>
        </w:tc>
        <w:tc>
          <w:tcPr>
            <w:tcW w:type="dxa" w:w="1928"/>
            <w:shd w:val="clear" w:color="auto" w:fill="FAF9F6"/>
          </w:tcPr>
          <w:p>
            <w:pPr>
              <w:spacing w:after="0" w:line="240" w:lineRule="auto"/>
            </w:pPr>
            <w:r/>
            <w:r>
              <w:rPr>
                <w:b w:val="0"/>
                <w:i w:val="0"/>
                <w:sz w:val="17"/>
              </w:rPr>
              <w:t>Makowhai Trust</w:t>
            </w:r>
          </w:p>
        </w:tc>
        <w:tc>
          <w:tcPr>
            <w:tcW w:type="dxa" w:w="3515"/>
            <w:shd w:val="clear" w:color="auto" w:fill="FAF9F6"/>
          </w:tcPr>
          <w:p>
            <w:pPr>
              <w:spacing w:after="0" w:line="240" w:lineRule="auto"/>
            </w:pPr>
            <w:r/>
            <w:r>
              <w:rPr>
                <w:b w:val="0"/>
                <w:i w:val="0"/>
                <w:sz w:val="17"/>
              </w:rPr>
              <w:t>TNB4/1080 – Fee simple</w:t>
            </w:r>
          </w:p>
        </w:tc>
        <w:tc>
          <w:tcPr>
            <w:tcW w:type="dxa" w:w="1361"/>
            <w:shd w:val="clear" w:color="auto" w:fill="FAF9F6"/>
          </w:tcPr>
          <w:p>
            <w:pPr>
              <w:spacing w:after="0" w:line="240" w:lineRule="auto"/>
              <w:jc w:val="right"/>
            </w:pPr>
            <w:r/>
            <w:r>
              <w:rPr>
                <w:b w:val="0"/>
                <w:i w:val="0"/>
                <w:sz w:val="17"/>
              </w:rPr>
              <w:t>121.4057</w:t>
            </w:r>
          </w:p>
        </w:tc>
      </w:tr>
      <w:tr>
        <w:tc>
          <w:tcPr>
            <w:tcW w:type="dxa" w:w="1928"/>
          </w:tcPr>
          <w:p>
            <w:pPr>
              <w:spacing w:after="0" w:line="240" w:lineRule="auto"/>
            </w:pPr>
            <w:r/>
            <w:r>
              <w:rPr>
                <w:b w:val="0"/>
                <w:i w:val="0"/>
                <w:sz w:val="17"/>
              </w:rPr>
              <w:t>Back Farm</w:t>
            </w:r>
          </w:p>
        </w:tc>
        <w:tc>
          <w:tcPr>
            <w:tcW w:type="dxa" w:w="1928"/>
          </w:tcPr>
          <w:p>
            <w:pPr>
              <w:spacing w:after="0" w:line="240" w:lineRule="auto"/>
            </w:pPr>
            <w:r/>
            <w:r>
              <w:rPr>
                <w:b w:val="0"/>
                <w:i w:val="0"/>
                <w:sz w:val="17"/>
              </w:rPr>
              <w:t>Makowhai Trust</w:t>
            </w:r>
          </w:p>
        </w:tc>
        <w:tc>
          <w:tcPr>
            <w:tcW w:type="dxa" w:w="3515"/>
          </w:tcPr>
          <w:p>
            <w:pPr>
              <w:spacing w:after="0" w:line="240" w:lineRule="auto"/>
            </w:pPr>
            <w:r/>
            <w:r>
              <w:rPr>
                <w:b w:val="0"/>
                <w:i w:val="0"/>
                <w:sz w:val="17"/>
              </w:rPr>
              <w:t>TNB4/1081 – Fee simple</w:t>
            </w:r>
          </w:p>
        </w:tc>
        <w:tc>
          <w:tcPr>
            <w:tcW w:type="dxa" w:w="1361"/>
          </w:tcPr>
          <w:p>
            <w:pPr>
              <w:spacing w:after="0" w:line="240" w:lineRule="auto"/>
              <w:jc w:val="right"/>
            </w:pPr>
            <w:r/>
            <w:r>
              <w:rPr>
                <w:b w:val="0"/>
                <w:i w:val="0"/>
                <w:sz w:val="17"/>
              </w:rPr>
              <w:t>283.2799</w:t>
            </w:r>
          </w:p>
        </w:tc>
      </w:tr>
      <w:tr>
        <w:tc>
          <w:tcPr>
            <w:tcW w:type="dxa" w:w="1928"/>
            <w:shd w:val="clear" w:color="auto" w:fill="FAF9F6"/>
          </w:tcPr>
          <w:p>
            <w:pPr>
              <w:spacing w:after="0" w:line="240" w:lineRule="auto"/>
            </w:pPr>
            <w:r/>
            <w:r>
              <w:rPr>
                <w:b w:val="0"/>
                <w:i w:val="0"/>
                <w:sz w:val="17"/>
              </w:rPr>
              <w:t>Back Farm</w:t>
            </w:r>
          </w:p>
        </w:tc>
        <w:tc>
          <w:tcPr>
            <w:tcW w:type="dxa" w:w="1928"/>
            <w:shd w:val="clear" w:color="auto" w:fill="FAF9F6"/>
          </w:tcPr>
          <w:p>
            <w:pPr>
              <w:spacing w:after="0" w:line="240" w:lineRule="auto"/>
            </w:pPr>
            <w:r/>
            <w:r>
              <w:rPr>
                <w:b w:val="0"/>
                <w:i w:val="0"/>
                <w:sz w:val="17"/>
              </w:rPr>
              <w:t>Makowhai Trust</w:t>
            </w:r>
          </w:p>
        </w:tc>
        <w:tc>
          <w:tcPr>
            <w:tcW w:type="dxa" w:w="3515"/>
            <w:shd w:val="clear" w:color="auto" w:fill="FAF9F6"/>
          </w:tcPr>
          <w:p>
            <w:pPr>
              <w:spacing w:after="0" w:line="240" w:lineRule="auto"/>
            </w:pPr>
            <w:r/>
            <w:r>
              <w:rPr>
                <w:b w:val="0"/>
                <w:i w:val="0"/>
                <w:sz w:val="17"/>
              </w:rPr>
              <w:t>TNB4/1082 – Fee simple</w:t>
            </w:r>
          </w:p>
        </w:tc>
        <w:tc>
          <w:tcPr>
            <w:tcW w:type="dxa" w:w="1361"/>
            <w:shd w:val="clear" w:color="auto" w:fill="FAF9F6"/>
          </w:tcPr>
          <w:p>
            <w:pPr>
              <w:spacing w:after="0" w:line="240" w:lineRule="auto"/>
              <w:jc w:val="right"/>
            </w:pPr>
            <w:r/>
            <w:r>
              <w:rPr>
                <w:b w:val="0"/>
                <w:i w:val="0"/>
                <w:sz w:val="17"/>
              </w:rPr>
              <w:t>258.1894</w:t>
            </w:r>
          </w:p>
        </w:tc>
      </w:tr>
      <w:tr>
        <w:tc>
          <w:tcPr>
            <w:tcW w:type="dxa" w:w="1928"/>
          </w:tcPr>
          <w:p>
            <w:pPr>
              <w:spacing w:after="0" w:line="240" w:lineRule="auto"/>
            </w:pPr>
            <w:r/>
            <w:r>
              <w:rPr>
                <w:b w:val="0"/>
                <w:i w:val="0"/>
                <w:sz w:val="17"/>
              </w:rPr>
              <w:t>Back Farm</w:t>
            </w:r>
          </w:p>
        </w:tc>
        <w:tc>
          <w:tcPr>
            <w:tcW w:type="dxa" w:w="1928"/>
          </w:tcPr>
          <w:p>
            <w:pPr>
              <w:spacing w:after="0" w:line="240" w:lineRule="auto"/>
            </w:pPr>
            <w:r/>
            <w:r>
              <w:rPr>
                <w:b w:val="0"/>
                <w:i w:val="0"/>
                <w:sz w:val="17"/>
              </w:rPr>
              <w:t>Makowhai Trust</w:t>
            </w:r>
          </w:p>
        </w:tc>
        <w:tc>
          <w:tcPr>
            <w:tcW w:type="dxa" w:w="3515"/>
          </w:tcPr>
          <w:p>
            <w:pPr>
              <w:spacing w:after="0" w:line="240" w:lineRule="auto"/>
            </w:pPr>
            <w:r/>
            <w:r>
              <w:rPr>
                <w:b w:val="0"/>
                <w:i w:val="0"/>
                <w:sz w:val="17"/>
              </w:rPr>
              <w:t>TNB4/1083 – Fee simple</w:t>
            </w:r>
          </w:p>
        </w:tc>
        <w:tc>
          <w:tcPr>
            <w:tcW w:type="dxa" w:w="1361"/>
          </w:tcPr>
          <w:p>
            <w:pPr>
              <w:spacing w:after="0" w:line="240" w:lineRule="auto"/>
              <w:jc w:val="right"/>
            </w:pPr>
            <w:r/>
            <w:r>
              <w:rPr>
                <w:b w:val="0"/>
                <w:i w:val="0"/>
                <w:sz w:val="17"/>
              </w:rPr>
              <w:t>256.9754</w:t>
            </w:r>
          </w:p>
        </w:tc>
      </w:tr>
      <w:tr>
        <w:tc>
          <w:tcPr>
            <w:tcW w:type="dxa" w:w="1928"/>
            <w:shd w:val="clear" w:color="auto" w:fill="FAF9F6"/>
          </w:tcPr>
          <w:p>
            <w:pPr>
              <w:spacing w:after="0" w:line="240" w:lineRule="auto"/>
            </w:pPr>
            <w:r/>
            <w:r>
              <w:rPr>
                <w:b w:val="0"/>
                <w:i w:val="0"/>
                <w:sz w:val="17"/>
              </w:rPr>
              <w:t>Back Farm</w:t>
            </w:r>
          </w:p>
        </w:tc>
        <w:tc>
          <w:tcPr>
            <w:tcW w:type="dxa" w:w="1928"/>
            <w:shd w:val="clear" w:color="auto" w:fill="FAF9F6"/>
          </w:tcPr>
          <w:p>
            <w:pPr>
              <w:spacing w:after="0" w:line="240" w:lineRule="auto"/>
            </w:pPr>
            <w:r/>
            <w:r>
              <w:rPr>
                <w:b w:val="0"/>
                <w:i w:val="0"/>
                <w:sz w:val="17"/>
              </w:rPr>
              <w:t>Makowhai Trust</w:t>
            </w:r>
          </w:p>
        </w:tc>
        <w:tc>
          <w:tcPr>
            <w:tcW w:type="dxa" w:w="3515"/>
            <w:shd w:val="clear" w:color="auto" w:fill="FAF9F6"/>
          </w:tcPr>
          <w:p>
            <w:pPr>
              <w:spacing w:after="0" w:line="240" w:lineRule="auto"/>
            </w:pPr>
            <w:r/>
            <w:r>
              <w:rPr>
                <w:b w:val="0"/>
                <w:i w:val="0"/>
                <w:sz w:val="17"/>
              </w:rPr>
              <w:t>TNE4/125 – Fee simple</w:t>
            </w:r>
          </w:p>
        </w:tc>
        <w:tc>
          <w:tcPr>
            <w:tcW w:type="dxa" w:w="1361"/>
            <w:shd w:val="clear" w:color="auto" w:fill="FAF9F6"/>
          </w:tcPr>
          <w:p>
            <w:pPr>
              <w:spacing w:after="0" w:line="240" w:lineRule="auto"/>
              <w:jc w:val="right"/>
            </w:pPr>
            <w:r/>
            <w:r>
              <w:rPr>
                <w:b w:val="0"/>
                <w:i w:val="0"/>
                <w:sz w:val="17"/>
              </w:rPr>
              <w:t>142.4493</w:t>
            </w:r>
          </w:p>
        </w:tc>
      </w:tr>
      <w:tr>
        <w:tc>
          <w:tcPr>
            <w:tcW w:type="dxa" w:w="1928"/>
          </w:tcPr>
          <w:p>
            <w:pPr>
              <w:spacing w:after="0" w:line="240" w:lineRule="auto"/>
            </w:pPr>
            <w:r/>
            <w:r>
              <w:rPr>
                <w:b w:val="0"/>
                <w:i w:val="0"/>
                <w:sz w:val="17"/>
              </w:rPr>
              <w:t>Back Farm</w:t>
            </w:r>
          </w:p>
        </w:tc>
        <w:tc>
          <w:tcPr>
            <w:tcW w:type="dxa" w:w="1928"/>
          </w:tcPr>
          <w:p>
            <w:pPr>
              <w:spacing w:after="0" w:line="240" w:lineRule="auto"/>
            </w:pPr>
            <w:r/>
            <w:r>
              <w:rPr>
                <w:b w:val="0"/>
                <w:i w:val="0"/>
                <w:sz w:val="17"/>
              </w:rPr>
              <w:t>Makowhai Trust</w:t>
            </w:r>
          </w:p>
        </w:tc>
        <w:tc>
          <w:tcPr>
            <w:tcW w:type="dxa" w:w="3515"/>
          </w:tcPr>
          <w:p>
            <w:pPr>
              <w:spacing w:after="0" w:line="240" w:lineRule="auto"/>
            </w:pPr>
            <w:r/>
            <w:r>
              <w:rPr>
                <w:b w:val="0"/>
                <w:i w:val="0"/>
                <w:sz w:val="17"/>
              </w:rPr>
              <w:t>TNF3/568 – Fee simple</w:t>
            </w:r>
          </w:p>
        </w:tc>
        <w:tc>
          <w:tcPr>
            <w:tcW w:type="dxa" w:w="1361"/>
          </w:tcPr>
          <w:p>
            <w:pPr>
              <w:spacing w:after="0" w:line="240" w:lineRule="auto"/>
              <w:jc w:val="right"/>
            </w:pPr>
            <w:r/>
            <w:r>
              <w:rPr>
                <w:b w:val="0"/>
                <w:i w:val="0"/>
                <w:sz w:val="17"/>
              </w:rPr>
              <w:t>475.1009</w:t>
            </w:r>
          </w:p>
        </w:tc>
      </w:tr>
      <w:tr>
        <w:tc>
          <w:tcPr>
            <w:tcW w:type="dxa" w:w="1928"/>
            <w:shd w:val="clear" w:color="auto" w:fill="FAF9F6"/>
          </w:tcPr>
          <w:p>
            <w:pPr>
              <w:spacing w:after="0" w:line="240" w:lineRule="auto"/>
            </w:pPr>
            <w:r/>
            <w:r>
              <w:rPr>
                <w:b w:val="0"/>
                <w:i w:val="0"/>
                <w:sz w:val="17"/>
              </w:rPr>
              <w:t>Back Farm</w:t>
            </w:r>
          </w:p>
        </w:tc>
        <w:tc>
          <w:tcPr>
            <w:tcW w:type="dxa" w:w="1928"/>
            <w:shd w:val="clear" w:color="auto" w:fill="FAF9F6"/>
          </w:tcPr>
          <w:p>
            <w:pPr>
              <w:spacing w:after="0" w:line="240" w:lineRule="auto"/>
            </w:pPr>
            <w:r/>
            <w:r>
              <w:rPr>
                <w:b w:val="0"/>
                <w:i w:val="0"/>
                <w:sz w:val="17"/>
              </w:rPr>
              <w:t>Makowhai Trust</w:t>
            </w:r>
          </w:p>
        </w:tc>
        <w:tc>
          <w:tcPr>
            <w:tcW w:type="dxa" w:w="3515"/>
            <w:shd w:val="clear" w:color="auto" w:fill="FAF9F6"/>
          </w:tcPr>
          <w:p>
            <w:pPr>
              <w:spacing w:after="0" w:line="240" w:lineRule="auto"/>
            </w:pPr>
            <w:r/>
            <w:r>
              <w:rPr>
                <w:b w:val="0"/>
                <w:i w:val="0"/>
                <w:sz w:val="17"/>
              </w:rPr>
              <w:t>TNH1/1356 – Fee simple</w:t>
            </w:r>
          </w:p>
        </w:tc>
        <w:tc>
          <w:tcPr>
            <w:tcW w:type="dxa" w:w="1361"/>
            <w:shd w:val="clear" w:color="auto" w:fill="FAF9F6"/>
          </w:tcPr>
          <w:p>
            <w:pPr>
              <w:spacing w:after="0" w:line="240" w:lineRule="auto"/>
              <w:jc w:val="right"/>
            </w:pPr>
            <w:r/>
            <w:r>
              <w:rPr>
                <w:b w:val="0"/>
                <w:i w:val="0"/>
                <w:sz w:val="17"/>
              </w:rPr>
              <w:t>354.0999</w:t>
            </w:r>
          </w:p>
        </w:tc>
      </w:tr>
      <w:tr>
        <w:tc>
          <w:tcPr>
            <w:tcW w:type="dxa" w:w="1928"/>
          </w:tcPr>
          <w:p>
            <w:pPr>
              <w:spacing w:after="0" w:line="240" w:lineRule="auto"/>
            </w:pPr>
            <w:r/>
            <w:r>
              <w:rPr>
                <w:b w:val="0"/>
                <w:i w:val="0"/>
                <w:sz w:val="17"/>
              </w:rPr>
              <w:t>Longreach</w:t>
            </w:r>
          </w:p>
        </w:tc>
        <w:tc>
          <w:tcPr>
            <w:tcW w:type="dxa" w:w="1928"/>
          </w:tcPr>
          <w:p>
            <w:pPr>
              <w:spacing w:after="0" w:line="240" w:lineRule="auto"/>
            </w:pPr>
            <w:r/>
            <w:r>
              <w:rPr>
                <w:b w:val="0"/>
                <w:i w:val="0"/>
                <w:sz w:val="17"/>
              </w:rPr>
              <w:t>NFL</w:t>
            </w:r>
          </w:p>
        </w:tc>
        <w:tc>
          <w:tcPr>
            <w:tcW w:type="dxa" w:w="3515"/>
          </w:tcPr>
          <w:p>
            <w:pPr>
              <w:spacing w:after="0" w:line="240" w:lineRule="auto"/>
            </w:pPr>
            <w:r/>
            <w:r>
              <w:rPr>
                <w:b w:val="0"/>
                <w:i w:val="0"/>
                <w:sz w:val="17"/>
              </w:rPr>
              <w:t>WN24B/478 – Fee simple</w:t>
            </w:r>
          </w:p>
        </w:tc>
        <w:tc>
          <w:tcPr>
            <w:tcW w:type="dxa" w:w="1361"/>
          </w:tcPr>
          <w:p>
            <w:pPr>
              <w:spacing w:after="0" w:line="240" w:lineRule="auto"/>
              <w:jc w:val="right"/>
            </w:pPr>
            <w:r/>
            <w:r>
              <w:rPr>
                <w:b w:val="0"/>
                <w:i w:val="0"/>
                <w:sz w:val="17"/>
              </w:rPr>
              <w:t>1,605.3905</w:t>
            </w:r>
          </w:p>
        </w:tc>
      </w:tr>
      <w:tr>
        <w:tc>
          <w:tcPr>
            <w:tcW w:type="dxa" w:w="1928"/>
            <w:shd w:val="clear" w:color="auto" w:fill="FAF9F6"/>
          </w:tcPr>
          <w:p>
            <w:pPr>
              <w:spacing w:after="0" w:line="240" w:lineRule="auto"/>
            </w:pPr>
            <w:r/>
            <w:r>
              <w:rPr>
                <w:b w:val="0"/>
                <w:i w:val="0"/>
                <w:sz w:val="17"/>
              </w:rPr>
              <w:t>Longreach</w:t>
            </w:r>
          </w:p>
        </w:tc>
        <w:tc>
          <w:tcPr>
            <w:tcW w:type="dxa" w:w="1928"/>
            <w:shd w:val="clear" w:color="auto" w:fill="FAF9F6"/>
          </w:tcPr>
          <w:p>
            <w:pPr>
              <w:spacing w:after="0" w:line="240" w:lineRule="auto"/>
            </w:pPr>
            <w:r/>
            <w:r>
              <w:rPr>
                <w:b w:val="0"/>
                <w:i w:val="0"/>
                <w:sz w:val="17"/>
              </w:rPr>
              <w:t>NFL</w:t>
            </w:r>
          </w:p>
        </w:tc>
        <w:tc>
          <w:tcPr>
            <w:tcW w:type="dxa" w:w="3515"/>
            <w:shd w:val="clear" w:color="auto" w:fill="FAF9F6"/>
          </w:tcPr>
          <w:p>
            <w:pPr>
              <w:spacing w:after="0" w:line="240" w:lineRule="auto"/>
            </w:pPr>
            <w:r/>
            <w:r>
              <w:rPr>
                <w:b w:val="0"/>
                <w:i w:val="0"/>
                <w:sz w:val="17"/>
              </w:rPr>
              <w:t>WN24B/479 – Fee simple</w:t>
            </w:r>
          </w:p>
        </w:tc>
        <w:tc>
          <w:tcPr>
            <w:tcW w:type="dxa" w:w="1361"/>
            <w:shd w:val="clear" w:color="auto" w:fill="FAF9F6"/>
          </w:tcPr>
          <w:p>
            <w:pPr>
              <w:spacing w:after="0" w:line="240" w:lineRule="auto"/>
              <w:jc w:val="right"/>
            </w:pPr>
            <w:r/>
            <w:r>
              <w:rPr>
                <w:b w:val="0"/>
                <w:i w:val="0"/>
                <w:sz w:val="17"/>
              </w:rPr>
              <w:t>16.1874</w:t>
            </w:r>
          </w:p>
        </w:tc>
      </w:tr>
      <w:tr>
        <w:tc>
          <w:tcPr>
            <w:tcW w:type="dxa" w:w="1928"/>
          </w:tcPr>
          <w:p>
            <w:pPr>
              <w:spacing w:after="0" w:line="240" w:lineRule="auto"/>
            </w:pPr>
            <w:r/>
            <w:r>
              <w:rPr>
                <w:b w:val="0"/>
                <w:i w:val="0"/>
                <w:sz w:val="17"/>
              </w:rPr>
              <w:t>Longreach</w:t>
            </w:r>
          </w:p>
        </w:tc>
        <w:tc>
          <w:tcPr>
            <w:tcW w:type="dxa" w:w="1928"/>
          </w:tcPr>
          <w:p>
            <w:pPr>
              <w:spacing w:after="0" w:line="240" w:lineRule="auto"/>
            </w:pPr>
            <w:r/>
            <w:r>
              <w:rPr>
                <w:b w:val="0"/>
                <w:i w:val="0"/>
                <w:sz w:val="17"/>
              </w:rPr>
              <w:t>NFL</w:t>
            </w:r>
          </w:p>
        </w:tc>
        <w:tc>
          <w:tcPr>
            <w:tcW w:type="dxa" w:w="3515"/>
          </w:tcPr>
          <w:p>
            <w:pPr>
              <w:spacing w:after="0" w:line="240" w:lineRule="auto"/>
            </w:pPr>
            <w:r/>
            <w:r>
              <w:rPr>
                <w:b w:val="0"/>
                <w:i w:val="0"/>
                <w:sz w:val="17"/>
              </w:rPr>
              <w:t>WNB4/1119 – Fee simple</w:t>
            </w:r>
          </w:p>
        </w:tc>
        <w:tc>
          <w:tcPr>
            <w:tcW w:type="dxa" w:w="1361"/>
          </w:tcPr>
          <w:p>
            <w:pPr>
              <w:spacing w:after="0" w:line="240" w:lineRule="auto"/>
              <w:jc w:val="right"/>
            </w:pPr>
            <w:r/>
            <w:r>
              <w:rPr>
                <w:b w:val="0"/>
                <w:i w:val="0"/>
                <w:sz w:val="17"/>
              </w:rPr>
              <w:t>2.4534</w:t>
            </w:r>
          </w:p>
        </w:tc>
      </w:tr>
      <w:tr>
        <w:tc>
          <w:tcPr>
            <w:tcW w:type="dxa" w:w="1928"/>
            <w:shd w:val="clear" w:color="auto" w:fill="FAF9F6"/>
          </w:tcPr>
          <w:p>
            <w:pPr>
              <w:spacing w:after="0" w:line="240" w:lineRule="auto"/>
            </w:pPr>
            <w:r/>
            <w:r>
              <w:rPr>
                <w:b w:val="0"/>
                <w:i w:val="0"/>
                <w:sz w:val="17"/>
              </w:rPr>
              <w:t>Longreach</w:t>
            </w:r>
          </w:p>
        </w:tc>
        <w:tc>
          <w:tcPr>
            <w:tcW w:type="dxa" w:w="1928"/>
            <w:shd w:val="clear" w:color="auto" w:fill="FAF9F6"/>
          </w:tcPr>
          <w:p>
            <w:pPr>
              <w:spacing w:after="0" w:line="240" w:lineRule="auto"/>
            </w:pPr>
            <w:r/>
            <w:r>
              <w:rPr>
                <w:b w:val="0"/>
                <w:i w:val="0"/>
                <w:sz w:val="17"/>
              </w:rPr>
              <w:t>NFL</w:t>
            </w:r>
          </w:p>
        </w:tc>
        <w:tc>
          <w:tcPr>
            <w:tcW w:type="dxa" w:w="3515"/>
            <w:shd w:val="clear" w:color="auto" w:fill="FAF9F6"/>
          </w:tcPr>
          <w:p>
            <w:pPr>
              <w:spacing w:after="0" w:line="240" w:lineRule="auto"/>
            </w:pPr>
            <w:r/>
            <w:r>
              <w:rPr>
                <w:b w:val="0"/>
                <w:i w:val="0"/>
                <w:sz w:val="17"/>
              </w:rPr>
              <w:t>WNF2/815 – Fee simple</w:t>
            </w:r>
          </w:p>
        </w:tc>
        <w:tc>
          <w:tcPr>
            <w:tcW w:type="dxa" w:w="1361"/>
            <w:shd w:val="clear" w:color="auto" w:fill="FAF9F6"/>
          </w:tcPr>
          <w:p>
            <w:pPr>
              <w:spacing w:after="0" w:line="240" w:lineRule="auto"/>
              <w:jc w:val="right"/>
            </w:pPr>
            <w:r/>
            <w:r>
              <w:rPr>
                <w:b w:val="0"/>
                <w:i w:val="0"/>
                <w:sz w:val="17"/>
              </w:rPr>
              <w:t>99.1126</w:t>
            </w:r>
          </w:p>
        </w:tc>
      </w:tr>
      <w:tr>
        <w:tc>
          <w:tcPr>
            <w:tcW w:type="dxa" w:w="1928"/>
          </w:tcPr>
          <w:p>
            <w:pPr>
              <w:spacing w:after="0" w:line="240" w:lineRule="auto"/>
            </w:pPr>
            <w:r/>
            <w:r>
              <w:rPr>
                <w:b w:val="0"/>
                <w:i w:val="0"/>
                <w:sz w:val="17"/>
              </w:rPr>
              <w:t>Eastern Block</w:t>
            </w:r>
          </w:p>
        </w:tc>
        <w:tc>
          <w:tcPr>
            <w:tcW w:type="dxa" w:w="1928"/>
          </w:tcPr>
          <w:p>
            <w:pPr>
              <w:spacing w:after="0" w:line="240" w:lineRule="auto"/>
            </w:pPr>
            <w:r/>
            <w:r>
              <w:rPr>
                <w:b w:val="0"/>
                <w:i w:val="0"/>
                <w:sz w:val="17"/>
              </w:rPr>
              <w:t>Makowhai Trust</w:t>
            </w:r>
          </w:p>
        </w:tc>
        <w:tc>
          <w:tcPr>
            <w:tcW w:type="dxa" w:w="3515"/>
          </w:tcPr>
          <w:p>
            <w:pPr>
              <w:spacing w:after="0" w:line="240" w:lineRule="auto"/>
            </w:pPr>
            <w:r/>
            <w:r>
              <w:rPr>
                <w:b w:val="0"/>
                <w:i w:val="0"/>
                <w:sz w:val="17"/>
              </w:rPr>
              <w:t>TNB4/1024 – Fee simple</w:t>
            </w:r>
          </w:p>
        </w:tc>
        <w:tc>
          <w:tcPr>
            <w:tcW w:type="dxa" w:w="1361"/>
          </w:tcPr>
          <w:p>
            <w:pPr>
              <w:spacing w:after="0" w:line="240" w:lineRule="auto"/>
              <w:jc w:val="right"/>
            </w:pPr>
            <w:r/>
            <w:r>
              <w:rPr>
                <w:b w:val="0"/>
                <w:i w:val="0"/>
                <w:sz w:val="17"/>
              </w:rPr>
              <w:t>6.3232</w:t>
            </w:r>
          </w:p>
        </w:tc>
      </w:tr>
      <w:tr>
        <w:tc>
          <w:tcPr>
            <w:tcW w:type="dxa" w:w="1928"/>
            <w:shd w:val="clear" w:color="auto" w:fill="FAF9F6"/>
          </w:tcPr>
          <w:p>
            <w:pPr>
              <w:spacing w:after="0" w:line="240" w:lineRule="auto"/>
            </w:pPr>
            <w:r/>
            <w:r>
              <w:rPr>
                <w:b w:val="0"/>
                <w:i w:val="0"/>
                <w:sz w:val="17"/>
              </w:rPr>
              <w:t>Eastern Block</w:t>
            </w:r>
          </w:p>
        </w:tc>
        <w:tc>
          <w:tcPr>
            <w:tcW w:type="dxa" w:w="1928"/>
            <w:shd w:val="clear" w:color="auto" w:fill="FAF9F6"/>
          </w:tcPr>
          <w:p>
            <w:pPr>
              <w:spacing w:after="0" w:line="240" w:lineRule="auto"/>
            </w:pPr>
            <w:r/>
            <w:r>
              <w:rPr>
                <w:b w:val="0"/>
                <w:i w:val="0"/>
                <w:sz w:val="17"/>
              </w:rPr>
              <w:t>Makowhai Trust</w:t>
            </w:r>
          </w:p>
        </w:tc>
        <w:tc>
          <w:tcPr>
            <w:tcW w:type="dxa" w:w="3515"/>
            <w:shd w:val="clear" w:color="auto" w:fill="FAF9F6"/>
          </w:tcPr>
          <w:p>
            <w:pPr>
              <w:spacing w:after="0" w:line="240" w:lineRule="auto"/>
            </w:pPr>
            <w:r/>
            <w:r>
              <w:rPr>
                <w:b w:val="0"/>
                <w:i w:val="0"/>
                <w:sz w:val="17"/>
              </w:rPr>
              <w:t>TNE3/648 – Fee simple</w:t>
            </w:r>
          </w:p>
        </w:tc>
        <w:tc>
          <w:tcPr>
            <w:tcW w:type="dxa" w:w="1361"/>
            <w:shd w:val="clear" w:color="auto" w:fill="FAF9F6"/>
          </w:tcPr>
          <w:p>
            <w:pPr>
              <w:spacing w:after="0" w:line="240" w:lineRule="auto"/>
              <w:jc w:val="right"/>
            </w:pPr>
            <w:r/>
            <w:r>
              <w:rPr>
                <w:b w:val="0"/>
                <w:i w:val="0"/>
                <w:sz w:val="17"/>
              </w:rPr>
              <w:t>28.0371</w:t>
            </w:r>
          </w:p>
        </w:tc>
      </w:tr>
      <w:tr>
        <w:tc>
          <w:tcPr>
            <w:tcW w:type="dxa" w:w="1928"/>
          </w:tcPr>
          <w:p>
            <w:pPr>
              <w:spacing w:after="0" w:line="240" w:lineRule="auto"/>
            </w:pPr>
            <w:r/>
            <w:r>
              <w:rPr>
                <w:b w:val="0"/>
                <w:i w:val="0"/>
                <w:sz w:val="17"/>
              </w:rPr>
              <w:t>Eastern Block</w:t>
            </w:r>
          </w:p>
        </w:tc>
        <w:tc>
          <w:tcPr>
            <w:tcW w:type="dxa" w:w="1928"/>
          </w:tcPr>
          <w:p>
            <w:pPr>
              <w:spacing w:after="0" w:line="240" w:lineRule="auto"/>
            </w:pPr>
            <w:r/>
            <w:r>
              <w:rPr>
                <w:b w:val="0"/>
                <w:i w:val="0"/>
                <w:sz w:val="17"/>
              </w:rPr>
              <w:t>Makowhai Trust</w:t>
            </w:r>
          </w:p>
        </w:tc>
        <w:tc>
          <w:tcPr>
            <w:tcW w:type="dxa" w:w="3515"/>
          </w:tcPr>
          <w:p>
            <w:pPr>
              <w:spacing w:after="0" w:line="240" w:lineRule="auto"/>
            </w:pPr>
            <w:r/>
            <w:r>
              <w:rPr>
                <w:b w:val="0"/>
                <w:i w:val="0"/>
                <w:sz w:val="17"/>
              </w:rPr>
              <w:t>TNE3/649 – Fee simple</w:t>
            </w:r>
          </w:p>
        </w:tc>
        <w:tc>
          <w:tcPr>
            <w:tcW w:type="dxa" w:w="1361"/>
          </w:tcPr>
          <w:p>
            <w:pPr>
              <w:spacing w:after="0" w:line="240" w:lineRule="auto"/>
              <w:jc w:val="right"/>
            </w:pPr>
            <w:r/>
            <w:r>
              <w:rPr>
                <w:b w:val="0"/>
                <w:i w:val="0"/>
                <w:sz w:val="17"/>
              </w:rPr>
              <w:t>1,037.1081</w:t>
            </w:r>
          </w:p>
        </w:tc>
      </w:tr>
      <w:tr>
        <w:tc>
          <w:tcPr>
            <w:tcW w:type="dxa" w:w="1928"/>
            <w:shd w:val="clear" w:color="auto" w:fill="FAF9F6"/>
          </w:tcPr>
          <w:p>
            <w:pPr>
              <w:spacing w:after="0" w:line="240" w:lineRule="auto"/>
            </w:pPr>
            <w:r/>
            <w:r>
              <w:rPr>
                <w:b w:val="0"/>
                <w:i w:val="0"/>
                <w:sz w:val="17"/>
              </w:rPr>
              <w:t>Front Farm</w:t>
            </w:r>
          </w:p>
        </w:tc>
        <w:tc>
          <w:tcPr>
            <w:tcW w:type="dxa" w:w="1928"/>
            <w:shd w:val="clear" w:color="auto" w:fill="FAF9F6"/>
          </w:tcPr>
          <w:p>
            <w:pPr>
              <w:spacing w:after="0" w:line="240" w:lineRule="auto"/>
            </w:pPr>
            <w:r/>
            <w:r>
              <w:rPr>
                <w:b w:val="0"/>
                <w:i w:val="0"/>
                <w:sz w:val="17"/>
              </w:rPr>
              <w:t>Makowhai Trust</w:t>
            </w:r>
          </w:p>
        </w:tc>
        <w:tc>
          <w:tcPr>
            <w:tcW w:type="dxa" w:w="3515"/>
            <w:shd w:val="clear" w:color="auto" w:fill="FAF9F6"/>
          </w:tcPr>
          <w:p>
            <w:pPr>
              <w:spacing w:after="0" w:line="240" w:lineRule="auto"/>
            </w:pPr>
            <w:r/>
            <w:r>
              <w:rPr>
                <w:b w:val="0"/>
                <w:i w:val="0"/>
                <w:sz w:val="17"/>
              </w:rPr>
              <w:t>451953 – Fee simple</w:t>
            </w:r>
          </w:p>
        </w:tc>
        <w:tc>
          <w:tcPr>
            <w:tcW w:type="dxa" w:w="1361"/>
            <w:shd w:val="clear" w:color="auto" w:fill="FAF9F6"/>
          </w:tcPr>
          <w:p>
            <w:pPr>
              <w:spacing w:after="0" w:line="240" w:lineRule="auto"/>
              <w:jc w:val="right"/>
            </w:pPr>
            <w:r/>
            <w:r>
              <w:rPr>
                <w:b w:val="0"/>
                <w:i w:val="0"/>
                <w:sz w:val="17"/>
              </w:rPr>
              <w:t>338.5727</w:t>
            </w:r>
          </w:p>
        </w:tc>
      </w:tr>
      <w:tr>
        <w:tc>
          <w:tcPr>
            <w:tcW w:type="dxa" w:w="1928"/>
          </w:tcPr>
          <w:p>
            <w:pPr>
              <w:spacing w:after="0" w:line="240" w:lineRule="auto"/>
            </w:pPr>
            <w:r/>
            <w:r>
              <w:rPr>
                <w:b w:val="0"/>
                <w:i w:val="0"/>
                <w:sz w:val="17"/>
              </w:rPr>
              <w:t>Front Farm</w:t>
            </w:r>
          </w:p>
        </w:tc>
        <w:tc>
          <w:tcPr>
            <w:tcW w:type="dxa" w:w="1928"/>
          </w:tcPr>
          <w:p>
            <w:pPr>
              <w:spacing w:after="0" w:line="240" w:lineRule="auto"/>
            </w:pPr>
            <w:r/>
            <w:r>
              <w:rPr>
                <w:b w:val="0"/>
                <w:i w:val="0"/>
                <w:sz w:val="17"/>
              </w:rPr>
              <w:t>Makowhai Trust</w:t>
            </w:r>
          </w:p>
        </w:tc>
        <w:tc>
          <w:tcPr>
            <w:tcW w:type="dxa" w:w="3515"/>
          </w:tcPr>
          <w:p>
            <w:pPr>
              <w:spacing w:after="0" w:line="240" w:lineRule="auto"/>
            </w:pPr>
            <w:r/>
            <w:r>
              <w:rPr>
                <w:b w:val="0"/>
                <w:i w:val="0"/>
                <w:sz w:val="17"/>
              </w:rPr>
              <w:t>TNF3/564 – Fee simple</w:t>
            </w:r>
          </w:p>
        </w:tc>
        <w:tc>
          <w:tcPr>
            <w:tcW w:type="dxa" w:w="1361"/>
          </w:tcPr>
          <w:p>
            <w:pPr>
              <w:spacing w:after="0" w:line="240" w:lineRule="auto"/>
              <w:jc w:val="right"/>
            </w:pPr>
            <w:r/>
            <w:r>
              <w:rPr>
                <w:b w:val="0"/>
                <w:i w:val="0"/>
                <w:sz w:val="17"/>
              </w:rPr>
              <w:t>40.4686</w:t>
            </w:r>
          </w:p>
        </w:tc>
      </w:tr>
      <w:tr>
        <w:tc>
          <w:tcPr>
            <w:tcW w:type="dxa" w:w="1928"/>
            <w:shd w:val="clear" w:color="auto" w:fill="FAF9F6"/>
          </w:tcPr>
          <w:p>
            <w:pPr>
              <w:spacing w:after="0" w:line="240" w:lineRule="auto"/>
            </w:pPr>
            <w:r/>
            <w:r>
              <w:rPr>
                <w:b w:val="0"/>
                <w:i w:val="0"/>
                <w:sz w:val="17"/>
              </w:rPr>
              <w:t>Front Farm</w:t>
            </w:r>
          </w:p>
        </w:tc>
        <w:tc>
          <w:tcPr>
            <w:tcW w:type="dxa" w:w="1928"/>
            <w:shd w:val="clear" w:color="auto" w:fill="FAF9F6"/>
          </w:tcPr>
          <w:p>
            <w:pPr>
              <w:spacing w:after="0" w:line="240" w:lineRule="auto"/>
            </w:pPr>
            <w:r/>
            <w:r>
              <w:rPr>
                <w:b w:val="0"/>
                <w:i w:val="0"/>
                <w:sz w:val="17"/>
              </w:rPr>
              <w:t>Makowhai Trust</w:t>
            </w:r>
          </w:p>
        </w:tc>
        <w:tc>
          <w:tcPr>
            <w:tcW w:type="dxa" w:w="3515"/>
            <w:shd w:val="clear" w:color="auto" w:fill="FAF9F6"/>
          </w:tcPr>
          <w:p>
            <w:pPr>
              <w:spacing w:after="0" w:line="240" w:lineRule="auto"/>
            </w:pPr>
            <w:r/>
            <w:r>
              <w:rPr>
                <w:b w:val="0"/>
                <w:i w:val="0"/>
                <w:sz w:val="17"/>
              </w:rPr>
              <w:t>TNF3/565 – Fee simple</w:t>
            </w:r>
          </w:p>
        </w:tc>
        <w:tc>
          <w:tcPr>
            <w:tcW w:type="dxa" w:w="1361"/>
            <w:shd w:val="clear" w:color="auto" w:fill="FAF9F6"/>
          </w:tcPr>
          <w:p>
            <w:pPr>
              <w:spacing w:after="0" w:line="240" w:lineRule="auto"/>
              <w:jc w:val="right"/>
            </w:pPr>
            <w:r/>
            <w:r>
              <w:rPr>
                <w:b w:val="0"/>
                <w:i w:val="0"/>
                <w:sz w:val="17"/>
              </w:rPr>
              <w:t>45.3248</w:t>
            </w:r>
          </w:p>
        </w:tc>
      </w:tr>
      <w:tr>
        <w:tc>
          <w:tcPr>
            <w:tcW w:type="dxa" w:w="1928"/>
          </w:tcPr>
          <w:p>
            <w:pPr>
              <w:spacing w:after="0" w:line="240" w:lineRule="auto"/>
            </w:pPr>
            <w:r/>
            <w:r>
              <w:rPr>
                <w:b w:val="0"/>
                <w:i w:val="0"/>
                <w:sz w:val="17"/>
              </w:rPr>
              <w:t>Front Farm</w:t>
            </w:r>
          </w:p>
        </w:tc>
        <w:tc>
          <w:tcPr>
            <w:tcW w:type="dxa" w:w="1928"/>
          </w:tcPr>
          <w:p>
            <w:pPr>
              <w:spacing w:after="0" w:line="240" w:lineRule="auto"/>
            </w:pPr>
            <w:r/>
            <w:r>
              <w:rPr>
                <w:b w:val="0"/>
                <w:i w:val="0"/>
                <w:sz w:val="17"/>
              </w:rPr>
              <w:t>Makowhai Trust</w:t>
            </w:r>
          </w:p>
        </w:tc>
        <w:tc>
          <w:tcPr>
            <w:tcW w:type="dxa" w:w="3515"/>
          </w:tcPr>
          <w:p>
            <w:pPr>
              <w:spacing w:after="0" w:line="240" w:lineRule="auto"/>
            </w:pPr>
            <w:r/>
            <w:r>
              <w:rPr>
                <w:b w:val="0"/>
                <w:i w:val="0"/>
                <w:sz w:val="17"/>
              </w:rPr>
              <w:t>TNF3/566 – Fee simple</w:t>
            </w:r>
          </w:p>
        </w:tc>
        <w:tc>
          <w:tcPr>
            <w:tcW w:type="dxa" w:w="1361"/>
          </w:tcPr>
          <w:p>
            <w:pPr>
              <w:spacing w:after="0" w:line="240" w:lineRule="auto"/>
              <w:jc w:val="right"/>
            </w:pPr>
            <w:r/>
            <w:r>
              <w:rPr>
                <w:b w:val="0"/>
                <w:i w:val="0"/>
                <w:sz w:val="17"/>
              </w:rPr>
              <w:t>47.3482</w:t>
            </w:r>
          </w:p>
        </w:tc>
      </w:tr>
      <w:tr>
        <w:tc>
          <w:tcPr>
            <w:tcW w:type="dxa" w:w="1928"/>
            <w:shd w:val="clear" w:color="auto" w:fill="FAF9F6"/>
          </w:tcPr>
          <w:p>
            <w:pPr>
              <w:spacing w:after="0" w:line="240" w:lineRule="auto"/>
            </w:pPr>
            <w:r/>
            <w:r>
              <w:rPr>
                <w:b w:val="0"/>
                <w:i w:val="0"/>
                <w:sz w:val="17"/>
              </w:rPr>
              <w:t>Front Farm</w:t>
            </w:r>
          </w:p>
        </w:tc>
        <w:tc>
          <w:tcPr>
            <w:tcW w:type="dxa" w:w="1928"/>
            <w:shd w:val="clear" w:color="auto" w:fill="FAF9F6"/>
          </w:tcPr>
          <w:p>
            <w:pPr>
              <w:spacing w:after="0" w:line="240" w:lineRule="auto"/>
            </w:pPr>
            <w:r/>
            <w:r>
              <w:rPr>
                <w:b w:val="0"/>
                <w:i w:val="0"/>
                <w:sz w:val="17"/>
              </w:rPr>
              <w:t>Makowhai Trust</w:t>
            </w:r>
          </w:p>
        </w:tc>
        <w:tc>
          <w:tcPr>
            <w:tcW w:type="dxa" w:w="3515"/>
            <w:shd w:val="clear" w:color="auto" w:fill="FAF9F6"/>
          </w:tcPr>
          <w:p>
            <w:pPr>
              <w:spacing w:after="0" w:line="240" w:lineRule="auto"/>
            </w:pPr>
            <w:r/>
            <w:r>
              <w:rPr>
                <w:b w:val="0"/>
                <w:i w:val="0"/>
                <w:sz w:val="17"/>
              </w:rPr>
              <w:t>TNF3/567 – Fee simple</w:t>
            </w:r>
          </w:p>
        </w:tc>
        <w:tc>
          <w:tcPr>
            <w:tcW w:type="dxa" w:w="1361"/>
            <w:shd w:val="clear" w:color="auto" w:fill="FAF9F6"/>
          </w:tcPr>
          <w:p>
            <w:pPr>
              <w:spacing w:after="0" w:line="240" w:lineRule="auto"/>
              <w:jc w:val="right"/>
            </w:pPr>
            <w:r/>
            <w:r>
              <w:rPr>
                <w:b w:val="0"/>
                <w:i w:val="0"/>
                <w:sz w:val="17"/>
              </w:rPr>
              <w:t>30.3514</w:t>
            </w:r>
          </w:p>
        </w:tc>
      </w:tr>
      <w:tr>
        <w:tc>
          <w:tcPr>
            <w:tcW w:type="dxa" w:w="1928"/>
          </w:tcPr>
          <w:p>
            <w:pPr>
              <w:spacing w:after="0" w:line="240" w:lineRule="auto"/>
            </w:pPr>
            <w:r/>
            <w:r>
              <w:rPr>
                <w:b w:val="0"/>
                <w:i w:val="0"/>
                <w:sz w:val="17"/>
              </w:rPr>
              <w:t>Puau Road</w:t>
            </w:r>
          </w:p>
        </w:tc>
        <w:tc>
          <w:tcPr>
            <w:tcW w:type="dxa" w:w="1928"/>
          </w:tcPr>
          <w:p>
            <w:pPr>
              <w:spacing w:after="0" w:line="240" w:lineRule="auto"/>
            </w:pPr>
            <w:r/>
            <w:r>
              <w:rPr>
                <w:b w:val="0"/>
                <w:i w:val="0"/>
                <w:sz w:val="17"/>
              </w:rPr>
              <w:t>NFL</w:t>
            </w:r>
          </w:p>
        </w:tc>
        <w:tc>
          <w:tcPr>
            <w:tcW w:type="dxa" w:w="3515"/>
          </w:tcPr>
          <w:p>
            <w:pPr>
              <w:spacing w:after="0" w:line="240" w:lineRule="auto"/>
            </w:pPr>
            <w:r/>
            <w:r>
              <w:rPr>
                <w:b w:val="0"/>
                <w:i w:val="0"/>
                <w:sz w:val="17"/>
              </w:rPr>
              <w:t>948076 – Crown lease (s82 Land Act 1948)</w:t>
            </w:r>
          </w:p>
        </w:tc>
        <w:tc>
          <w:tcPr>
            <w:tcW w:type="dxa" w:w="1361"/>
          </w:tcPr>
          <w:p>
            <w:pPr>
              <w:spacing w:after="0" w:line="240" w:lineRule="auto"/>
              <w:jc w:val="right"/>
            </w:pPr>
            <w:r/>
            <w:r>
              <w:rPr>
                <w:b w:val="0"/>
                <w:i w:val="0"/>
                <w:sz w:val="17"/>
              </w:rPr>
              <w:t>720.3404</w:t>
            </w:r>
          </w:p>
        </w:tc>
      </w:tr>
      <w:tr>
        <w:tc>
          <w:tcPr>
            <w:tcW w:type="dxa" w:w="1928"/>
            <w:shd w:val="clear" w:color="auto" w:fill="FAF9F6"/>
          </w:tcPr>
          <w:p>
            <w:pPr>
              <w:spacing w:after="0" w:line="240" w:lineRule="auto"/>
            </w:pPr>
            <w:r/>
            <w:r>
              <w:rPr>
                <w:b w:val="0"/>
                <w:i w:val="0"/>
                <w:sz w:val="17"/>
              </w:rPr>
              <w:t>Puau Road</w:t>
            </w:r>
          </w:p>
        </w:tc>
        <w:tc>
          <w:tcPr>
            <w:tcW w:type="dxa" w:w="1928"/>
            <w:shd w:val="clear" w:color="auto" w:fill="FAF9F6"/>
          </w:tcPr>
          <w:p>
            <w:pPr>
              <w:spacing w:after="0" w:line="240" w:lineRule="auto"/>
            </w:pPr>
            <w:r/>
            <w:r>
              <w:rPr>
                <w:b w:val="0"/>
                <w:i w:val="0"/>
                <w:sz w:val="17"/>
              </w:rPr>
              <w:t>NFL</w:t>
            </w:r>
          </w:p>
        </w:tc>
        <w:tc>
          <w:tcPr>
            <w:tcW w:type="dxa" w:w="3515"/>
            <w:shd w:val="clear" w:color="auto" w:fill="FAF9F6"/>
          </w:tcPr>
          <w:p>
            <w:pPr>
              <w:spacing w:after="0" w:line="240" w:lineRule="auto"/>
            </w:pPr>
            <w:r/>
            <w:r>
              <w:rPr>
                <w:b w:val="0"/>
                <w:i w:val="0"/>
                <w:sz w:val="17"/>
              </w:rPr>
              <w:t>948077 – Crown lease (s82 Land Act 1948)</w:t>
            </w:r>
          </w:p>
        </w:tc>
        <w:tc>
          <w:tcPr>
            <w:tcW w:type="dxa" w:w="1361"/>
            <w:shd w:val="clear" w:color="auto" w:fill="FAF9F6"/>
          </w:tcPr>
          <w:p>
            <w:pPr>
              <w:spacing w:after="0" w:line="240" w:lineRule="auto"/>
              <w:jc w:val="right"/>
            </w:pPr>
            <w:r/>
            <w:r>
              <w:rPr>
                <w:b w:val="0"/>
                <w:i w:val="0"/>
                <w:sz w:val="17"/>
              </w:rPr>
              <w:t>884.2381</w:t>
            </w:r>
          </w:p>
        </w:tc>
      </w:tr>
      <w:tr>
        <w:tc>
          <w:tcPr>
            <w:tcW w:type="dxa" w:w="1928"/>
          </w:tcPr>
          <w:p>
            <w:pPr>
              <w:spacing w:after="0" w:line="240" w:lineRule="auto"/>
            </w:pPr>
            <w:r/>
            <w:r>
              <w:rPr>
                <w:b w:val="0"/>
                <w:i w:val="0"/>
                <w:sz w:val="17"/>
              </w:rPr>
              <w:t>Puau Road</w:t>
            </w:r>
          </w:p>
        </w:tc>
        <w:tc>
          <w:tcPr>
            <w:tcW w:type="dxa" w:w="1928"/>
          </w:tcPr>
          <w:p>
            <w:pPr>
              <w:spacing w:after="0" w:line="240" w:lineRule="auto"/>
            </w:pPr>
            <w:r/>
            <w:r>
              <w:rPr>
                <w:b w:val="0"/>
                <w:i w:val="0"/>
                <w:sz w:val="17"/>
              </w:rPr>
              <w:t>NFL</w:t>
            </w:r>
          </w:p>
        </w:tc>
        <w:tc>
          <w:tcPr>
            <w:tcW w:type="dxa" w:w="3515"/>
          </w:tcPr>
          <w:p>
            <w:pPr>
              <w:spacing w:after="0" w:line="240" w:lineRule="auto"/>
            </w:pPr>
            <w:r/>
            <w:r>
              <w:rPr>
                <w:b w:val="0"/>
                <w:i w:val="0"/>
                <w:sz w:val="17"/>
              </w:rPr>
              <w:t>WN115/77 – Fee simple</w:t>
            </w:r>
          </w:p>
        </w:tc>
        <w:tc>
          <w:tcPr>
            <w:tcW w:type="dxa" w:w="1361"/>
          </w:tcPr>
          <w:p>
            <w:pPr>
              <w:spacing w:after="0" w:line="240" w:lineRule="auto"/>
              <w:jc w:val="right"/>
            </w:pPr>
            <w:r/>
            <w:r>
              <w:rPr>
                <w:b w:val="0"/>
                <w:i w:val="0"/>
                <w:sz w:val="17"/>
              </w:rPr>
              <w:t>259.4035</w:t>
            </w:r>
          </w:p>
        </w:tc>
      </w:tr>
      <w:tr>
        <w:tc>
          <w:tcPr>
            <w:tcW w:type="dxa" w:w="1928"/>
            <w:shd w:val="clear" w:color="auto" w:fill="FAF9F6"/>
          </w:tcPr>
          <w:p>
            <w:pPr>
              <w:spacing w:after="0" w:line="240" w:lineRule="auto"/>
            </w:pPr>
            <w:r/>
            <w:r>
              <w:rPr>
                <w:b w:val="0"/>
                <w:i w:val="0"/>
                <w:sz w:val="17"/>
              </w:rPr>
              <w:t>Puau Road</w:t>
            </w:r>
          </w:p>
        </w:tc>
        <w:tc>
          <w:tcPr>
            <w:tcW w:type="dxa" w:w="1928"/>
            <w:shd w:val="clear" w:color="auto" w:fill="FAF9F6"/>
          </w:tcPr>
          <w:p>
            <w:pPr>
              <w:spacing w:after="0" w:line="240" w:lineRule="auto"/>
            </w:pPr>
            <w:r/>
            <w:r>
              <w:rPr>
                <w:b w:val="0"/>
                <w:i w:val="0"/>
                <w:sz w:val="17"/>
              </w:rPr>
              <w:t>NFL</w:t>
            </w:r>
          </w:p>
        </w:tc>
        <w:tc>
          <w:tcPr>
            <w:tcW w:type="dxa" w:w="3515"/>
            <w:shd w:val="clear" w:color="auto" w:fill="FAF9F6"/>
          </w:tcPr>
          <w:p>
            <w:pPr>
              <w:spacing w:after="0" w:line="240" w:lineRule="auto"/>
            </w:pPr>
            <w:r/>
            <w:r>
              <w:rPr>
                <w:b w:val="0"/>
                <w:i w:val="0"/>
                <w:sz w:val="17"/>
              </w:rPr>
              <w:t>WN24A/444 – Fee simple</w:t>
            </w:r>
          </w:p>
        </w:tc>
        <w:tc>
          <w:tcPr>
            <w:tcW w:type="dxa" w:w="1361"/>
            <w:shd w:val="clear" w:color="auto" w:fill="FAF9F6"/>
          </w:tcPr>
          <w:p>
            <w:pPr>
              <w:spacing w:after="0" w:line="240" w:lineRule="auto"/>
              <w:jc w:val="right"/>
            </w:pPr>
            <w:r/>
            <w:r>
              <w:rPr>
                <w:b w:val="0"/>
                <w:i w:val="0"/>
                <w:sz w:val="17"/>
              </w:rPr>
              <w:t>7.7016</w:t>
            </w:r>
          </w:p>
        </w:tc>
      </w:tr>
      <w:tr>
        <w:tc>
          <w:tcPr>
            <w:tcW w:type="dxa" w:w="1928"/>
          </w:tcPr>
          <w:p>
            <w:pPr>
              <w:spacing w:after="0" w:line="240" w:lineRule="auto"/>
            </w:pPr>
            <w:r/>
            <w:r>
              <w:rPr>
                <w:b w:val="0"/>
                <w:i w:val="0"/>
                <w:sz w:val="17"/>
              </w:rPr>
              <w:t>Whangamomona</w:t>
            </w:r>
          </w:p>
        </w:tc>
        <w:tc>
          <w:tcPr>
            <w:tcW w:type="dxa" w:w="1928"/>
          </w:tcPr>
          <w:p>
            <w:pPr>
              <w:spacing w:after="0" w:line="240" w:lineRule="auto"/>
            </w:pPr>
            <w:r/>
            <w:r>
              <w:rPr>
                <w:b w:val="0"/>
                <w:i w:val="0"/>
                <w:sz w:val="17"/>
              </w:rPr>
              <w:t>NFL</w:t>
            </w:r>
          </w:p>
        </w:tc>
        <w:tc>
          <w:tcPr>
            <w:tcW w:type="dxa" w:w="3515"/>
          </w:tcPr>
          <w:p>
            <w:pPr>
              <w:spacing w:after="0" w:line="240" w:lineRule="auto"/>
            </w:pPr>
            <w:r/>
            <w:r>
              <w:rPr>
                <w:b w:val="0"/>
                <w:i w:val="0"/>
                <w:sz w:val="17"/>
              </w:rPr>
              <w:t>TNK4/628 – Fee simple</w:t>
            </w:r>
          </w:p>
        </w:tc>
        <w:tc>
          <w:tcPr>
            <w:tcW w:type="dxa" w:w="1361"/>
          </w:tcPr>
          <w:p>
            <w:pPr>
              <w:spacing w:after="0" w:line="240" w:lineRule="auto"/>
              <w:jc w:val="right"/>
            </w:pPr>
            <w:r/>
            <w:r>
              <w:rPr>
                <w:b w:val="0"/>
                <w:i w:val="0"/>
                <w:sz w:val="17"/>
              </w:rPr>
              <w:t>738.9428</w:t>
            </w:r>
          </w:p>
        </w:tc>
      </w:tr>
      <w:tr>
        <w:tc>
          <w:tcPr>
            <w:tcW w:type="dxa" w:w="1928"/>
            <w:shd w:val="clear" w:color="auto" w:fill="FAF9F6"/>
          </w:tcPr>
          <w:p>
            <w:pPr>
              <w:spacing w:after="0" w:line="240" w:lineRule="auto"/>
            </w:pPr>
            <w:r/>
            <w:r>
              <w:rPr>
                <w:b w:val="0"/>
                <w:i w:val="0"/>
                <w:sz w:val="17"/>
              </w:rPr>
              <w:t>Staghaven</w:t>
            </w:r>
          </w:p>
        </w:tc>
        <w:tc>
          <w:tcPr>
            <w:tcW w:type="dxa" w:w="1928"/>
            <w:shd w:val="clear" w:color="auto" w:fill="FAF9F6"/>
          </w:tcPr>
          <w:p>
            <w:pPr>
              <w:spacing w:after="0" w:line="240" w:lineRule="auto"/>
            </w:pPr>
            <w:r/>
            <w:r>
              <w:rPr>
                <w:b w:val="0"/>
                <w:i w:val="0"/>
                <w:sz w:val="17"/>
              </w:rPr>
              <w:t>NFL</w:t>
            </w:r>
          </w:p>
        </w:tc>
        <w:tc>
          <w:tcPr>
            <w:tcW w:type="dxa" w:w="3515"/>
            <w:shd w:val="clear" w:color="auto" w:fill="FAF9F6"/>
          </w:tcPr>
          <w:p>
            <w:pPr>
              <w:spacing w:after="0" w:line="240" w:lineRule="auto"/>
            </w:pPr>
            <w:r/>
            <w:r>
              <w:rPr>
                <w:b w:val="0"/>
                <w:i w:val="0"/>
                <w:sz w:val="17"/>
              </w:rPr>
              <w:t>TNH4/186 – Fee simple</w:t>
            </w:r>
          </w:p>
        </w:tc>
        <w:tc>
          <w:tcPr>
            <w:tcW w:type="dxa" w:w="1361"/>
            <w:shd w:val="clear" w:color="auto" w:fill="FAF9F6"/>
          </w:tcPr>
          <w:p>
            <w:pPr>
              <w:spacing w:after="0" w:line="240" w:lineRule="auto"/>
              <w:jc w:val="right"/>
            </w:pPr>
            <w:r/>
            <w:r>
              <w:rPr>
                <w:b w:val="0"/>
                <w:i w:val="0"/>
                <w:sz w:val="17"/>
              </w:rPr>
              <w:t>242.8113</w:t>
            </w:r>
          </w:p>
        </w:tc>
      </w:tr>
      <w:tr>
        <w:tc>
          <w:tcPr>
            <w:tcW w:type="dxa" w:w="1928"/>
          </w:tcPr>
          <w:p>
            <w:pPr>
              <w:spacing w:after="0" w:line="240" w:lineRule="auto"/>
            </w:pPr>
            <w:r/>
            <w:r>
              <w:rPr>
                <w:b w:val="0"/>
                <w:i w:val="0"/>
                <w:sz w:val="17"/>
              </w:rPr>
              <w:t>Staghaven</w:t>
            </w:r>
          </w:p>
        </w:tc>
        <w:tc>
          <w:tcPr>
            <w:tcW w:type="dxa" w:w="1928"/>
          </w:tcPr>
          <w:p>
            <w:pPr>
              <w:spacing w:after="0" w:line="240" w:lineRule="auto"/>
            </w:pPr>
            <w:r/>
            <w:r>
              <w:rPr>
                <w:b w:val="0"/>
                <w:i w:val="0"/>
                <w:sz w:val="17"/>
              </w:rPr>
              <w:t>NFL</w:t>
            </w:r>
          </w:p>
        </w:tc>
        <w:tc>
          <w:tcPr>
            <w:tcW w:type="dxa" w:w="3515"/>
          </w:tcPr>
          <w:p>
            <w:pPr>
              <w:spacing w:after="0" w:line="240" w:lineRule="auto"/>
            </w:pPr>
            <w:r/>
            <w:r>
              <w:rPr>
                <w:b w:val="0"/>
                <w:i w:val="0"/>
                <w:sz w:val="17"/>
              </w:rPr>
              <w:t>TN118/45 – Fee simple</w:t>
            </w:r>
          </w:p>
        </w:tc>
        <w:tc>
          <w:tcPr>
            <w:tcW w:type="dxa" w:w="1361"/>
          </w:tcPr>
          <w:p>
            <w:pPr>
              <w:spacing w:after="0" w:line="240" w:lineRule="auto"/>
              <w:jc w:val="right"/>
            </w:pPr>
            <w:r/>
            <w:r>
              <w:rPr>
                <w:b w:val="0"/>
                <w:i w:val="0"/>
                <w:sz w:val="17"/>
              </w:rPr>
              <w:t>44.7178</w:t>
            </w:r>
          </w:p>
        </w:tc>
      </w:tr>
      <w:tr>
        <w:tc>
          <w:tcPr>
            <w:tcW w:type="dxa" w:w="1928"/>
            <w:shd w:val="clear" w:color="auto" w:fill="FAF9F6"/>
          </w:tcPr>
          <w:p>
            <w:pPr>
              <w:spacing w:after="0" w:line="240" w:lineRule="auto"/>
            </w:pPr>
            <w:r/>
            <w:r>
              <w:rPr>
                <w:b w:val="0"/>
                <w:i w:val="0"/>
                <w:sz w:val="17"/>
              </w:rPr>
              <w:t>Staghaven</w:t>
            </w:r>
          </w:p>
        </w:tc>
        <w:tc>
          <w:tcPr>
            <w:tcW w:type="dxa" w:w="1928"/>
            <w:shd w:val="clear" w:color="auto" w:fill="FAF9F6"/>
          </w:tcPr>
          <w:p>
            <w:pPr>
              <w:spacing w:after="0" w:line="240" w:lineRule="auto"/>
            </w:pPr>
            <w:r/>
            <w:r>
              <w:rPr>
                <w:b w:val="0"/>
                <w:i w:val="0"/>
                <w:sz w:val="17"/>
              </w:rPr>
              <w:t>NFL</w:t>
            </w:r>
          </w:p>
        </w:tc>
        <w:tc>
          <w:tcPr>
            <w:tcW w:type="dxa" w:w="3515"/>
            <w:shd w:val="clear" w:color="auto" w:fill="FAF9F6"/>
          </w:tcPr>
          <w:p>
            <w:pPr>
              <w:spacing w:after="0" w:line="240" w:lineRule="auto"/>
            </w:pPr>
            <w:r/>
            <w:r>
              <w:rPr>
                <w:b w:val="0"/>
                <w:i w:val="0"/>
                <w:sz w:val="17"/>
              </w:rPr>
              <w:t>TNH4/183 – Fee simple</w:t>
            </w:r>
          </w:p>
        </w:tc>
        <w:tc>
          <w:tcPr>
            <w:tcW w:type="dxa" w:w="1361"/>
            <w:shd w:val="clear" w:color="auto" w:fill="FAF9F6"/>
          </w:tcPr>
          <w:p>
            <w:pPr>
              <w:spacing w:after="0" w:line="240" w:lineRule="auto"/>
              <w:jc w:val="right"/>
            </w:pPr>
            <w:r/>
            <w:r>
              <w:rPr>
                <w:b w:val="0"/>
                <w:i w:val="0"/>
                <w:sz w:val="17"/>
              </w:rPr>
              <w:t>8.0229</w:t>
            </w:r>
          </w:p>
        </w:tc>
      </w:tr>
      <w:tr>
        <w:tc>
          <w:tcPr>
            <w:tcW w:type="dxa" w:w="1928"/>
          </w:tcPr>
          <w:p>
            <w:pPr>
              <w:spacing w:after="0" w:line="240" w:lineRule="auto"/>
            </w:pPr>
            <w:r/>
            <w:r>
              <w:rPr>
                <w:b w:val="0"/>
                <w:i w:val="0"/>
                <w:sz w:val="17"/>
              </w:rPr>
              <w:t>Ernies</w:t>
            </w:r>
          </w:p>
        </w:tc>
        <w:tc>
          <w:tcPr>
            <w:tcW w:type="dxa" w:w="1928"/>
          </w:tcPr>
          <w:p>
            <w:pPr>
              <w:spacing w:after="0" w:line="240" w:lineRule="auto"/>
            </w:pPr>
            <w:r/>
            <w:r>
              <w:rPr>
                <w:b w:val="0"/>
                <w:i w:val="0"/>
                <w:sz w:val="17"/>
              </w:rPr>
              <w:t>Makowhai Trust</w:t>
            </w:r>
          </w:p>
        </w:tc>
        <w:tc>
          <w:tcPr>
            <w:tcW w:type="dxa" w:w="3515"/>
          </w:tcPr>
          <w:p>
            <w:pPr>
              <w:spacing w:after="0" w:line="240" w:lineRule="auto"/>
            </w:pPr>
            <w:r/>
            <w:r>
              <w:rPr>
                <w:b w:val="0"/>
                <w:i w:val="0"/>
                <w:sz w:val="17"/>
              </w:rPr>
              <w:t>421910 – Fee simple</w:t>
            </w:r>
          </w:p>
        </w:tc>
        <w:tc>
          <w:tcPr>
            <w:tcW w:type="dxa" w:w="1361"/>
          </w:tcPr>
          <w:p>
            <w:pPr>
              <w:spacing w:after="0" w:line="240" w:lineRule="auto"/>
              <w:jc w:val="right"/>
            </w:pPr>
            <w:r/>
            <w:r>
              <w:rPr>
                <w:b w:val="0"/>
                <w:i w:val="0"/>
                <w:sz w:val="17"/>
              </w:rPr>
              <w:t>352.8488</w:t>
            </w:r>
          </w:p>
        </w:tc>
      </w:tr>
      <w:tr>
        <w:tc>
          <w:tcPr>
            <w:tcW w:type="dxa" w:w="1928"/>
            <w:shd w:val="clear" w:color="auto" w:fill="FAF9F6"/>
          </w:tcPr>
          <w:p>
            <w:pPr>
              <w:spacing w:after="0" w:line="240" w:lineRule="auto"/>
            </w:pPr>
            <w:r/>
            <w:r>
              <w:rPr>
                <w:b w:val="0"/>
                <w:i w:val="0"/>
                <w:sz w:val="17"/>
              </w:rPr>
              <w:t>Ernies</w:t>
            </w:r>
          </w:p>
        </w:tc>
        <w:tc>
          <w:tcPr>
            <w:tcW w:type="dxa" w:w="1928"/>
            <w:shd w:val="clear" w:color="auto" w:fill="FAF9F6"/>
          </w:tcPr>
          <w:p>
            <w:pPr>
              <w:spacing w:after="0" w:line="240" w:lineRule="auto"/>
            </w:pPr>
            <w:r/>
            <w:r>
              <w:rPr>
                <w:b w:val="0"/>
                <w:i w:val="0"/>
                <w:sz w:val="17"/>
              </w:rPr>
              <w:t>Makowhai Trust</w:t>
            </w:r>
          </w:p>
        </w:tc>
        <w:tc>
          <w:tcPr>
            <w:tcW w:type="dxa" w:w="3515"/>
            <w:shd w:val="clear" w:color="auto" w:fill="FAF9F6"/>
          </w:tcPr>
          <w:p>
            <w:pPr>
              <w:spacing w:after="0" w:line="240" w:lineRule="auto"/>
            </w:pPr>
            <w:r/>
            <w:r>
              <w:rPr>
                <w:b w:val="0"/>
                <w:i w:val="0"/>
                <w:sz w:val="17"/>
              </w:rPr>
              <w:t>TN175/43 – Fee simple</w:t>
            </w:r>
          </w:p>
        </w:tc>
        <w:tc>
          <w:tcPr>
            <w:tcW w:type="dxa" w:w="1361"/>
            <w:shd w:val="clear" w:color="auto" w:fill="FAF9F6"/>
          </w:tcPr>
          <w:p>
            <w:pPr>
              <w:spacing w:after="0" w:line="240" w:lineRule="auto"/>
              <w:jc w:val="right"/>
            </w:pPr>
            <w:r/>
            <w:r>
              <w:rPr>
                <w:b w:val="0"/>
                <w:i w:val="0"/>
                <w:sz w:val="17"/>
              </w:rPr>
              <w:t>239.2704</w:t>
            </w:r>
          </w:p>
        </w:tc>
      </w:tr>
      <w:tr>
        <w:tc>
          <w:tcPr>
            <w:tcW w:type="dxa" w:w="1928"/>
          </w:tcPr>
          <w:p>
            <w:pPr>
              <w:spacing w:after="0" w:line="240" w:lineRule="auto"/>
            </w:pPr>
            <w:r/>
            <w:r>
              <w:rPr>
                <w:b w:val="0"/>
                <w:i w:val="0"/>
                <w:sz w:val="17"/>
              </w:rPr>
              <w:t>Ernies</w:t>
            </w:r>
          </w:p>
        </w:tc>
        <w:tc>
          <w:tcPr>
            <w:tcW w:type="dxa" w:w="1928"/>
          </w:tcPr>
          <w:p>
            <w:pPr>
              <w:spacing w:after="0" w:line="240" w:lineRule="auto"/>
            </w:pPr>
            <w:r/>
            <w:r>
              <w:rPr>
                <w:b w:val="0"/>
                <w:i w:val="0"/>
                <w:sz w:val="17"/>
              </w:rPr>
              <w:t>Makowhai Trust</w:t>
            </w:r>
          </w:p>
        </w:tc>
        <w:tc>
          <w:tcPr>
            <w:tcW w:type="dxa" w:w="3515"/>
          </w:tcPr>
          <w:p>
            <w:pPr>
              <w:spacing w:after="0" w:line="240" w:lineRule="auto"/>
            </w:pPr>
            <w:r/>
            <w:r>
              <w:rPr>
                <w:b w:val="0"/>
                <w:i w:val="0"/>
                <w:sz w:val="17"/>
              </w:rPr>
              <w:t>TN175/44 – Fee simple</w:t>
            </w:r>
          </w:p>
        </w:tc>
        <w:tc>
          <w:tcPr>
            <w:tcW w:type="dxa" w:w="1361"/>
          </w:tcPr>
          <w:p>
            <w:pPr>
              <w:spacing w:after="0" w:line="240" w:lineRule="auto"/>
              <w:jc w:val="right"/>
            </w:pPr>
            <w:r/>
            <w:r>
              <w:rPr>
                <w:b w:val="0"/>
                <w:i w:val="0"/>
                <w:sz w:val="17"/>
              </w:rPr>
              <w:t>216.0010</w:t>
            </w:r>
          </w:p>
        </w:tc>
      </w:tr>
      <w:tr>
        <w:tc>
          <w:tcPr>
            <w:tcW w:type="dxa" w:w="1928"/>
            <w:shd w:val="clear" w:color="auto" w:fill="FAF9F6"/>
          </w:tcPr>
          <w:p>
            <w:pPr>
              <w:spacing w:after="0" w:line="240" w:lineRule="auto"/>
            </w:pPr>
            <w:r/>
            <w:r>
              <w:rPr>
                <w:b w:val="0"/>
                <w:i w:val="0"/>
                <w:sz w:val="17"/>
              </w:rPr>
              <w:t>Ernies</w:t>
            </w:r>
          </w:p>
        </w:tc>
        <w:tc>
          <w:tcPr>
            <w:tcW w:type="dxa" w:w="1928"/>
            <w:shd w:val="clear" w:color="auto" w:fill="FAF9F6"/>
          </w:tcPr>
          <w:p>
            <w:pPr>
              <w:spacing w:after="0" w:line="240" w:lineRule="auto"/>
            </w:pPr>
            <w:r/>
            <w:r>
              <w:rPr>
                <w:b w:val="0"/>
                <w:i w:val="0"/>
                <w:sz w:val="17"/>
              </w:rPr>
              <w:t>Makowhai Trust</w:t>
            </w:r>
          </w:p>
        </w:tc>
        <w:tc>
          <w:tcPr>
            <w:tcW w:type="dxa" w:w="3515"/>
            <w:shd w:val="clear" w:color="auto" w:fill="FAF9F6"/>
          </w:tcPr>
          <w:p>
            <w:pPr>
              <w:spacing w:after="0" w:line="240" w:lineRule="auto"/>
            </w:pPr>
            <w:r/>
            <w:r>
              <w:rPr>
                <w:b w:val="0"/>
                <w:i w:val="0"/>
                <w:sz w:val="17"/>
              </w:rPr>
              <w:t>TNH4/190 – Fee simple</w:t>
            </w:r>
          </w:p>
        </w:tc>
        <w:tc>
          <w:tcPr>
            <w:tcW w:type="dxa" w:w="1361"/>
            <w:shd w:val="clear" w:color="auto" w:fill="FAF9F6"/>
          </w:tcPr>
          <w:p>
            <w:pPr>
              <w:spacing w:after="0" w:line="240" w:lineRule="auto"/>
              <w:jc w:val="right"/>
            </w:pPr>
            <w:r/>
            <w:r>
              <w:rPr>
                <w:b w:val="0"/>
                <w:i w:val="0"/>
                <w:sz w:val="17"/>
              </w:rPr>
              <w:t>138.1466</w:t>
            </w:r>
          </w:p>
        </w:tc>
      </w:tr>
      <w:tr>
        <w:tc>
          <w:tcPr>
            <w:tcW w:type="dxa" w:w="1928"/>
          </w:tcPr>
          <w:p>
            <w:pPr>
              <w:spacing w:after="0" w:line="240" w:lineRule="auto"/>
            </w:pPr>
            <w:r/>
            <w:r>
              <w:rPr>
                <w:b w:val="0"/>
                <w:i w:val="0"/>
                <w:sz w:val="17"/>
              </w:rPr>
              <w:t>Ernies</w:t>
            </w:r>
          </w:p>
        </w:tc>
        <w:tc>
          <w:tcPr>
            <w:tcW w:type="dxa" w:w="1928"/>
          </w:tcPr>
          <w:p>
            <w:pPr>
              <w:spacing w:after="0" w:line="240" w:lineRule="auto"/>
            </w:pPr>
            <w:r/>
            <w:r>
              <w:rPr>
                <w:b w:val="0"/>
                <w:i w:val="0"/>
                <w:sz w:val="17"/>
              </w:rPr>
              <w:t>Makowhai Trust</w:t>
            </w:r>
          </w:p>
        </w:tc>
        <w:tc>
          <w:tcPr>
            <w:tcW w:type="dxa" w:w="3515"/>
          </w:tcPr>
          <w:p>
            <w:pPr>
              <w:spacing w:after="0" w:line="240" w:lineRule="auto"/>
            </w:pPr>
            <w:r/>
            <w:r>
              <w:rPr>
                <w:b w:val="0"/>
                <w:i w:val="0"/>
                <w:sz w:val="17"/>
              </w:rPr>
              <w:t>TNJ2/204 – Fee simple</w:t>
            </w:r>
          </w:p>
        </w:tc>
        <w:tc>
          <w:tcPr>
            <w:tcW w:type="dxa" w:w="1361"/>
          </w:tcPr>
          <w:p>
            <w:pPr>
              <w:spacing w:after="0" w:line="240" w:lineRule="auto"/>
              <w:jc w:val="right"/>
            </w:pPr>
            <w:r/>
            <w:r>
              <w:rPr>
                <w:b w:val="0"/>
                <w:i w:val="0"/>
                <w:sz w:val="17"/>
              </w:rPr>
              <w:t>172.1916</w:t>
            </w:r>
          </w:p>
        </w:tc>
      </w:tr>
      <w:tr>
        <w:tc>
          <w:tcPr>
            <w:tcW w:type="dxa" w:w="1928"/>
            <w:shd w:val="clear" w:color="auto" w:fill="FAF9F6"/>
          </w:tcPr>
          <w:p>
            <w:pPr>
              <w:spacing w:after="0" w:line="240" w:lineRule="auto"/>
            </w:pPr>
            <w:r/>
            <w:r>
              <w:rPr>
                <w:b w:val="0"/>
                <w:i w:val="0"/>
                <w:sz w:val="17"/>
              </w:rPr>
              <w:t>Ernies</w:t>
            </w:r>
          </w:p>
        </w:tc>
        <w:tc>
          <w:tcPr>
            <w:tcW w:type="dxa" w:w="1928"/>
            <w:shd w:val="clear" w:color="auto" w:fill="FAF9F6"/>
          </w:tcPr>
          <w:p>
            <w:pPr>
              <w:spacing w:after="0" w:line="240" w:lineRule="auto"/>
            </w:pPr>
            <w:r/>
            <w:r>
              <w:rPr>
                <w:b w:val="0"/>
                <w:i w:val="0"/>
                <w:sz w:val="17"/>
              </w:rPr>
              <w:t>Makowhai Trust</w:t>
            </w:r>
          </w:p>
        </w:tc>
        <w:tc>
          <w:tcPr>
            <w:tcW w:type="dxa" w:w="3515"/>
            <w:shd w:val="clear" w:color="auto" w:fill="FAF9F6"/>
          </w:tcPr>
          <w:p>
            <w:pPr>
              <w:spacing w:after="0" w:line="240" w:lineRule="auto"/>
            </w:pPr>
            <w:r/>
            <w:r>
              <w:rPr>
                <w:b w:val="0"/>
                <w:i w:val="0"/>
                <w:sz w:val="17"/>
              </w:rPr>
              <w:t>TNJ2/714 – Fee simple</w:t>
            </w:r>
          </w:p>
        </w:tc>
        <w:tc>
          <w:tcPr>
            <w:tcW w:type="dxa" w:w="1361"/>
            <w:shd w:val="clear" w:color="auto" w:fill="FAF9F6"/>
          </w:tcPr>
          <w:p>
            <w:pPr>
              <w:spacing w:after="0" w:line="240" w:lineRule="auto"/>
              <w:jc w:val="right"/>
            </w:pPr>
            <w:r/>
            <w:r>
              <w:rPr>
                <w:b w:val="0"/>
                <w:i w:val="0"/>
                <w:sz w:val="17"/>
              </w:rPr>
              <w:t>507.9107</w:t>
            </w:r>
          </w:p>
        </w:tc>
      </w:tr>
      <w:tr>
        <w:tc>
          <w:tcPr>
            <w:tcW w:type="dxa" w:w="1928"/>
          </w:tcPr>
          <w:p>
            <w:pPr>
              <w:spacing w:after="0" w:line="240" w:lineRule="auto"/>
            </w:pPr>
            <w:r/>
            <w:r>
              <w:rPr>
                <w:b w:val="0"/>
                <w:i w:val="0"/>
                <w:sz w:val="17"/>
              </w:rPr>
              <w:t>Karapara</w:t>
            </w:r>
          </w:p>
        </w:tc>
        <w:tc>
          <w:tcPr>
            <w:tcW w:type="dxa" w:w="1928"/>
          </w:tcPr>
          <w:p>
            <w:pPr>
              <w:spacing w:after="0" w:line="240" w:lineRule="auto"/>
            </w:pPr>
            <w:r/>
            <w:r>
              <w:rPr>
                <w:b w:val="0"/>
                <w:i w:val="0"/>
                <w:sz w:val="17"/>
              </w:rPr>
              <w:t>Makowhai Trust</w:t>
            </w:r>
          </w:p>
        </w:tc>
        <w:tc>
          <w:tcPr>
            <w:tcW w:type="dxa" w:w="3515"/>
          </w:tcPr>
          <w:p>
            <w:pPr>
              <w:spacing w:after="0" w:line="240" w:lineRule="auto"/>
            </w:pPr>
            <w:r/>
            <w:r>
              <w:rPr>
                <w:b w:val="0"/>
                <w:i w:val="0"/>
                <w:sz w:val="17"/>
              </w:rPr>
              <w:t>TN227/30 – Fee simple</w:t>
            </w:r>
          </w:p>
        </w:tc>
        <w:tc>
          <w:tcPr>
            <w:tcW w:type="dxa" w:w="1361"/>
          </w:tcPr>
          <w:p>
            <w:pPr>
              <w:spacing w:after="0" w:line="240" w:lineRule="auto"/>
              <w:jc w:val="right"/>
            </w:pPr>
            <w:r/>
            <w:r>
              <w:rPr>
                <w:b w:val="0"/>
                <w:i w:val="0"/>
                <w:sz w:val="17"/>
              </w:rPr>
              <w:t>765.3162</w:t>
            </w:r>
          </w:p>
        </w:tc>
      </w:tr>
      <w:tr>
        <w:tc>
          <w:tcPr>
            <w:tcW w:type="dxa" w:w="1928"/>
            <w:shd w:val="clear" w:color="auto" w:fill="FAF9F6"/>
          </w:tcPr>
          <w:p>
            <w:pPr>
              <w:spacing w:after="0" w:line="240" w:lineRule="auto"/>
            </w:pPr>
            <w:r/>
            <w:r>
              <w:rPr>
                <w:b w:val="0"/>
                <w:i w:val="0"/>
                <w:sz w:val="17"/>
              </w:rPr>
              <w:t>Karapara</w:t>
            </w:r>
          </w:p>
        </w:tc>
        <w:tc>
          <w:tcPr>
            <w:tcW w:type="dxa" w:w="1928"/>
            <w:shd w:val="clear" w:color="auto" w:fill="FAF9F6"/>
          </w:tcPr>
          <w:p>
            <w:pPr>
              <w:spacing w:after="0" w:line="240" w:lineRule="auto"/>
            </w:pPr>
            <w:r/>
            <w:r>
              <w:rPr>
                <w:b w:val="0"/>
                <w:i w:val="0"/>
                <w:sz w:val="17"/>
              </w:rPr>
              <w:t>Makowhai Trust</w:t>
            </w:r>
          </w:p>
        </w:tc>
        <w:tc>
          <w:tcPr>
            <w:tcW w:type="dxa" w:w="3515"/>
            <w:shd w:val="clear" w:color="auto" w:fill="FAF9F6"/>
          </w:tcPr>
          <w:p>
            <w:pPr>
              <w:spacing w:after="0" w:line="240" w:lineRule="auto"/>
            </w:pPr>
            <w:r/>
            <w:r>
              <w:rPr>
                <w:b w:val="0"/>
                <w:i w:val="0"/>
                <w:sz w:val="17"/>
              </w:rPr>
              <w:t>TN227/31 – Fee simple</w:t>
            </w:r>
          </w:p>
        </w:tc>
        <w:tc>
          <w:tcPr>
            <w:tcW w:type="dxa" w:w="1361"/>
            <w:shd w:val="clear" w:color="auto" w:fill="FAF9F6"/>
          </w:tcPr>
          <w:p>
            <w:pPr>
              <w:spacing w:after="0" w:line="240" w:lineRule="auto"/>
              <w:jc w:val="right"/>
            </w:pPr>
            <w:r/>
            <w:r>
              <w:rPr>
                <w:b w:val="0"/>
                <w:i w:val="0"/>
                <w:sz w:val="17"/>
              </w:rPr>
              <w:t>546.3256</w:t>
            </w:r>
          </w:p>
        </w:tc>
      </w:tr>
      <w:tr>
        <w:tc>
          <w:tcPr>
            <w:tcW w:type="dxa" w:w="1928"/>
          </w:tcPr>
          <w:p>
            <w:pPr>
              <w:spacing w:after="0" w:line="240" w:lineRule="auto"/>
            </w:pPr>
            <w:r/>
            <w:r>
              <w:rPr>
                <w:b w:val="0"/>
                <w:i w:val="0"/>
                <w:sz w:val="17"/>
              </w:rPr>
              <w:t>Karapara</w:t>
            </w:r>
          </w:p>
        </w:tc>
        <w:tc>
          <w:tcPr>
            <w:tcW w:type="dxa" w:w="1928"/>
          </w:tcPr>
          <w:p>
            <w:pPr>
              <w:spacing w:after="0" w:line="240" w:lineRule="auto"/>
            </w:pPr>
            <w:r/>
            <w:r>
              <w:rPr>
                <w:b w:val="0"/>
                <w:i w:val="0"/>
                <w:sz w:val="17"/>
              </w:rPr>
              <w:t>Makowhai Trust</w:t>
            </w:r>
          </w:p>
        </w:tc>
        <w:tc>
          <w:tcPr>
            <w:tcW w:type="dxa" w:w="3515"/>
          </w:tcPr>
          <w:p>
            <w:pPr>
              <w:spacing w:after="0" w:line="240" w:lineRule="auto"/>
            </w:pPr>
            <w:r/>
            <w:r>
              <w:rPr>
                <w:b w:val="0"/>
                <w:i w:val="0"/>
                <w:sz w:val="17"/>
              </w:rPr>
              <w:t>TN227/32 – Fee simple</w:t>
            </w:r>
          </w:p>
        </w:tc>
        <w:tc>
          <w:tcPr>
            <w:tcW w:type="dxa" w:w="1361"/>
          </w:tcPr>
          <w:p>
            <w:pPr>
              <w:spacing w:after="0" w:line="240" w:lineRule="auto"/>
              <w:jc w:val="right"/>
            </w:pPr>
            <w:r/>
            <w:r>
              <w:rPr>
                <w:b w:val="0"/>
                <w:i w:val="0"/>
                <w:sz w:val="17"/>
              </w:rPr>
              <w:t>6.0703</w:t>
            </w:r>
          </w:p>
        </w:tc>
      </w:tr>
      <w:tr>
        <w:tc>
          <w:tcPr>
            <w:tcW w:type="dxa" w:w="1928"/>
            <w:shd w:val="clear" w:color="auto" w:fill="FAF9F6"/>
          </w:tcPr>
          <w:p>
            <w:pPr>
              <w:spacing w:after="0" w:line="240" w:lineRule="auto"/>
            </w:pPr>
            <w:r/>
            <w:r>
              <w:rPr>
                <w:b w:val="0"/>
                <w:i w:val="0"/>
                <w:sz w:val="17"/>
              </w:rPr>
              <w:t>Home Block</w:t>
            </w:r>
          </w:p>
        </w:tc>
        <w:tc>
          <w:tcPr>
            <w:tcW w:type="dxa" w:w="1928"/>
            <w:shd w:val="clear" w:color="auto" w:fill="FAF9F6"/>
          </w:tcPr>
          <w:p>
            <w:pPr>
              <w:spacing w:after="0" w:line="240" w:lineRule="auto"/>
            </w:pPr>
            <w:r/>
            <w:r>
              <w:rPr>
                <w:b w:val="0"/>
                <w:i w:val="0"/>
                <w:sz w:val="17"/>
              </w:rPr>
              <w:t>Makowhai Trust</w:t>
            </w:r>
          </w:p>
        </w:tc>
        <w:tc>
          <w:tcPr>
            <w:tcW w:type="dxa" w:w="3515"/>
            <w:shd w:val="clear" w:color="auto" w:fill="FAF9F6"/>
          </w:tcPr>
          <w:p>
            <w:pPr>
              <w:spacing w:after="0" w:line="240" w:lineRule="auto"/>
            </w:pPr>
            <w:r/>
            <w:r>
              <w:rPr>
                <w:b w:val="0"/>
                <w:i w:val="0"/>
                <w:sz w:val="17"/>
              </w:rPr>
              <w:t>TN119/223 – Fee simple</w:t>
            </w:r>
          </w:p>
        </w:tc>
        <w:tc>
          <w:tcPr>
            <w:tcW w:type="dxa" w:w="1361"/>
            <w:shd w:val="clear" w:color="auto" w:fill="FAF9F6"/>
          </w:tcPr>
          <w:p>
            <w:pPr>
              <w:spacing w:after="0" w:line="240" w:lineRule="auto"/>
              <w:jc w:val="right"/>
            </w:pPr>
            <w:r/>
            <w:r>
              <w:rPr>
                <w:b w:val="0"/>
                <w:i w:val="0"/>
                <w:sz w:val="17"/>
              </w:rPr>
              <w:t>687.6368</w:t>
            </w:r>
          </w:p>
        </w:tc>
      </w:tr>
      <w:tr>
        <w:tc>
          <w:tcPr>
            <w:tcW w:type="dxa" w:w="1928"/>
          </w:tcPr>
          <w:p>
            <w:pPr>
              <w:spacing w:after="0" w:line="240" w:lineRule="auto"/>
            </w:pPr>
            <w:r/>
            <w:r>
              <w:rPr>
                <w:b w:val="0"/>
                <w:i w:val="0"/>
                <w:sz w:val="17"/>
              </w:rPr>
              <w:t>Home Block</w:t>
            </w:r>
          </w:p>
        </w:tc>
        <w:tc>
          <w:tcPr>
            <w:tcW w:type="dxa" w:w="1928"/>
          </w:tcPr>
          <w:p>
            <w:pPr>
              <w:spacing w:after="0" w:line="240" w:lineRule="auto"/>
            </w:pPr>
            <w:r/>
            <w:r>
              <w:rPr>
                <w:b w:val="0"/>
                <w:i w:val="0"/>
                <w:sz w:val="17"/>
              </w:rPr>
              <w:t>Makowhai Trust</w:t>
            </w:r>
          </w:p>
        </w:tc>
        <w:tc>
          <w:tcPr>
            <w:tcW w:type="dxa" w:w="3515"/>
          </w:tcPr>
          <w:p>
            <w:pPr>
              <w:spacing w:after="0" w:line="240" w:lineRule="auto"/>
            </w:pPr>
            <w:r/>
            <w:r>
              <w:rPr>
                <w:b w:val="0"/>
                <w:i w:val="0"/>
                <w:sz w:val="17"/>
              </w:rPr>
              <w:t>TNE3/650 – Fee simple</w:t>
            </w:r>
          </w:p>
        </w:tc>
        <w:tc>
          <w:tcPr>
            <w:tcW w:type="dxa" w:w="1361"/>
          </w:tcPr>
          <w:p>
            <w:pPr>
              <w:spacing w:after="0" w:line="240" w:lineRule="auto"/>
              <w:jc w:val="right"/>
            </w:pPr>
            <w:r/>
            <w:r>
              <w:rPr>
                <w:b w:val="0"/>
                <w:i w:val="0"/>
                <w:sz w:val="17"/>
              </w:rPr>
              <w:t>477.5290</w:t>
            </w:r>
          </w:p>
        </w:tc>
      </w:tr>
      <w:tr>
        <w:tc>
          <w:tcPr>
            <w:tcW w:type="dxa" w:w="1928"/>
            <w:shd w:val="clear" w:color="auto" w:fill="FAF9F6"/>
          </w:tcPr>
          <w:p>
            <w:pPr>
              <w:spacing w:after="0" w:line="240" w:lineRule="auto"/>
            </w:pPr>
            <w:r/>
            <w:r>
              <w:rPr>
                <w:b w:val="0"/>
                <w:i w:val="0"/>
                <w:sz w:val="17"/>
              </w:rPr>
              <w:t>Patricks House</w:t>
            </w:r>
          </w:p>
        </w:tc>
        <w:tc>
          <w:tcPr>
            <w:tcW w:type="dxa" w:w="1928"/>
            <w:shd w:val="clear" w:color="auto" w:fill="FAF9F6"/>
          </w:tcPr>
          <w:p>
            <w:pPr>
              <w:spacing w:after="0" w:line="240" w:lineRule="auto"/>
            </w:pPr>
            <w:r/>
            <w:r>
              <w:rPr>
                <w:b w:val="0"/>
                <w:i w:val="0"/>
                <w:sz w:val="17"/>
              </w:rPr>
              <w:t>NFL</w:t>
            </w:r>
          </w:p>
        </w:tc>
        <w:tc>
          <w:tcPr>
            <w:tcW w:type="dxa" w:w="3515"/>
            <w:shd w:val="clear" w:color="auto" w:fill="FAF9F6"/>
          </w:tcPr>
          <w:p>
            <w:pPr>
              <w:spacing w:after="0" w:line="240" w:lineRule="auto"/>
            </w:pPr>
            <w:r/>
            <w:r>
              <w:rPr>
                <w:b w:val="0"/>
                <w:i w:val="0"/>
                <w:sz w:val="17"/>
              </w:rPr>
              <w:t>690021 – Fee simple</w:t>
            </w:r>
          </w:p>
        </w:tc>
        <w:tc>
          <w:tcPr>
            <w:tcW w:type="dxa" w:w="1361"/>
            <w:shd w:val="clear" w:color="auto" w:fill="FAF9F6"/>
          </w:tcPr>
          <w:p>
            <w:pPr>
              <w:spacing w:after="0" w:line="240" w:lineRule="auto"/>
              <w:jc w:val="right"/>
            </w:pPr>
            <w:r/>
            <w:r>
              <w:rPr>
                <w:b w:val="0"/>
                <w:i w:val="0"/>
                <w:sz w:val="17"/>
              </w:rPr>
              <w:t>27.2445</w:t>
            </w:r>
          </w:p>
        </w:tc>
      </w:tr>
      <w:tr>
        <w:tc>
          <w:tcPr>
            <w:tcW w:type="dxa" w:w="1928"/>
          </w:tcPr>
          <w:p>
            <w:pPr>
              <w:spacing w:after="0" w:line="240" w:lineRule="auto"/>
            </w:pPr>
            <w:r/>
            <w:r>
              <w:rPr>
                <w:b w:val="0"/>
                <w:i w:val="0"/>
                <w:sz w:val="17"/>
              </w:rPr>
              <w:t>Patricks House</w:t>
            </w:r>
          </w:p>
        </w:tc>
        <w:tc>
          <w:tcPr>
            <w:tcW w:type="dxa" w:w="1928"/>
          </w:tcPr>
          <w:p>
            <w:pPr>
              <w:spacing w:after="0" w:line="240" w:lineRule="auto"/>
            </w:pPr>
            <w:r/>
            <w:r>
              <w:rPr>
                <w:b w:val="0"/>
                <w:i w:val="0"/>
                <w:sz w:val="17"/>
              </w:rPr>
              <w:t>NFL</w:t>
            </w:r>
          </w:p>
        </w:tc>
        <w:tc>
          <w:tcPr>
            <w:tcW w:type="dxa" w:w="3515"/>
          </w:tcPr>
          <w:p>
            <w:pPr>
              <w:spacing w:after="0" w:line="240" w:lineRule="auto"/>
            </w:pPr>
            <w:r/>
            <w:r>
              <w:rPr>
                <w:b w:val="0"/>
                <w:i w:val="0"/>
                <w:sz w:val="17"/>
              </w:rPr>
              <w:t>WN53B/169 – Fee simple</w:t>
            </w:r>
          </w:p>
        </w:tc>
        <w:tc>
          <w:tcPr>
            <w:tcW w:type="dxa" w:w="1361"/>
          </w:tcPr>
          <w:p>
            <w:pPr>
              <w:spacing w:after="0" w:line="240" w:lineRule="auto"/>
              <w:jc w:val="right"/>
            </w:pPr>
            <w:r/>
            <w:r>
              <w:rPr>
                <w:b w:val="0"/>
                <w:i w:val="0"/>
                <w:sz w:val="17"/>
              </w:rPr>
              <w:t>0.2079</w:t>
            </w:r>
          </w:p>
        </w:tc>
      </w:tr>
      <w:tr>
        <w:tc>
          <w:tcPr>
            <w:tcW w:type="dxa" w:w="1928"/>
            <w:shd w:val="clear" w:color="auto" w:fill="FAF9F6"/>
          </w:tcPr>
          <w:p>
            <w:pPr>
              <w:spacing w:after="0" w:line="240" w:lineRule="auto"/>
            </w:pPr>
            <w:r/>
            <w:r>
              <w:rPr>
                <w:b w:val="0"/>
                <w:i w:val="0"/>
                <w:sz w:val="17"/>
              </w:rPr>
              <w:t>Patricks House</w:t>
            </w:r>
          </w:p>
        </w:tc>
        <w:tc>
          <w:tcPr>
            <w:tcW w:type="dxa" w:w="1928"/>
            <w:shd w:val="clear" w:color="auto" w:fill="FAF9F6"/>
          </w:tcPr>
          <w:p>
            <w:pPr>
              <w:spacing w:after="0" w:line="240" w:lineRule="auto"/>
            </w:pPr>
            <w:r/>
            <w:r>
              <w:rPr>
                <w:b w:val="0"/>
                <w:i w:val="0"/>
                <w:sz w:val="17"/>
              </w:rPr>
              <w:t>NFL</w:t>
            </w:r>
          </w:p>
        </w:tc>
        <w:tc>
          <w:tcPr>
            <w:tcW w:type="dxa" w:w="3515"/>
            <w:shd w:val="clear" w:color="auto" w:fill="FAF9F6"/>
          </w:tcPr>
          <w:p>
            <w:pPr>
              <w:spacing w:after="0" w:line="240" w:lineRule="auto"/>
            </w:pPr>
            <w:r/>
            <w:r>
              <w:rPr>
                <w:b w:val="0"/>
                <w:i w:val="0"/>
                <w:sz w:val="17"/>
              </w:rPr>
              <w:t>WN53B/170 – Fee simple</w:t>
            </w:r>
          </w:p>
        </w:tc>
        <w:tc>
          <w:tcPr>
            <w:tcW w:type="dxa" w:w="1361"/>
            <w:shd w:val="clear" w:color="auto" w:fill="FAF9F6"/>
          </w:tcPr>
          <w:p>
            <w:pPr>
              <w:spacing w:after="0" w:line="240" w:lineRule="auto"/>
              <w:jc w:val="right"/>
            </w:pPr>
            <w:r/>
            <w:r>
              <w:rPr>
                <w:b w:val="0"/>
                <w:i w:val="0"/>
                <w:sz w:val="17"/>
              </w:rPr>
              <w:t>0.2083</w:t>
            </w:r>
          </w:p>
        </w:tc>
      </w:tr>
      <w:tr>
        <w:tc>
          <w:tcPr>
            <w:tcW w:type="dxa" w:w="1928"/>
          </w:tcPr>
          <w:p>
            <w:pPr>
              <w:spacing w:after="0" w:line="240" w:lineRule="auto"/>
            </w:pPr>
            <w:r/>
            <w:r>
              <w:rPr>
                <w:b w:val="0"/>
                <w:i w:val="0"/>
                <w:sz w:val="17"/>
              </w:rPr>
              <w:t>Workers House</w:t>
            </w:r>
          </w:p>
        </w:tc>
        <w:tc>
          <w:tcPr>
            <w:tcW w:type="dxa" w:w="1928"/>
          </w:tcPr>
          <w:p>
            <w:pPr>
              <w:spacing w:after="0" w:line="240" w:lineRule="auto"/>
            </w:pPr>
            <w:r/>
            <w:r>
              <w:rPr>
                <w:b w:val="0"/>
                <w:i w:val="0"/>
                <w:sz w:val="17"/>
              </w:rPr>
              <w:t>NFL</w:t>
            </w:r>
          </w:p>
        </w:tc>
        <w:tc>
          <w:tcPr>
            <w:tcW w:type="dxa" w:w="3515"/>
          </w:tcPr>
          <w:p>
            <w:pPr>
              <w:spacing w:after="0" w:line="240" w:lineRule="auto"/>
            </w:pPr>
            <w:r/>
            <w:r>
              <w:rPr>
                <w:b w:val="0"/>
                <w:i w:val="0"/>
                <w:sz w:val="17"/>
              </w:rPr>
              <w:t>TNE3/610 – Fee simple</w:t>
            </w:r>
          </w:p>
        </w:tc>
        <w:tc>
          <w:tcPr>
            <w:tcW w:type="dxa" w:w="1361"/>
          </w:tcPr>
          <w:p>
            <w:pPr>
              <w:spacing w:after="0" w:line="240" w:lineRule="auto"/>
              <w:jc w:val="right"/>
            </w:pPr>
            <w:r/>
            <w:r>
              <w:rPr>
                <w:b w:val="0"/>
                <w:i w:val="0"/>
                <w:sz w:val="17"/>
              </w:rPr>
              <w:t>0.6121</w:t>
            </w:r>
          </w:p>
        </w:tc>
      </w:tr>
      <w:tr>
        <w:tc>
          <w:tcPr>
            <w:tcW w:type="dxa" w:w="1928"/>
            <w:shd w:val="clear" w:color="auto" w:fill="FAF9F6"/>
          </w:tcPr>
          <w:p>
            <w:pPr>
              <w:spacing w:after="0" w:line="240" w:lineRule="auto"/>
            </w:pPr>
            <w:r/>
            <w:r>
              <w:rPr>
                <w:b w:val="0"/>
                <w:i w:val="0"/>
                <w:sz w:val="17"/>
              </w:rPr>
              <w:t>Workers House</w:t>
            </w:r>
          </w:p>
        </w:tc>
        <w:tc>
          <w:tcPr>
            <w:tcW w:type="dxa" w:w="1928"/>
            <w:shd w:val="clear" w:color="auto" w:fill="FAF9F6"/>
          </w:tcPr>
          <w:p>
            <w:pPr>
              <w:spacing w:after="0" w:line="240" w:lineRule="auto"/>
            </w:pPr>
            <w:r/>
            <w:r>
              <w:rPr>
                <w:b w:val="0"/>
                <w:i w:val="0"/>
                <w:sz w:val="17"/>
              </w:rPr>
              <w:t>NFL</w:t>
            </w:r>
          </w:p>
        </w:tc>
        <w:tc>
          <w:tcPr>
            <w:tcW w:type="dxa" w:w="3515"/>
            <w:shd w:val="clear" w:color="auto" w:fill="FAF9F6"/>
          </w:tcPr>
          <w:p>
            <w:pPr>
              <w:spacing w:after="0" w:line="240" w:lineRule="auto"/>
            </w:pPr>
            <w:r/>
            <w:r>
              <w:rPr>
                <w:b w:val="0"/>
                <w:i w:val="0"/>
                <w:sz w:val="17"/>
              </w:rPr>
              <w:t>TNE3/611 – Fee simple</w:t>
            </w:r>
          </w:p>
        </w:tc>
        <w:tc>
          <w:tcPr>
            <w:tcW w:type="dxa" w:w="1361"/>
            <w:shd w:val="clear" w:color="auto" w:fill="FAF9F6"/>
          </w:tcPr>
          <w:p>
            <w:pPr>
              <w:spacing w:after="0" w:line="240" w:lineRule="auto"/>
              <w:jc w:val="right"/>
            </w:pPr>
            <w:r/>
            <w:r>
              <w:rPr>
                <w:b w:val="0"/>
                <w:i w:val="0"/>
                <w:sz w:val="17"/>
              </w:rPr>
              <w:t>1.1002</w:t>
            </w:r>
          </w:p>
        </w:tc>
      </w:tr>
      <w:tr>
        <w:tc>
          <w:tcPr>
            <w:tcW w:type="dxa" w:w="1928"/>
          </w:tcPr>
          <w:p>
            <w:pPr>
              <w:spacing w:after="0" w:line="240" w:lineRule="auto"/>
            </w:pPr>
            <w:r/>
            <w:r>
              <w:rPr>
                <w:b w:val="0"/>
                <w:i w:val="0"/>
                <w:sz w:val="17"/>
              </w:rPr>
              <w:t>Moonys</w:t>
            </w:r>
          </w:p>
        </w:tc>
        <w:tc>
          <w:tcPr>
            <w:tcW w:type="dxa" w:w="1928"/>
          </w:tcPr>
          <w:p>
            <w:pPr>
              <w:spacing w:after="0" w:line="240" w:lineRule="auto"/>
            </w:pPr>
            <w:r/>
            <w:r>
              <w:rPr>
                <w:b w:val="0"/>
                <w:i w:val="0"/>
                <w:sz w:val="17"/>
              </w:rPr>
              <w:t>NFL</w:t>
            </w:r>
          </w:p>
        </w:tc>
        <w:tc>
          <w:tcPr>
            <w:tcW w:type="dxa" w:w="3515"/>
          </w:tcPr>
          <w:p>
            <w:pPr>
              <w:spacing w:after="0" w:line="240" w:lineRule="auto"/>
            </w:pPr>
            <w:r/>
            <w:r>
              <w:rPr>
                <w:b w:val="0"/>
                <w:i w:val="0"/>
                <w:sz w:val="17"/>
              </w:rPr>
              <w:t>WN110/44 – Fee simple</w:t>
            </w:r>
          </w:p>
        </w:tc>
        <w:tc>
          <w:tcPr>
            <w:tcW w:type="dxa" w:w="1361"/>
          </w:tcPr>
          <w:p>
            <w:pPr>
              <w:spacing w:after="0" w:line="240" w:lineRule="auto"/>
              <w:jc w:val="right"/>
            </w:pPr>
            <w:r/>
            <w:r>
              <w:rPr>
                <w:b w:val="0"/>
                <w:i w:val="0"/>
                <w:sz w:val="17"/>
              </w:rPr>
              <w:t>80.9371</w:t>
            </w:r>
          </w:p>
        </w:tc>
      </w:tr>
      <w:tr>
        <w:tc>
          <w:tcPr>
            <w:tcW w:type="dxa" w:w="1928"/>
            <w:shd w:val="clear" w:color="auto" w:fill="FAF9F6"/>
          </w:tcPr>
          <w:p>
            <w:pPr>
              <w:spacing w:after="0" w:line="240" w:lineRule="auto"/>
            </w:pPr>
            <w:r/>
            <w:r>
              <w:rPr>
                <w:b w:val="0"/>
                <w:i w:val="0"/>
                <w:sz w:val="17"/>
              </w:rPr>
              <w:t>Moonys</w:t>
            </w:r>
          </w:p>
        </w:tc>
        <w:tc>
          <w:tcPr>
            <w:tcW w:type="dxa" w:w="1928"/>
            <w:shd w:val="clear" w:color="auto" w:fill="FAF9F6"/>
          </w:tcPr>
          <w:p>
            <w:pPr>
              <w:spacing w:after="0" w:line="240" w:lineRule="auto"/>
            </w:pPr>
            <w:r/>
            <w:r>
              <w:rPr>
                <w:b w:val="0"/>
                <w:i w:val="0"/>
                <w:sz w:val="17"/>
              </w:rPr>
              <w:t>NFL</w:t>
            </w:r>
          </w:p>
        </w:tc>
        <w:tc>
          <w:tcPr>
            <w:tcW w:type="dxa" w:w="3515"/>
            <w:shd w:val="clear" w:color="auto" w:fill="FAF9F6"/>
          </w:tcPr>
          <w:p>
            <w:pPr>
              <w:spacing w:after="0" w:line="240" w:lineRule="auto"/>
            </w:pPr>
            <w:r/>
            <w:r>
              <w:rPr>
                <w:b w:val="0"/>
                <w:i w:val="0"/>
                <w:sz w:val="17"/>
              </w:rPr>
              <w:t>WN181/222 – Fee simple</w:t>
            </w:r>
          </w:p>
        </w:tc>
        <w:tc>
          <w:tcPr>
            <w:tcW w:type="dxa" w:w="1361"/>
            <w:shd w:val="clear" w:color="auto" w:fill="FAF9F6"/>
          </w:tcPr>
          <w:p>
            <w:pPr>
              <w:spacing w:after="0" w:line="240" w:lineRule="auto"/>
              <w:jc w:val="right"/>
            </w:pPr>
            <w:r/>
            <w:r>
              <w:rPr>
                <w:b w:val="0"/>
                <w:i w:val="0"/>
                <w:sz w:val="17"/>
              </w:rPr>
              <w:t>432.0449</w:t>
            </w:r>
          </w:p>
        </w:tc>
      </w:tr>
      <w:tr>
        <w:tc>
          <w:tcPr>
            <w:tcW w:type="dxa" w:w="1928"/>
          </w:tcPr>
          <w:p>
            <w:pPr>
              <w:spacing w:after="0" w:line="240" w:lineRule="auto"/>
            </w:pPr>
            <w:r/>
            <w:r>
              <w:rPr>
                <w:b w:val="0"/>
                <w:i w:val="0"/>
                <w:sz w:val="17"/>
              </w:rPr>
              <w:t>Moonys</w:t>
            </w:r>
          </w:p>
        </w:tc>
        <w:tc>
          <w:tcPr>
            <w:tcW w:type="dxa" w:w="1928"/>
          </w:tcPr>
          <w:p>
            <w:pPr>
              <w:spacing w:after="0" w:line="240" w:lineRule="auto"/>
            </w:pPr>
            <w:r/>
            <w:r>
              <w:rPr>
                <w:b w:val="0"/>
                <w:i w:val="0"/>
                <w:sz w:val="17"/>
              </w:rPr>
              <w:t>NFL</w:t>
            </w:r>
          </w:p>
        </w:tc>
        <w:tc>
          <w:tcPr>
            <w:tcW w:type="dxa" w:w="3515"/>
          </w:tcPr>
          <w:p>
            <w:pPr>
              <w:spacing w:after="0" w:line="240" w:lineRule="auto"/>
            </w:pPr>
            <w:r/>
            <w:r>
              <w:rPr>
                <w:b w:val="0"/>
                <w:i w:val="0"/>
                <w:sz w:val="17"/>
              </w:rPr>
              <w:t>WN23A/665 – Fee simple</w:t>
            </w:r>
          </w:p>
        </w:tc>
        <w:tc>
          <w:tcPr>
            <w:tcW w:type="dxa" w:w="1361"/>
          </w:tcPr>
          <w:p>
            <w:pPr>
              <w:spacing w:after="0" w:line="240" w:lineRule="auto"/>
              <w:jc w:val="right"/>
            </w:pPr>
            <w:r/>
            <w:r>
              <w:rPr>
                <w:b w:val="0"/>
                <w:i w:val="0"/>
                <w:sz w:val="17"/>
              </w:rPr>
              <w:t>46.4594</w:t>
            </w:r>
          </w:p>
        </w:tc>
      </w:tr>
      <w:tr>
        <w:tc>
          <w:tcPr>
            <w:tcW w:type="dxa" w:w="1928"/>
            <w:shd w:val="clear" w:color="auto" w:fill="FAF9F6"/>
          </w:tcPr>
          <w:p>
            <w:pPr>
              <w:spacing w:after="0" w:line="240" w:lineRule="auto"/>
            </w:pPr>
            <w:r/>
            <w:r>
              <w:rPr>
                <w:b w:val="0"/>
                <w:i w:val="0"/>
                <w:sz w:val="17"/>
              </w:rPr>
              <w:t>Moonys</w:t>
            </w:r>
          </w:p>
        </w:tc>
        <w:tc>
          <w:tcPr>
            <w:tcW w:type="dxa" w:w="1928"/>
            <w:shd w:val="clear" w:color="auto" w:fill="FAF9F6"/>
          </w:tcPr>
          <w:p>
            <w:pPr>
              <w:spacing w:after="0" w:line="240" w:lineRule="auto"/>
            </w:pPr>
            <w:r/>
            <w:r>
              <w:rPr>
                <w:b w:val="0"/>
                <w:i w:val="0"/>
                <w:sz w:val="17"/>
              </w:rPr>
              <w:t>NFL</w:t>
            </w:r>
          </w:p>
        </w:tc>
        <w:tc>
          <w:tcPr>
            <w:tcW w:type="dxa" w:w="3515"/>
            <w:shd w:val="clear" w:color="auto" w:fill="FAF9F6"/>
          </w:tcPr>
          <w:p>
            <w:pPr>
              <w:spacing w:after="0" w:line="240" w:lineRule="auto"/>
            </w:pPr>
            <w:r/>
            <w:r>
              <w:rPr>
                <w:b w:val="0"/>
                <w:i w:val="0"/>
                <w:sz w:val="17"/>
              </w:rPr>
              <w:t>WN476/64 – Fee simple</w:t>
            </w:r>
          </w:p>
        </w:tc>
        <w:tc>
          <w:tcPr>
            <w:tcW w:type="dxa" w:w="1361"/>
            <w:shd w:val="clear" w:color="auto" w:fill="FAF9F6"/>
          </w:tcPr>
          <w:p>
            <w:pPr>
              <w:spacing w:after="0" w:line="240" w:lineRule="auto"/>
              <w:jc w:val="right"/>
            </w:pPr>
            <w:r/>
            <w:r>
              <w:rPr>
                <w:b w:val="0"/>
                <w:i w:val="0"/>
                <w:sz w:val="17"/>
              </w:rPr>
              <w:t>84.1746</w:t>
            </w:r>
          </w:p>
        </w:tc>
      </w:tr>
      <w:tr>
        <w:tc>
          <w:tcPr>
            <w:tcW w:type="dxa" w:w="1928"/>
          </w:tcPr>
          <w:p>
            <w:pPr>
              <w:spacing w:after="0" w:line="240" w:lineRule="auto"/>
            </w:pPr>
            <w:r/>
            <w:r>
              <w:rPr>
                <w:b w:val="0"/>
                <w:i w:val="0"/>
                <w:sz w:val="17"/>
              </w:rPr>
              <w:t>Ridge Road</w:t>
            </w:r>
          </w:p>
        </w:tc>
        <w:tc>
          <w:tcPr>
            <w:tcW w:type="dxa" w:w="1928"/>
          </w:tcPr>
          <w:p>
            <w:pPr>
              <w:spacing w:after="0" w:line="240" w:lineRule="auto"/>
            </w:pPr>
            <w:r/>
            <w:r>
              <w:rPr>
                <w:b w:val="0"/>
                <w:i w:val="0"/>
                <w:sz w:val="17"/>
              </w:rPr>
              <w:t>NFL</w:t>
            </w:r>
          </w:p>
        </w:tc>
        <w:tc>
          <w:tcPr>
            <w:tcW w:type="dxa" w:w="3515"/>
          </w:tcPr>
          <w:p>
            <w:pPr>
              <w:spacing w:after="0" w:line="240" w:lineRule="auto"/>
            </w:pPr>
            <w:r/>
            <w:r>
              <w:rPr>
                <w:b w:val="0"/>
                <w:i w:val="0"/>
                <w:sz w:val="17"/>
              </w:rPr>
              <w:t>753569 – Fee simple</w:t>
            </w:r>
          </w:p>
        </w:tc>
        <w:tc>
          <w:tcPr>
            <w:tcW w:type="dxa" w:w="1361"/>
          </w:tcPr>
          <w:p>
            <w:pPr>
              <w:spacing w:after="0" w:line="240" w:lineRule="auto"/>
              <w:jc w:val="right"/>
            </w:pPr>
            <w:r/>
            <w:r>
              <w:rPr>
                <w:b w:val="0"/>
                <w:i w:val="0"/>
                <w:sz w:val="17"/>
              </w:rPr>
              <w:t>89.7128</w:t>
            </w:r>
          </w:p>
        </w:tc>
      </w:tr>
      <w:tr>
        <w:tc>
          <w:tcPr>
            <w:tcW w:type="dxa" w:w="1928"/>
            <w:shd w:val="clear" w:color="auto" w:fill="FAF9F6"/>
          </w:tcPr>
          <w:p>
            <w:pPr>
              <w:spacing w:after="0" w:line="240" w:lineRule="auto"/>
            </w:pPr>
            <w:r/>
            <w:r>
              <w:rPr>
                <w:b w:val="0"/>
                <w:i w:val="0"/>
                <w:sz w:val="17"/>
              </w:rPr>
              <w:t>Ridge Road</w:t>
            </w:r>
          </w:p>
        </w:tc>
        <w:tc>
          <w:tcPr>
            <w:tcW w:type="dxa" w:w="1928"/>
            <w:shd w:val="clear" w:color="auto" w:fill="FAF9F6"/>
          </w:tcPr>
          <w:p>
            <w:pPr>
              <w:spacing w:after="0" w:line="240" w:lineRule="auto"/>
            </w:pPr>
            <w:r/>
            <w:r>
              <w:rPr>
                <w:b w:val="0"/>
                <w:i w:val="0"/>
                <w:sz w:val="17"/>
              </w:rPr>
              <w:t>NFL</w:t>
            </w:r>
          </w:p>
        </w:tc>
        <w:tc>
          <w:tcPr>
            <w:tcW w:type="dxa" w:w="3515"/>
            <w:shd w:val="clear" w:color="auto" w:fill="FAF9F6"/>
          </w:tcPr>
          <w:p>
            <w:pPr>
              <w:spacing w:after="0" w:line="240" w:lineRule="auto"/>
            </w:pPr>
            <w:r/>
            <w:r>
              <w:rPr>
                <w:b w:val="0"/>
                <w:i w:val="0"/>
                <w:sz w:val="17"/>
              </w:rPr>
              <w:t>WN526/225 – Fee simple</w:t>
            </w:r>
          </w:p>
        </w:tc>
        <w:tc>
          <w:tcPr>
            <w:tcW w:type="dxa" w:w="1361"/>
            <w:shd w:val="clear" w:color="auto" w:fill="FAF9F6"/>
          </w:tcPr>
          <w:p>
            <w:pPr>
              <w:spacing w:after="0" w:line="240" w:lineRule="auto"/>
              <w:jc w:val="right"/>
            </w:pPr>
            <w:r/>
            <w:r>
              <w:rPr>
                <w:b w:val="0"/>
                <w:i w:val="0"/>
                <w:sz w:val="17"/>
              </w:rPr>
              <w:t>6.9201</w:t>
            </w:r>
          </w:p>
        </w:tc>
      </w:tr>
      <w:tr>
        <w:tc>
          <w:tcPr>
            <w:tcW w:type="dxa" w:w="1928"/>
          </w:tcPr>
          <w:p>
            <w:pPr>
              <w:spacing w:after="0" w:line="240" w:lineRule="auto"/>
            </w:pPr>
            <w:r/>
            <w:r>
              <w:rPr>
                <w:b w:val="0"/>
                <w:i w:val="0"/>
                <w:sz w:val="17"/>
              </w:rPr>
              <w:t>Ridge Road</w:t>
            </w:r>
          </w:p>
        </w:tc>
        <w:tc>
          <w:tcPr>
            <w:tcW w:type="dxa" w:w="1928"/>
          </w:tcPr>
          <w:p>
            <w:pPr>
              <w:spacing w:after="0" w:line="240" w:lineRule="auto"/>
            </w:pPr>
            <w:r/>
            <w:r>
              <w:rPr>
                <w:b w:val="0"/>
                <w:i w:val="0"/>
                <w:sz w:val="17"/>
              </w:rPr>
              <w:t>NFL</w:t>
            </w:r>
          </w:p>
        </w:tc>
        <w:tc>
          <w:tcPr>
            <w:tcW w:type="dxa" w:w="3515"/>
          </w:tcPr>
          <w:p>
            <w:pPr>
              <w:spacing w:after="0" w:line="240" w:lineRule="auto"/>
            </w:pPr>
            <w:r/>
            <w:r>
              <w:rPr>
                <w:b w:val="0"/>
                <w:i w:val="0"/>
                <w:sz w:val="17"/>
              </w:rPr>
              <w:t>WN8C/173 – Fee simple</w:t>
            </w:r>
          </w:p>
        </w:tc>
        <w:tc>
          <w:tcPr>
            <w:tcW w:type="dxa" w:w="1361"/>
          </w:tcPr>
          <w:p>
            <w:pPr>
              <w:spacing w:after="0" w:line="240" w:lineRule="auto"/>
              <w:jc w:val="right"/>
            </w:pPr>
            <w:r/>
            <w:r>
              <w:rPr>
                <w:b w:val="0"/>
                <w:i w:val="0"/>
                <w:sz w:val="17"/>
              </w:rPr>
              <w:t>185.9531</w:t>
            </w:r>
          </w:p>
        </w:tc>
      </w:tr>
      <w:tr>
        <w:tc>
          <w:tcPr>
            <w:tcW w:type="dxa" w:w="1928"/>
            <w:shd w:val="clear" w:color="auto" w:fill="FAF9F6"/>
          </w:tcPr>
          <w:p>
            <w:pPr>
              <w:spacing w:after="0" w:line="240" w:lineRule="auto"/>
            </w:pPr>
            <w:r/>
            <w:r>
              <w:rPr>
                <w:b w:val="0"/>
                <w:i w:val="0"/>
                <w:sz w:val="17"/>
              </w:rPr>
              <w:t>Tims</w:t>
            </w:r>
          </w:p>
        </w:tc>
        <w:tc>
          <w:tcPr>
            <w:tcW w:type="dxa" w:w="1928"/>
            <w:shd w:val="clear" w:color="auto" w:fill="FAF9F6"/>
          </w:tcPr>
          <w:p>
            <w:pPr>
              <w:spacing w:after="0" w:line="240" w:lineRule="auto"/>
            </w:pPr>
            <w:r/>
            <w:r>
              <w:rPr>
                <w:b w:val="0"/>
                <w:i w:val="0"/>
                <w:sz w:val="17"/>
              </w:rPr>
              <w:t>NFL</w:t>
            </w:r>
          </w:p>
        </w:tc>
        <w:tc>
          <w:tcPr>
            <w:tcW w:type="dxa" w:w="3515"/>
            <w:shd w:val="clear" w:color="auto" w:fill="FAF9F6"/>
          </w:tcPr>
          <w:p>
            <w:pPr>
              <w:spacing w:after="0" w:line="240" w:lineRule="auto"/>
            </w:pPr>
            <w:r/>
            <w:r>
              <w:rPr>
                <w:b w:val="0"/>
                <w:i w:val="0"/>
                <w:sz w:val="17"/>
              </w:rPr>
              <w:t>646771 – Fee simple</w:t>
            </w:r>
          </w:p>
        </w:tc>
        <w:tc>
          <w:tcPr>
            <w:tcW w:type="dxa" w:w="1361"/>
            <w:shd w:val="clear" w:color="auto" w:fill="FAF9F6"/>
          </w:tcPr>
          <w:p>
            <w:pPr>
              <w:spacing w:after="0" w:line="240" w:lineRule="auto"/>
              <w:jc w:val="right"/>
            </w:pPr>
            <w:r/>
            <w:r>
              <w:rPr>
                <w:b w:val="0"/>
                <w:i w:val="0"/>
                <w:sz w:val="17"/>
              </w:rPr>
              <w:t>14.3204</w:t>
            </w:r>
          </w:p>
        </w:tc>
      </w:tr>
      <w:tr>
        <w:tc>
          <w:tcPr>
            <w:tcW w:type="dxa" w:w="1928"/>
          </w:tcPr>
          <w:p>
            <w:pPr>
              <w:spacing w:after="0" w:line="240" w:lineRule="auto"/>
            </w:pPr>
            <w:r/>
            <w:r>
              <w:rPr>
                <w:b w:val="0"/>
                <w:i w:val="0"/>
                <w:sz w:val="17"/>
              </w:rPr>
              <w:t>Pakihi</w:t>
            </w:r>
          </w:p>
        </w:tc>
        <w:tc>
          <w:tcPr>
            <w:tcW w:type="dxa" w:w="1928"/>
          </w:tcPr>
          <w:p>
            <w:pPr>
              <w:spacing w:after="0" w:line="240" w:lineRule="auto"/>
            </w:pPr>
            <w:r/>
            <w:r>
              <w:rPr>
                <w:b w:val="0"/>
                <w:i w:val="0"/>
                <w:sz w:val="17"/>
              </w:rPr>
              <w:t>NFL</w:t>
            </w:r>
          </w:p>
        </w:tc>
        <w:tc>
          <w:tcPr>
            <w:tcW w:type="dxa" w:w="3515"/>
          </w:tcPr>
          <w:p>
            <w:pPr>
              <w:spacing w:after="0" w:line="240" w:lineRule="auto"/>
            </w:pPr>
            <w:r/>
            <w:r>
              <w:rPr>
                <w:b w:val="0"/>
                <w:i w:val="0"/>
                <w:sz w:val="17"/>
              </w:rPr>
              <w:t>GS5C/1448 – Fee simple</w:t>
            </w:r>
          </w:p>
        </w:tc>
        <w:tc>
          <w:tcPr>
            <w:tcW w:type="dxa" w:w="1361"/>
          </w:tcPr>
          <w:p>
            <w:pPr>
              <w:spacing w:after="0" w:line="240" w:lineRule="auto"/>
              <w:jc w:val="right"/>
            </w:pPr>
            <w:r/>
            <w:r>
              <w:rPr>
                <w:b w:val="0"/>
                <w:i w:val="0"/>
                <w:sz w:val="17"/>
              </w:rPr>
              <w:t>57.4906</w:t>
            </w:r>
          </w:p>
        </w:tc>
      </w:tr>
      <w:tr>
        <w:tc>
          <w:tcPr>
            <w:tcW w:type="dxa" w:w="1928"/>
            <w:shd w:val="clear" w:color="auto" w:fill="FAF9F6"/>
          </w:tcPr>
          <w:p>
            <w:pPr>
              <w:spacing w:after="0" w:line="240" w:lineRule="auto"/>
            </w:pPr>
            <w:r/>
            <w:r>
              <w:rPr>
                <w:b w:val="0"/>
                <w:i w:val="0"/>
                <w:sz w:val="17"/>
              </w:rPr>
              <w:t>Pakihi</w:t>
            </w:r>
          </w:p>
        </w:tc>
        <w:tc>
          <w:tcPr>
            <w:tcW w:type="dxa" w:w="1928"/>
            <w:shd w:val="clear" w:color="auto" w:fill="FAF9F6"/>
          </w:tcPr>
          <w:p>
            <w:pPr>
              <w:spacing w:after="0" w:line="240" w:lineRule="auto"/>
            </w:pPr>
            <w:r/>
            <w:r>
              <w:rPr>
                <w:b w:val="0"/>
                <w:i w:val="0"/>
                <w:sz w:val="17"/>
              </w:rPr>
              <w:t>NFL</w:t>
            </w:r>
          </w:p>
        </w:tc>
        <w:tc>
          <w:tcPr>
            <w:tcW w:type="dxa" w:w="3515"/>
            <w:shd w:val="clear" w:color="auto" w:fill="FAF9F6"/>
          </w:tcPr>
          <w:p>
            <w:pPr>
              <w:spacing w:after="0" w:line="240" w:lineRule="auto"/>
            </w:pPr>
            <w:r/>
            <w:r>
              <w:rPr>
                <w:b w:val="0"/>
                <w:i w:val="0"/>
                <w:sz w:val="17"/>
              </w:rPr>
              <w:t>GS6C/1378 – Fee simple</w:t>
            </w:r>
          </w:p>
        </w:tc>
        <w:tc>
          <w:tcPr>
            <w:tcW w:type="dxa" w:w="1361"/>
            <w:shd w:val="clear" w:color="auto" w:fill="FAF9F6"/>
          </w:tcPr>
          <w:p>
            <w:pPr>
              <w:spacing w:after="0" w:line="240" w:lineRule="auto"/>
              <w:jc w:val="right"/>
            </w:pPr>
            <w:r/>
            <w:r>
              <w:rPr>
                <w:b w:val="0"/>
                <w:i w:val="0"/>
                <w:sz w:val="17"/>
              </w:rPr>
              <w:t>191.6400</w:t>
            </w:r>
          </w:p>
        </w:tc>
      </w:tr>
      <w:tr>
        <w:tc>
          <w:tcPr>
            <w:tcW w:type="dxa" w:w="1928"/>
          </w:tcPr>
          <w:p>
            <w:pPr>
              <w:spacing w:after="0" w:line="240" w:lineRule="auto"/>
            </w:pPr>
            <w:r/>
            <w:r>
              <w:rPr>
                <w:b w:val="0"/>
                <w:i w:val="0"/>
                <w:sz w:val="17"/>
              </w:rPr>
              <w:t>Pakihi</w:t>
            </w:r>
          </w:p>
        </w:tc>
        <w:tc>
          <w:tcPr>
            <w:tcW w:type="dxa" w:w="1928"/>
          </w:tcPr>
          <w:p>
            <w:pPr>
              <w:spacing w:after="0" w:line="240" w:lineRule="auto"/>
            </w:pPr>
            <w:r/>
            <w:r>
              <w:rPr>
                <w:b w:val="0"/>
                <w:i w:val="0"/>
                <w:sz w:val="17"/>
              </w:rPr>
              <w:t>NFL</w:t>
            </w:r>
          </w:p>
        </w:tc>
        <w:tc>
          <w:tcPr>
            <w:tcW w:type="dxa" w:w="3515"/>
          </w:tcPr>
          <w:p>
            <w:pPr>
              <w:spacing w:after="0" w:line="240" w:lineRule="auto"/>
            </w:pPr>
            <w:r/>
            <w:r>
              <w:rPr>
                <w:b w:val="0"/>
                <w:i w:val="0"/>
                <w:sz w:val="17"/>
              </w:rPr>
              <w:t>GS6C/1379 – Fee simple</w:t>
            </w:r>
          </w:p>
        </w:tc>
        <w:tc>
          <w:tcPr>
            <w:tcW w:type="dxa" w:w="1361"/>
          </w:tcPr>
          <w:p>
            <w:pPr>
              <w:spacing w:after="0" w:line="240" w:lineRule="auto"/>
              <w:jc w:val="right"/>
            </w:pPr>
            <w:r/>
            <w:r>
              <w:rPr>
                <w:b w:val="0"/>
                <w:i w:val="0"/>
                <w:sz w:val="17"/>
              </w:rPr>
              <w:t>191.6200</w:t>
            </w:r>
          </w:p>
        </w:tc>
      </w:tr>
      <w:tr>
        <w:tc>
          <w:tcPr>
            <w:tcW w:type="dxa" w:w="1928"/>
            <w:shd w:val="clear" w:color="auto" w:fill="FAF9F6"/>
          </w:tcPr>
          <w:p>
            <w:pPr>
              <w:spacing w:after="0" w:line="240" w:lineRule="auto"/>
            </w:pPr>
            <w:r/>
            <w:r>
              <w:rPr>
                <w:b w:val="0"/>
                <w:i w:val="0"/>
                <w:sz w:val="17"/>
              </w:rPr>
              <w:t>Pakihi</w:t>
            </w:r>
          </w:p>
        </w:tc>
        <w:tc>
          <w:tcPr>
            <w:tcW w:type="dxa" w:w="1928"/>
            <w:shd w:val="clear" w:color="auto" w:fill="FAF9F6"/>
          </w:tcPr>
          <w:p>
            <w:pPr>
              <w:spacing w:after="0" w:line="240" w:lineRule="auto"/>
            </w:pPr>
            <w:r/>
            <w:r>
              <w:rPr>
                <w:b w:val="0"/>
                <w:i w:val="0"/>
                <w:sz w:val="17"/>
              </w:rPr>
              <w:t>NFL</w:t>
            </w:r>
          </w:p>
        </w:tc>
        <w:tc>
          <w:tcPr>
            <w:tcW w:type="dxa" w:w="3515"/>
            <w:shd w:val="clear" w:color="auto" w:fill="FAF9F6"/>
          </w:tcPr>
          <w:p>
            <w:pPr>
              <w:spacing w:after="0" w:line="240" w:lineRule="auto"/>
            </w:pPr>
            <w:r/>
            <w:r>
              <w:rPr>
                <w:b w:val="0"/>
                <w:i w:val="0"/>
                <w:sz w:val="17"/>
              </w:rPr>
              <w:t>GS6C/1380 – Fee simple</w:t>
            </w:r>
          </w:p>
        </w:tc>
        <w:tc>
          <w:tcPr>
            <w:tcW w:type="dxa" w:w="1361"/>
            <w:shd w:val="clear" w:color="auto" w:fill="FAF9F6"/>
          </w:tcPr>
          <w:p>
            <w:pPr>
              <w:spacing w:after="0" w:line="240" w:lineRule="auto"/>
              <w:jc w:val="right"/>
            </w:pPr>
            <w:r/>
            <w:r>
              <w:rPr>
                <w:b w:val="0"/>
                <w:i w:val="0"/>
                <w:sz w:val="17"/>
              </w:rPr>
              <w:t>4.8461</w:t>
            </w:r>
          </w:p>
        </w:tc>
      </w:tr>
      <w:tr>
        <w:tc>
          <w:tcPr>
            <w:tcW w:type="dxa" w:w="1928"/>
          </w:tcPr>
          <w:p>
            <w:pPr>
              <w:spacing w:after="0" w:line="240" w:lineRule="auto"/>
            </w:pPr>
            <w:r/>
            <w:r>
              <w:rPr>
                <w:b w:val="0"/>
                <w:i w:val="0"/>
                <w:sz w:val="17"/>
              </w:rPr>
              <w:t>Total</w:t>
            </w:r>
          </w:p>
        </w:tc>
        <w:tc>
          <w:tcPr>
            <w:tcW w:type="dxa" w:w="1928"/>
          </w:tcPr>
          <w:p>
            <w:pPr>
              <w:spacing w:after="0" w:line="240" w:lineRule="auto"/>
            </w:pPr>
            <w:r/>
          </w:p>
        </w:tc>
        <w:tc>
          <w:tcPr>
            <w:tcW w:type="dxa" w:w="3515"/>
          </w:tcPr>
          <w:p>
            <w:pPr>
              <w:spacing w:after="0" w:line="240" w:lineRule="auto"/>
            </w:pPr>
            <w:r/>
            <w:r>
              <w:rPr>
                <w:b w:val="0"/>
                <w:i w:val="0"/>
                <w:sz w:val="17"/>
              </w:rPr>
              <w:t>56 titles</w:t>
            </w:r>
          </w:p>
        </w:tc>
        <w:tc>
          <w:tcPr>
            <w:tcW w:type="dxa" w:w="1361"/>
          </w:tcPr>
          <w:p>
            <w:pPr>
              <w:spacing w:after="0" w:line="240" w:lineRule="auto"/>
              <w:jc w:val="right"/>
            </w:pPr>
            <w:r/>
            <w:r>
              <w:rPr>
                <w:b w:val="0"/>
                <w:i w:val="0"/>
                <w:sz w:val="17"/>
              </w:rPr>
              <w:t>13,831.9606</w:t>
            </w:r>
          </w:p>
        </w:tc>
      </w:tr>
      <w:tr>
        <w:tc>
          <w:tcPr>
            <w:tcW w:type="dxa" w:w="1928"/>
            <w:shd w:val="clear" w:color="auto" w:fill="FAF9F6"/>
          </w:tcPr>
          <w:p>
            <w:pPr>
              <w:spacing w:after="0" w:line="240" w:lineRule="auto"/>
            </w:pPr>
            <w:r/>
            <w:r>
              <w:rPr>
                <w:b w:val="0"/>
                <w:i w:val="0"/>
                <w:sz w:val="17"/>
              </w:rPr>
              <w:t>Soldiers Road</w:t>
            </w:r>
          </w:p>
        </w:tc>
        <w:tc>
          <w:tcPr>
            <w:tcW w:type="dxa" w:w="1928"/>
            <w:shd w:val="clear" w:color="auto" w:fill="FAF9F6"/>
          </w:tcPr>
          <w:p>
            <w:pPr>
              <w:spacing w:after="0" w:line="240" w:lineRule="auto"/>
            </w:pPr>
            <w:r/>
            <w:r>
              <w:rPr>
                <w:b w:val="0"/>
                <w:i w:val="0"/>
                <w:sz w:val="17"/>
              </w:rPr>
              <w:t>Forestry Right 12717687.19 (NFL)</w:t>
            </w:r>
          </w:p>
        </w:tc>
        <w:tc>
          <w:tcPr>
            <w:tcW w:type="dxa" w:w="3515"/>
            <w:shd w:val="clear" w:color="auto" w:fill="FAF9F6"/>
          </w:tcPr>
          <w:p>
            <w:pPr>
              <w:spacing w:after="0" w:line="240" w:lineRule="auto"/>
            </w:pPr>
            <w:r/>
            <w:r>
              <w:rPr>
                <w:b w:val="0"/>
                <w:i w:val="0"/>
                <w:sz w:val="17"/>
              </w:rPr>
              <w:t>153235 – fee simple, Land &amp; Bee's Limited (land not included)</w:t>
            </w:r>
          </w:p>
        </w:tc>
        <w:tc>
          <w:tcPr>
            <w:tcW w:type="dxa" w:w="1361"/>
            <w:shd w:val="clear" w:color="auto" w:fill="FAF9F6"/>
          </w:tcPr>
          <w:p>
            <w:pPr>
              <w:spacing w:after="0" w:line="240" w:lineRule="auto"/>
              <w:jc w:val="right"/>
            </w:pPr>
            <w:r/>
            <w:r>
              <w:rPr>
                <w:b w:val="0"/>
                <w:i w:val="0"/>
                <w:sz w:val="17"/>
              </w:rPr>
              <w:t>(362.1936)</w:t>
            </w:r>
          </w:p>
        </w:tc>
      </w:tr>
    </w:tbl>
    <w:p>
      <w:pPr>
        <w:spacing w:after="40"/>
      </w:pPr>
    </w:p>
    <w:p>
      <w:pPr>
        <w:pStyle w:val="Heading1"/>
      </w:pPr>
      <w:r>
        <w:t>Appendix B  Items to confirm before release</w:t>
      </w:r>
    </w:p>
    <w:p>
      <w:pPr>
        <w:pStyle w:val="ListBullet"/>
        <w:spacing w:after="40"/>
      </w:pPr>
      <w:r>
        <w:rPr>
          <w:b w:val="0"/>
          <w:i w:val="0"/>
        </w:rPr>
        <w:t>Confirmation that the 2026 replanting and blanking programme is complete, with completion certificates, survival plots and the independent third-party review (Cam Eyre).</w:t>
      </w:r>
    </w:p>
    <w:p>
      <w:pPr>
        <w:pStyle w:val="ListBullet"/>
        <w:spacing w:after="40"/>
      </w:pPr>
      <w:r>
        <w:rPr>
          <w:b w:val="0"/>
          <w:i w:val="0"/>
        </w:rPr>
        <w:t>Stand records: species, planting year and net stocked area by stand for every block (Stand / Ross Larcombe), replacing the ETS CAA planting years used here.</w:t>
      </w:r>
    </w:p>
    <w:p>
      <w:pPr>
        <w:pStyle w:val="ListBullet"/>
        <w:spacing w:after="40"/>
      </w:pPr>
      <w:r>
        <w:rPr>
          <w:b w:val="0"/>
          <w:i w:val="0"/>
        </w:rPr>
        <w:t>NZU holding account balances for NFL and Makowhai Station, reconciliation of units sold or transferred, NZGT trustee documentation, and the agreed wording on the 1.6 million-unit forward sale.</w:t>
      </w:r>
    </w:p>
    <w:p>
      <w:pPr>
        <w:pStyle w:val="ListBullet"/>
        <w:spacing w:after="40"/>
      </w:pPr>
      <w:r>
        <w:rPr>
          <w:b w:val="0"/>
          <w:i w:val="0"/>
        </w:rPr>
        <w:t>Copies of Forestry Rights 12717687.18 and 12717687.19: term, rent, carbon and harvest provisions, and the registered CAA areas under each.</w:t>
      </w:r>
    </w:p>
    <w:p>
      <w:pPr>
        <w:pStyle w:val="ListBullet"/>
        <w:spacing w:after="40"/>
      </w:pPr>
      <w:r>
        <w:rPr>
          <w:b w:val="0"/>
          <w:i w:val="0"/>
        </w:rPr>
        <w:t>Crown lease rent, review and assignment requirements for 948076 and 948077.</w:t>
      </w:r>
    </w:p>
    <w:p>
      <w:pPr>
        <w:pStyle w:val="ListBullet"/>
        <w:spacing w:after="40"/>
      </w:pPr>
      <w:r>
        <w:rPr>
          <w:b w:val="0"/>
          <w:i w:val="0"/>
        </w:rPr>
        <w:t>Schedule of dwellings and farm buildings by block with condition and occupancy (Stand to verify); confirmation that the former owner's residence is outside the sale titles.</w:t>
      </w:r>
    </w:p>
    <w:p>
      <w:pPr>
        <w:pStyle w:val="ListBullet"/>
        <w:spacing w:after="40"/>
      </w:pPr>
      <w:r>
        <w:rPr>
          <w:b w:val="0"/>
          <w:i w:val="0"/>
        </w:rPr>
        <w:t>Rating valuations and annual rates for all 56 titles; territorial authority and zoning per title.</w:t>
      </w:r>
    </w:p>
    <w:p>
      <w:pPr>
        <w:pStyle w:val="ListBullet"/>
        <w:spacing w:after="40"/>
      </w:pPr>
      <w:r>
        <w:rPr>
          <w:b w:val="0"/>
          <w:i w:val="0"/>
        </w:rPr>
        <w:t>Legal access details and easements; practical access arrangements through the Dobson, Larson and Wood Country properties.</w:t>
      </w:r>
    </w:p>
    <w:p>
      <w:pPr>
        <w:pStyle w:val="ListBullet"/>
        <w:spacing w:after="40"/>
      </w:pPr>
      <w:r>
        <w:rPr>
          <w:b w:val="0"/>
          <w:i w:val="0"/>
        </w:rPr>
        <w:t>Climate (NIWA sunshine, temperature, rainfall), LUC and aspect data for the land-characteristics page.</w:t>
      </w:r>
    </w:p>
    <w:p>
      <w:pPr>
        <w:pStyle w:val="ListBullet"/>
        <w:spacing w:after="40"/>
      </w:pPr>
      <w:r>
        <w:rPr>
          <w:b w:val="0"/>
          <w:i w:val="0"/>
        </w:rPr>
        <w:t>Moonys: nature of the ~114 ha mapped as exotic cover. Pakihi: land cover on the ground.</w:t>
      </w:r>
    </w:p>
    <w:p>
      <w:pPr>
        <w:pStyle w:val="ListBullet"/>
        <w:spacing w:after="40"/>
      </w:pPr>
      <w:r>
        <w:rPr>
          <w:b w:val="0"/>
          <w:i w:val="0"/>
        </w:rPr>
        <w:t>Marketing position on the Pukekahu Farms lease (retain, or terminate before settlement).</w:t>
      </w:r>
    </w:p>
    <w:p>
      <w:pPr>
        <w:pStyle w:val="ListBullet"/>
        <w:spacing w:after="40"/>
      </w:pPr>
      <w:r>
        <w:rPr>
          <w:b w:val="0"/>
          <w:i w:val="0"/>
        </w:rPr>
        <w:t>EOI closing date, time and data room link; brand (Searle Forestry vs Searle Agribusiness) for the layout.</w:t>
      </w:r>
    </w:p>
    <w:p>
      <w:pPr>
        <w:pStyle w:val="Heading1"/>
      </w:pPr>
      <w:r>
        <w:t>Appendix C  Sources</w:t>
      </w:r>
    </w:p>
    <w:p>
      <w:pPr>
        <w:pStyle w:val="ListBullet"/>
        <w:spacing w:after="40"/>
      </w:pPr>
      <w:r>
        <w:rPr>
          <w:b w:val="0"/>
          <w:i w:val="0"/>
        </w:rPr>
        <w:t>Searle Forestry, Nivarna Farms Appraisal for Vitol, July 2026, and Staghaven appraisal addendum, September 2026 – land-cover and slope mapping by block (internal; values not reproduced).</w:t>
      </w:r>
    </w:p>
    <w:p>
      <w:pPr>
        <w:pStyle w:val="ListBullet"/>
        <w:spacing w:after="40"/>
      </w:pPr>
      <w:r>
        <w:rPr>
          <w:b w:val="0"/>
          <w:i w:val="0"/>
        </w:rPr>
        <w:t>PF Olsen, Nirvana Farm Limited Ground Survey, 23 April 2026 – planted areas, survival, 2026 replanting and blanking programme, access and pest notes.</w:t>
      </w:r>
    </w:p>
    <w:p>
      <w:pPr>
        <w:pStyle w:val="ListBullet"/>
        <w:spacing w:after="40"/>
      </w:pPr>
      <w:r>
        <w:rPr>
          <w:b w:val="0"/>
          <w:i w:val="0"/>
        </w:rPr>
        <w:t>MPI land status reports – Nirvana Farm Limited (28 September 2026) and Makowhai Station (August 2025); CAA geospatial data 27 September 2026; section 194A notices.</w:t>
      </w:r>
    </w:p>
    <w:p>
      <w:pPr>
        <w:pStyle w:val="ListBullet"/>
        <w:spacing w:after="40"/>
      </w:pPr>
      <w:r>
        <w:rPr>
          <w:b w:val="0"/>
          <w:i w:val="0"/>
        </w:rPr>
        <w:t>CBRE, Market Valuation TAR-282069, 14 October 2024 – addresses, land classes, improvement values, carbon forward sale (internal; values not reproduced).</w:t>
      </w:r>
    </w:p>
    <w:p>
      <w:pPr>
        <w:pStyle w:val="ListBullet"/>
        <w:spacing w:after="40"/>
      </w:pPr>
      <w:r>
        <w:rPr>
          <w:b w:val="0"/>
          <w:i w:val="0"/>
        </w:rPr>
        <w:t>Agency agreements, Nirvana Farm Limited (In Receivership) and Makowhai Trust land (Receivers), September 2026 – title schedules and scope.</w:t>
      </w:r>
    </w:p>
    <w:p>
      <w:pPr>
        <w:pStyle w:val="ListBullet"/>
        <w:spacing w:after="40"/>
      </w:pPr>
      <w:r>
        <w:rPr>
          <w:b w:val="0"/>
          <w:i w:val="0"/>
        </w:rPr>
        <w:t>Vitol – Nirvana Farm prepayment facility security summary; LINZ title and instrument searches (October 2026).</w:t>
      </w:r>
    </w:p>
    <w:p>
      <w:pPr>
        <w:pStyle w:val="ListBullet"/>
        <w:spacing w:after="40"/>
      </w:pPr>
      <w:r>
        <w:rPr>
          <w:b w:val="0"/>
          <w:i w:val="0"/>
        </w:rPr>
        <w:t>Deed of Lease of Farmland – Pukekahu Farms Limited (2025); Crown renewable leases 948076 and 948077.</w:t>
      </w:r>
    </w:p>
    <w:p>
      <w:pPr>
        <w:pStyle w:val="ListBullet"/>
        <w:spacing w:after="40"/>
      </w:pPr>
      <w:r>
        <w:rPr>
          <w:b w:val="0"/>
          <w:i w:val="0"/>
        </w:rPr>
        <w:t>Stakeholder introduction meeting notes (McGrathNicol, Vitol, Searle Forestry), September 2026.</w:t>
      </w:r>
    </w:p>
    <w:sectPr w:rsidR="00FC693F" w:rsidRPr="0006063C" w:rsidSect="00034616">
      <w:footerReference w:type="default" r:id="rId15"/>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0"/>
        <w:sz w:val="16"/>
      </w:rPr>
      <w:t xml:space="preserve">Nirvana Farms – IM content draft v1 · Searle Forestry · Confidential · Page </w:t>
    </w: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eastAsia="Calibri"/>
      <w:b/>
      <w:bCs/>
      <w:color w:val="37441D"/>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37441D"/>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eastAsia="Calibri"/>
      <w:b/>
      <w:bCs/>
      <w:color w:val="717D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