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72354"/>
          <w:sz w:val="32"/>
        </w:rPr>
        <w:t>455 WEST COAST ROAD, TE KŌPURU — INFORMATION MEMORANDUM</w:t>
      </w:r>
    </w:p>
    <w:p>
      <w:r>
        <w:rPr>
          <w:color w:val="5A6069"/>
        </w:rPr>
        <w:t>Change list for Anna — review of “Dargaville IM Draft.pdf” (13 pages) · 16 September 2026 · Warwick Searle / Clint Brereton</w:t>
      </w:r>
    </w:p>
    <w:p>
      <w:r>
        <w:rPr>
          <w:b/>
          <w:color w:val="072354"/>
          <w:sz w:val="24"/>
        </w:rPr>
        <w:t>Summary</w:t>
      </w:r>
    </w:p>
    <w:p>
      <w:r>
        <w:t>The draft has been laid out from Clint’s first content draft (v1) on the Jelldale forestry template. Three things need doing:</w:t>
      </w:r>
    </w:p>
    <w:p>
      <w:pPr>
        <w:pStyle w:val="ListBullet"/>
      </w:pPr>
      <w:r>
        <w:t>Replace every forestry reference — logo, names, titles, template pages (TOC, LUC and aspect charts, climate tiles, Northport) — with the Searle Agribusiness equivalents listed below.</w:t>
      </w:r>
    </w:p>
    <w:p>
      <w:pPr>
        <w:pStyle w:val="ListBullet"/>
      </w:pPr>
      <w:r>
        <w:t>Re-flow the copy from the v2 content draft (455_West_Coast_Road_IM_Content_Draft_v2.docx, same folder). v2 fixes facts the v1 copy gets wrong or omits — most importantly that the runoff is leased and not part of the title, which is not disclosed anywhere in the current draft. The section-by-section list is in Part B.</w:t>
      </w:r>
    </w:p>
    <w:p>
      <w:pPr>
        <w:pStyle w:val="ListBullet"/>
      </w:pPr>
      <w:r>
        <w:t>Tidy the consistency, grammar and spelling points in Part C.</w:t>
      </w:r>
    </w:p>
    <w:p>
      <w:r>
        <w:rPr>
          <w:i/>
          <w:color w:val="5A6069"/>
        </w:rPr>
        <w:t>Colour key in the v2 docx: yellow = changed since v1 (Clint has checked), red [CONFIRM] = still waiting on the vendor, grey boxes = internal notes — do not typeset those.</w:t>
      </w:r>
    </w:p>
    <w:p>
      <w:pPr>
        <w:pStyle w:val="Heading1"/>
      </w:pPr>
      <w:r>
        <w:rPr>
          <w:color w:val="072354"/>
        </w:rPr>
        <w:t>Part A — Forestry references and template leftovers</w:t>
      </w:r>
    </w:p>
    <w:p>
      <w:r>
        <w:rPr>
          <w:b/>
        </w:rPr>
        <w:t>Branding and contacts (applies to every page where they appear)</w:t>
      </w:r>
    </w:p>
    <w:tbl>
      <w:tblPr>
        <w:tblStyle w:val="TableGrid"/>
        <w:tblW w:type="auto" w:w="0"/>
        <w:tblLook w:firstColumn="1" w:firstRow="1" w:lastColumn="0" w:lastRow="0" w:noHBand="0" w:noVBand="1" w:val="04A0"/>
      </w:tblPr>
      <w:tblGrid>
        <w:gridCol w:w="4986"/>
        <w:gridCol w:w="4986"/>
      </w:tblGrid>
      <w:tr>
        <w:tc>
          <w:tcPr>
            <w:tcW w:type="dxa" w:w="2835"/>
            <w:shd w:val="clear" w:color="auto" w:fill="072354"/>
          </w:tcPr>
          <w:p>
            <w:r>
              <w:rPr>
                <w:b/>
                <w:color w:val="FFFFFF"/>
                <w:sz w:val="19"/>
              </w:rPr>
              <w:t>Item</w:t>
            </w:r>
          </w:p>
        </w:tc>
        <w:tc>
          <w:tcPr>
            <w:tcW w:type="dxa" w:w="6803"/>
            <w:shd w:val="clear" w:color="auto" w:fill="072354"/>
          </w:tcPr>
          <w:p>
            <w:r>
              <w:rPr>
                <w:b/>
                <w:color w:val="FFFFFF"/>
                <w:sz w:val="19"/>
              </w:rPr>
              <w:t>Change</w:t>
            </w:r>
          </w:p>
        </w:tc>
      </w:tr>
      <w:tr>
        <w:tc>
          <w:tcPr>
            <w:tcW w:type="dxa" w:w="2835"/>
            <w:shd w:val="clear" w:color="auto" w:fill="F2F5F8"/>
          </w:tcPr>
          <w:p>
            <w:r>
              <w:rPr>
                <w:b/>
                <w:sz w:val="19"/>
              </w:rPr>
              <w:t>Logo (cover, p13 header)</w:t>
            </w:r>
          </w:p>
        </w:tc>
        <w:tc>
          <w:tcPr>
            <w:tcW w:type="dxa" w:w="6803"/>
            <w:shd w:val="clear" w:color="auto" w:fill="F2F5F8"/>
          </w:tcPr>
          <w:p>
            <w:r>
              <w:rPr>
                <w:strike/>
                <w:color w:val="5A6069"/>
                <w:sz w:val="19"/>
              </w:rPr>
              <w:t>Searle Forestry wordmark</w:t>
            </w:r>
            <w:r>
              <w:rPr>
                <w:sz w:val="19"/>
              </w:rPr>
              <w:t xml:space="preserve">  →  </w:t>
            </w:r>
            <w:r>
              <w:rPr>
                <w:b/>
                <w:sz w:val="19"/>
              </w:rPr>
              <w:t>Searle Agribusiness wordmark — Admin\Marketing\Logos\Logos PNG\agri.png (light-on-dark version in Properties\Dargaville Dairy\Claude\map\brand\agri_for_dark_bg.png)</w:t>
            </w:r>
          </w:p>
        </w:tc>
      </w:tr>
      <w:tr>
        <w:tc>
          <w:tcPr>
            <w:tcW w:type="dxa" w:w="2835"/>
            <w:shd w:val="clear" w:color="auto" w:fill="FFFFFF"/>
          </w:tcPr>
          <w:p>
            <w:r>
              <w:rPr>
                <w:b/>
                <w:sz w:val="19"/>
              </w:rPr>
              <w:t>Company name in copy (p2 ×2, p4, p13 ×4)</w:t>
            </w:r>
          </w:p>
        </w:tc>
        <w:tc>
          <w:tcPr>
            <w:tcW w:type="dxa" w:w="6803"/>
            <w:shd w:val="clear" w:color="auto" w:fill="FFFFFF"/>
          </w:tcPr>
          <w:p>
            <w:r>
              <w:rPr>
                <w:strike/>
                <w:color w:val="5A6069"/>
                <w:sz w:val="19"/>
              </w:rPr>
              <w:t>Searle Forestry</w:t>
            </w:r>
            <w:r>
              <w:rPr>
                <w:sz w:val="19"/>
              </w:rPr>
              <w:t xml:space="preserve">  →  </w:t>
            </w:r>
            <w:r>
              <w:rPr>
                <w:b/>
                <w:sz w:val="19"/>
              </w:rPr>
              <w:t>Searle Agribusiness</w:t>
            </w:r>
          </w:p>
        </w:tc>
      </w:tr>
      <w:tr>
        <w:tc>
          <w:tcPr>
            <w:tcW w:type="dxa" w:w="2835"/>
            <w:shd w:val="clear" w:color="auto" w:fill="F2F5F8"/>
          </w:tcPr>
          <w:p>
            <w:r>
              <w:rPr>
                <w:b/>
                <w:sz w:val="19"/>
              </w:rPr>
              <w:t>Legal line (p13 disclaimer)</w:t>
            </w:r>
          </w:p>
        </w:tc>
        <w:tc>
          <w:tcPr>
            <w:tcW w:type="dxa" w:w="6803"/>
            <w:shd w:val="clear" w:color="auto" w:fill="F2F5F8"/>
          </w:tcPr>
          <w:p>
            <w:r>
              <w:rPr>
                <w:strike/>
                <w:color w:val="5A6069"/>
                <w:sz w:val="19"/>
              </w:rPr>
              <w:t>Forestry Sales Limited.</w:t>
            </w:r>
            <w:r>
              <w:rPr>
                <w:sz w:val="19"/>
              </w:rPr>
              <w:t xml:space="preserve">  →  </w:t>
            </w:r>
            <w:r>
              <w:rPr>
                <w:b/>
                <w:sz w:val="19"/>
              </w:rPr>
              <w:t>Forestry Sales Limited trading as Searle Agribusiness. Licensed under the Real Estate Agents Act 2008.</w:t>
            </w:r>
          </w:p>
        </w:tc>
      </w:tr>
      <w:tr>
        <w:tc>
          <w:tcPr>
            <w:tcW w:type="dxa" w:w="2835"/>
            <w:shd w:val="clear" w:color="auto" w:fill="FFFFFF"/>
          </w:tcPr>
          <w:p>
            <w:r>
              <w:rPr>
                <w:b/>
                <w:sz w:val="19"/>
              </w:rPr>
              <w:t>Warwick’s title (p13)</w:t>
            </w:r>
          </w:p>
        </w:tc>
        <w:tc>
          <w:tcPr>
            <w:tcW w:type="dxa" w:w="6803"/>
            <w:shd w:val="clear" w:color="auto" w:fill="FFFFFF"/>
          </w:tcPr>
          <w:p>
            <w:r>
              <w:rPr>
                <w:strike/>
                <w:color w:val="5A6069"/>
                <w:sz w:val="19"/>
              </w:rPr>
              <w:t>National Director Forestry</w:t>
            </w:r>
            <w:r>
              <w:rPr>
                <w:sz w:val="19"/>
              </w:rPr>
              <w:t xml:space="preserve">  →  </w:t>
            </w:r>
            <w:r>
              <w:rPr>
                <w:b/>
                <w:sz w:val="19"/>
              </w:rPr>
              <w:t>National Director Agribusiness</w:t>
            </w:r>
          </w:p>
        </w:tc>
      </w:tr>
      <w:tr>
        <w:tc>
          <w:tcPr>
            <w:tcW w:type="dxa" w:w="2835"/>
            <w:shd w:val="clear" w:color="auto" w:fill="F2F5F8"/>
          </w:tcPr>
          <w:p>
            <w:r>
              <w:rPr>
                <w:b/>
                <w:sz w:val="19"/>
              </w:rPr>
              <w:t>George / James titles (p13)</w:t>
            </w:r>
          </w:p>
        </w:tc>
        <w:tc>
          <w:tcPr>
            <w:tcW w:type="dxa" w:w="6803"/>
            <w:shd w:val="clear" w:color="auto" w:fill="F2F5F8"/>
          </w:tcPr>
          <w:p>
            <w:r>
              <w:rPr>
                <w:strike/>
                <w:color w:val="5A6069"/>
                <w:sz w:val="19"/>
              </w:rPr>
              <w:t>Forestry Advisor</w:t>
            </w:r>
            <w:r>
              <w:rPr>
                <w:sz w:val="19"/>
              </w:rPr>
              <w:t xml:space="preserve">  →  </w:t>
            </w:r>
            <w:r>
              <w:rPr>
                <w:b/>
                <w:sz w:val="19"/>
              </w:rPr>
              <w:t>Rural Advisor</w:t>
            </w:r>
          </w:p>
        </w:tc>
      </w:tr>
      <w:tr>
        <w:tc>
          <w:tcPr>
            <w:tcW w:type="dxa" w:w="2835"/>
            <w:shd w:val="clear" w:color="auto" w:fill="FFFFFF"/>
          </w:tcPr>
          <w:p>
            <w:r>
              <w:rPr>
                <w:b/>
                <w:sz w:val="19"/>
              </w:rPr>
              <w:t>Email addresses (p13, p2)</w:t>
            </w:r>
          </w:p>
        </w:tc>
        <w:tc>
          <w:tcPr>
            <w:tcW w:type="dxa" w:w="6803"/>
            <w:shd w:val="clear" w:color="auto" w:fill="FFFFFF"/>
          </w:tcPr>
          <w:p>
            <w:r>
              <w:rPr>
                <w:strike/>
                <w:color w:val="5A6069"/>
                <w:sz w:val="19"/>
              </w:rPr>
              <w:t>@forestrysales.co.nz</w:t>
            </w:r>
            <w:r>
              <w:rPr>
                <w:sz w:val="19"/>
              </w:rPr>
              <w:t xml:space="preserve">  →  </w:t>
            </w:r>
            <w:r>
              <w:rPr>
                <w:b/>
                <w:sz w:val="19"/>
              </w:rPr>
              <w:t>@searleagri.co.nz for all Searle team members — warwick@searleagri.co.nz, george@searleagri.co.nz, james@searleagri.co.nz</w:t>
            </w:r>
          </w:p>
        </w:tc>
      </w:tr>
      <w:tr>
        <w:tc>
          <w:tcPr>
            <w:tcW w:type="dxa" w:w="2835"/>
            <w:shd w:val="clear" w:color="auto" w:fill="F2F5F8"/>
          </w:tcPr>
          <w:p>
            <w:r>
              <w:rPr>
                <w:b/>
                <w:sz w:val="19"/>
              </w:rPr>
              <w:t>Clint Brereton (p4 enquiries line, p13 Contact Us)</w:t>
            </w:r>
          </w:p>
        </w:tc>
        <w:tc>
          <w:tcPr>
            <w:tcW w:type="dxa" w:w="6803"/>
            <w:shd w:val="clear" w:color="auto" w:fill="F2F5F8"/>
          </w:tcPr>
          <w:p>
            <w:r>
              <w:rPr>
                <w:sz w:val="19"/>
              </w:rPr>
              <w:t>Add Clint as the first contact — Sales Specialist, Farms &amp; Lifestyle, Colliers · +64 27 897 1161 · Clint.Brereton@colliers.com. This is a joint Searle Agribusiness / Colliers campaign; Clint is the primary point of contact. Add the Colliers logo alongside ours on the cover and p13.</w:t>
            </w:r>
          </w:p>
        </w:tc>
      </w:tr>
      <w:tr>
        <w:tc>
          <w:tcPr>
            <w:tcW w:type="dxa" w:w="2835"/>
            <w:shd w:val="clear" w:color="auto" w:fill="FFFFFF"/>
          </w:tcPr>
          <w:p>
            <w:r>
              <w:rPr>
                <w:b/>
                <w:sz w:val="19"/>
              </w:rPr>
              <w:t>“Vendor’s exclusive agents” (p13)</w:t>
            </w:r>
          </w:p>
        </w:tc>
        <w:tc>
          <w:tcPr>
            <w:tcW w:type="dxa" w:w="6803"/>
            <w:shd w:val="clear" w:color="auto" w:fill="FFFFFF"/>
          </w:tcPr>
          <w:p>
            <w:r>
              <w:rPr>
                <w:strike/>
                <w:color w:val="5A6069"/>
                <w:sz w:val="19"/>
              </w:rPr>
              <w:t>the Vendor’s exclusive agents</w:t>
            </w:r>
            <w:r>
              <w:rPr>
                <w:sz w:val="19"/>
              </w:rPr>
              <w:t xml:space="preserve">  →  </w:t>
            </w:r>
            <w:r>
              <w:rPr>
                <w:b/>
                <w:sz w:val="19"/>
              </w:rPr>
              <w:t>the Vendor’s agents</w:t>
            </w:r>
          </w:p>
        </w:tc>
      </w:tr>
      <w:tr>
        <w:tc>
          <w:tcPr>
            <w:tcW w:type="dxa" w:w="2835"/>
            <w:shd w:val="clear" w:color="auto" w:fill="F2F5F8"/>
          </w:tcPr>
          <w:p>
            <w:r>
              <w:rPr>
                <w:b/>
                <w:sz w:val="19"/>
              </w:rPr>
              <w:t>Listing link (p2 footer)</w:t>
            </w:r>
          </w:p>
        </w:tc>
        <w:tc>
          <w:tcPr>
            <w:tcW w:type="dxa" w:w="6803"/>
            <w:shd w:val="clear" w:color="auto" w:fill="F2F5F8"/>
          </w:tcPr>
          <w:p>
            <w:r>
              <w:rPr>
                <w:strike/>
                <w:color w:val="5A6069"/>
                <w:sz w:val="19"/>
              </w:rPr>
              <w:t>https://www.searleforestry.com/property/jelldale-forest/</w:t>
            </w:r>
            <w:r>
              <w:rPr>
                <w:sz w:val="19"/>
              </w:rPr>
              <w:t xml:space="preserve">  →  </w:t>
            </w:r>
            <w:r>
              <w:rPr>
                <w:b/>
                <w:sz w:val="19"/>
              </w:rPr>
              <w:t>the 455 West Coast Road listing URL on searleagri.co.nz — [CONFIRM URL with Warwick]</w:t>
            </w:r>
          </w:p>
        </w:tc>
      </w:tr>
    </w:tbl>
    <w:p/>
    <w:p>
      <w:r>
        <w:rPr>
          <w:b/>
        </w:rPr>
        <w:t>Page-specific</w:t>
      </w:r>
    </w:p>
    <w:tbl>
      <w:tblPr>
        <w:tblStyle w:val="TableGrid"/>
        <w:tblW w:type="auto" w:w="0"/>
        <w:tblLook w:firstColumn="1" w:firstRow="1" w:lastColumn="0" w:lastRow="0" w:noHBand="0" w:noVBand="1" w:val="04A0"/>
      </w:tblPr>
      <w:tblGrid>
        <w:gridCol w:w="4986"/>
        <w:gridCol w:w="4986"/>
      </w:tblGrid>
      <w:tr>
        <w:tc>
          <w:tcPr>
            <w:tcW w:type="dxa" w:w="1814"/>
            <w:shd w:val="clear" w:color="auto" w:fill="072354"/>
          </w:tcPr>
          <w:p>
            <w:r>
              <w:rPr>
                <w:b/>
                <w:color w:val="FFFFFF"/>
                <w:sz w:val="19"/>
              </w:rPr>
              <w:t>Page</w:t>
            </w:r>
          </w:p>
        </w:tc>
        <w:tc>
          <w:tcPr>
            <w:tcW w:type="dxa" w:w="7824"/>
            <w:shd w:val="clear" w:color="auto" w:fill="072354"/>
          </w:tcPr>
          <w:p>
            <w:r>
              <w:rPr>
                <w:b/>
                <w:color w:val="FFFFFF"/>
                <w:sz w:val="19"/>
              </w:rPr>
              <w:t>Change</w:t>
            </w:r>
          </w:p>
        </w:tc>
      </w:tr>
      <w:tr>
        <w:tc>
          <w:tcPr>
            <w:tcW w:type="dxa" w:w="1814"/>
            <w:shd w:val="clear" w:color="auto" w:fill="F2F5F8"/>
          </w:tcPr>
          <w:p>
            <w:r>
              <w:rPr>
                <w:b/>
                <w:sz w:val="19"/>
              </w:rPr>
              <w:t>Cover</w:t>
            </w:r>
          </w:p>
        </w:tc>
        <w:tc>
          <w:tcPr>
            <w:tcW w:type="dxa" w:w="7824"/>
            <w:shd w:val="clear" w:color="auto" w:fill="F2F5F8"/>
          </w:tcPr>
          <w:p>
            <w:r>
              <w:rPr>
                <w:sz w:val="19"/>
              </w:rPr>
              <w:t>Tender close: “THURSDAY TBC OCTOBER, 2026” — date still to be confirmed. Add “Plus GST (if any)”. Property name: see Part C, item 1.</w:t>
            </w:r>
          </w:p>
        </w:tc>
      </w:tr>
      <w:tr>
        <w:tc>
          <w:tcPr>
            <w:tcW w:type="dxa" w:w="1814"/>
            <w:shd w:val="clear" w:color="auto" w:fill="FFFFFF"/>
          </w:tcPr>
          <w:p>
            <w:r>
              <w:rPr>
                <w:b/>
                <w:sz w:val="19"/>
              </w:rPr>
              <w:t>p3 Contents</w:t>
            </w:r>
          </w:p>
        </w:tc>
        <w:tc>
          <w:tcPr>
            <w:tcW w:type="dxa" w:w="7824"/>
            <w:shd w:val="clear" w:color="auto" w:fill="FFFFFF"/>
          </w:tcPr>
          <w:p>
            <w:r>
              <w:rPr>
                <w:sz w:val="19"/>
              </w:rPr>
              <w:t>This is the Jelldale table of contents (Forest Map, Forestry Overview, Environmental Risks, ETS) and the page numbers do not match this document. Replace with the actual sections: Executive Summary · Property Details · Farm Information · Dwellings &amp; Improvements · Land, Soils &amp; Water · Efficiency &amp; Environment · Production History · Farm Map · Location &amp; Climate · Sale Process · Photographs.</w:t>
            </w:r>
          </w:p>
        </w:tc>
      </w:tr>
      <w:tr>
        <w:tc>
          <w:tcPr>
            <w:tcW w:type="dxa" w:w="1814"/>
            <w:shd w:val="clear" w:color="auto" w:fill="F2F5F8"/>
          </w:tcPr>
          <w:p>
            <w:r>
              <w:rPr>
                <w:b/>
                <w:sz w:val="19"/>
              </w:rPr>
              <w:t>p4 note</w:t>
            </w:r>
          </w:p>
        </w:tc>
        <w:tc>
          <w:tcPr>
            <w:tcW w:type="dxa" w:w="7824"/>
            <w:shd w:val="clear" w:color="auto" w:fill="F2F5F8"/>
          </w:tcPr>
          <w:p>
            <w:r>
              <w:rPr>
                <w:strike/>
                <w:color w:val="5A6069"/>
                <w:sz w:val="19"/>
              </w:rPr>
              <w:t>independent legal, financial, forestry, and regulatory advice</w:t>
            </w:r>
            <w:r>
              <w:rPr>
                <w:sz w:val="19"/>
              </w:rPr>
              <w:t xml:space="preserve">  →  </w:t>
            </w:r>
            <w:r>
              <w:rPr>
                <w:b/>
                <w:sz w:val="19"/>
              </w:rPr>
              <w:t>independent legal, financial, farming and regulatory advice</w:t>
            </w:r>
          </w:p>
        </w:tc>
      </w:tr>
      <w:tr>
        <w:tc>
          <w:tcPr>
            <w:tcW w:type="dxa" w:w="1814"/>
            <w:shd w:val="clear" w:color="auto" w:fill="FFFFFF"/>
          </w:tcPr>
          <w:p>
            <w:r>
              <w:rPr>
                <w:b/>
                <w:sz w:val="19"/>
              </w:rPr>
              <w:t>p7 Land Use Capability chart</w:t>
            </w:r>
          </w:p>
        </w:tc>
        <w:tc>
          <w:tcPr>
            <w:tcW w:type="dxa" w:w="7824"/>
            <w:shd w:val="clear" w:color="auto" w:fill="FFFFFF"/>
          </w:tcPr>
          <w:p>
            <w:r>
              <w:rPr>
                <w:sz w:val="19"/>
              </w:rPr>
              <w:t>The chart shows LUC 5–8 — that is Jelldale’s data. This farm is LUC class 4 (approx. 172 ha, 95.7%) and LUC class 3 (approx. 8 ha, 4.2%) per the NZ Land Resource Inventory. Two bars only, or drop the chart and use the sentence from v2 Land Characteristics.</w:t>
            </w:r>
          </w:p>
        </w:tc>
      </w:tr>
      <w:tr>
        <w:tc>
          <w:tcPr>
            <w:tcW w:type="dxa" w:w="1814"/>
            <w:shd w:val="clear" w:color="auto" w:fill="F2F5F8"/>
          </w:tcPr>
          <w:p>
            <w:r>
              <w:rPr>
                <w:b/>
                <w:sz w:val="19"/>
              </w:rPr>
              <w:t>p7 Aspect chart</w:t>
            </w:r>
          </w:p>
        </w:tc>
        <w:tc>
          <w:tcPr>
            <w:tcW w:type="dxa" w:w="7824"/>
            <w:shd w:val="clear" w:color="auto" w:fill="F2F5F8"/>
          </w:tcPr>
          <w:p>
            <w:r>
              <w:rPr>
                <w:sz w:val="19"/>
              </w:rPr>
              <w:t>Template placeholder data. Aspect is not meaningful on easy-undulating dairy country — delete the chart.</w:t>
            </w:r>
          </w:p>
        </w:tc>
      </w:tr>
      <w:tr>
        <w:tc>
          <w:tcPr>
            <w:tcW w:type="dxa" w:w="1814"/>
            <w:shd w:val="clear" w:color="auto" w:fill="FFFFFF"/>
          </w:tcPr>
          <w:p>
            <w:r>
              <w:rPr>
                <w:b/>
                <w:sz w:val="19"/>
              </w:rPr>
              <w:t>p7 Climate tiles</w:t>
            </w:r>
          </w:p>
        </w:tc>
        <w:tc>
          <w:tcPr>
            <w:tcW w:type="dxa" w:w="7824"/>
            <w:shd w:val="clear" w:color="auto" w:fill="FFFFFF"/>
          </w:tcPr>
          <w:p>
            <w:r>
              <w:rPr>
                <w:sz w:val="19"/>
              </w:rPr>
              <w:t>All three values are placeholders (11 °C is Kaikōura). Use: Sunshine 2,003 hours/year · Rainfall 1,098 mm/year (say “approx. 1,100”) · Temperature approx. 15.5 °C [CONFIRM against NIWA Dargaville normals]. Source line: “NIWA 1981–2010 climate normals at the property (Ministry for the Environment grids)”.</w:t>
            </w:r>
          </w:p>
        </w:tc>
      </w:tr>
      <w:tr>
        <w:tc>
          <w:tcPr>
            <w:tcW w:type="dxa" w:w="1814"/>
            <w:shd w:val="clear" w:color="auto" w:fill="F2F5F8"/>
          </w:tcPr>
          <w:p>
            <w:r>
              <w:rPr>
                <w:b/>
                <w:sz w:val="19"/>
              </w:rPr>
              <w:t>p7 heading</w:t>
            </w:r>
          </w:p>
        </w:tc>
        <w:tc>
          <w:tcPr>
            <w:tcW w:type="dxa" w:w="7824"/>
            <w:shd w:val="clear" w:color="auto" w:fill="F2F5F8"/>
          </w:tcPr>
          <w:p>
            <w:r>
              <w:rPr>
                <w:strike/>
                <w:color w:val="5A6069"/>
                <w:sz w:val="19"/>
              </w:rPr>
              <w:t>Land Characteristics - TBC</w:t>
            </w:r>
            <w:r>
              <w:rPr>
                <w:sz w:val="19"/>
              </w:rPr>
              <w:t xml:space="preserve">  →  </w:t>
            </w:r>
            <w:r>
              <w:rPr>
                <w:b/>
                <w:sz w:val="19"/>
              </w:rPr>
              <w:t>Land Characteristics</w:t>
            </w:r>
          </w:p>
        </w:tc>
      </w:tr>
      <w:tr>
        <w:tc>
          <w:tcPr>
            <w:tcW w:type="dxa" w:w="1814"/>
            <w:shd w:val="clear" w:color="auto" w:fill="FFFFFF"/>
          </w:tcPr>
          <w:p>
            <w:r>
              <w:rPr>
                <w:b/>
                <w:sz w:val="19"/>
              </w:rPr>
              <w:t>p11 destinations</w:t>
            </w:r>
          </w:p>
        </w:tc>
        <w:tc>
          <w:tcPr>
            <w:tcW w:type="dxa" w:w="7824"/>
            <w:shd w:val="clear" w:color="auto" w:fill="FFFFFF"/>
          </w:tcPr>
          <w:p>
            <w:r>
              <w:rPr>
                <w:sz w:val="19"/>
              </w:rPr>
              <w:t>“Northport 98 km” is a log-export reference — remove. Replace the table with: Te Kōpuru township ~4 km (Te Kōpuru School, Years 1–8) · Dargaville 14 km · Whangārei ~70 km · Fonterra processing site [CONFIRM which — Kauri or Maungaturoto — and distance] · Warkworth ~130 km · Auckland ~190 km. All distances are road distances and need checking — 208 km to Auckland looks high (Dargaville–Auckland is about 175 km).</w:t>
            </w:r>
          </w:p>
        </w:tc>
      </w:tr>
      <w:tr>
        <w:tc>
          <w:tcPr>
            <w:tcW w:type="dxa" w:w="1814"/>
            <w:shd w:val="clear" w:color="auto" w:fill="F2F5F8"/>
          </w:tcPr>
          <w:p>
            <w:r>
              <w:rPr>
                <w:b/>
                <w:sz w:val="19"/>
              </w:rPr>
              <w:t>p11 map</w:t>
            </w:r>
          </w:p>
        </w:tc>
        <w:tc>
          <w:tcPr>
            <w:tcW w:type="dxa" w:w="7824"/>
            <w:shd w:val="clear" w:color="auto" w:fill="F2F5F8"/>
          </w:tcPr>
          <w:p>
            <w:r>
              <w:rPr>
                <w:sz w:val="19"/>
              </w:rPr>
              <w:t>The “Dargaville Farm” pin is in the wrong place — it sits on the coast north-west of Dargaville. Te Kōpuru is 14 km SOUTH of Dargaville on the western bank of the Northern Wairoa River (approx. 36.046°S, 173.883°E). Move the pin and the leader line.</w:t>
            </w:r>
          </w:p>
        </w:tc>
      </w:tr>
      <w:tr>
        <w:tc>
          <w:tcPr>
            <w:tcW w:type="dxa" w:w="1814"/>
            <w:shd w:val="clear" w:color="auto" w:fill="FFFFFF"/>
          </w:tcPr>
          <w:p>
            <w:r>
              <w:rPr>
                <w:b/>
                <w:sz w:val="19"/>
              </w:rPr>
              <w:t>p10 Property Map</w:t>
            </w:r>
          </w:p>
        </w:tc>
        <w:tc>
          <w:tcPr>
            <w:tcW w:type="dxa" w:w="7824"/>
            <w:shd w:val="clear" w:color="auto" w:fill="FFFFFF"/>
          </w:tcPr>
          <w:p>
            <w:r>
              <w:rPr>
                <w:sz w:val="19"/>
              </w:rPr>
              <w:t>Farm boundary map supplied: Properties\Dargaville Dairy\Claude\map\farm map\ — labelled aerial (jpg/png), unlabelled aerial, transparent boundary overlay on the same frame, KML/GeoJSON. Note the two notches on the western (road) boundary are the 2026 subdivision lots and are NOT part of the sale — mask or label them. The LINZ aerial is summer-dry; use the drone shots for hero imagery.</w:t>
            </w:r>
          </w:p>
        </w:tc>
      </w:tr>
      <w:tr>
        <w:tc>
          <w:tcPr>
            <w:tcW w:type="dxa" w:w="1814"/>
            <w:shd w:val="clear" w:color="auto" w:fill="F2F5F8"/>
          </w:tcPr>
          <w:p>
            <w:r>
              <w:rPr>
                <w:b/>
                <w:sz w:val="19"/>
              </w:rPr>
              <w:t>p6, p8, p12 Photographs</w:t>
            </w:r>
          </w:p>
        </w:tc>
        <w:tc>
          <w:tcPr>
            <w:tcW w:type="dxa" w:w="7824"/>
            <w:shd w:val="clear" w:color="auto" w:fill="F2F5F8"/>
          </w:tcPr>
          <w:p>
            <w:r>
              <w:rPr>
                <w:sz w:val="19"/>
              </w:rPr>
              <w:t>Ten drone stills are in Properties\Dargaville Dairy\Photos\Dargaville Pics. Video and further stills to follow from the campaign shoot.</w:t>
            </w:r>
          </w:p>
        </w:tc>
      </w:tr>
    </w:tbl>
    <w:p/>
    <w:p>
      <w:pPr>
        <w:pStyle w:val="Heading1"/>
      </w:pPr>
      <w:r>
        <w:rPr>
          <w:color w:val="072354"/>
        </w:rPr>
        <w:t>Part B — Content: re-flow from the v2 content draft</w:t>
      </w:r>
    </w:p>
    <w:p>
      <w:r>
        <w:t>The current copy is v1. The list below is what changes when v2 goes in, page by page, so the differences are visible. Where the v2 docx has a red [CONFIRM] the item is still with the vendor — leave a placeholder.</w:t>
      </w:r>
    </w:p>
    <w:tbl>
      <w:tblPr>
        <w:tblStyle w:val="TableGrid"/>
        <w:tblW w:type="auto" w:w="0"/>
        <w:tblLook w:firstColumn="1" w:firstRow="1" w:lastColumn="0" w:lastRow="0" w:noHBand="0" w:noVBand="1" w:val="04A0"/>
      </w:tblPr>
      <w:tblGrid>
        <w:gridCol w:w="4986"/>
        <w:gridCol w:w="4986"/>
      </w:tblGrid>
      <w:tr>
        <w:tc>
          <w:tcPr>
            <w:tcW w:type="dxa" w:w="2381"/>
            <w:shd w:val="clear" w:color="auto" w:fill="072354"/>
          </w:tcPr>
          <w:p>
            <w:r>
              <w:rPr>
                <w:b/>
                <w:color w:val="FFFFFF"/>
                <w:sz w:val="19"/>
              </w:rPr>
              <w:t>Page / section</w:t>
            </w:r>
          </w:p>
        </w:tc>
        <w:tc>
          <w:tcPr>
            <w:tcW w:type="dxa" w:w="7257"/>
            <w:shd w:val="clear" w:color="auto" w:fill="072354"/>
          </w:tcPr>
          <w:p>
            <w:r>
              <w:rPr>
                <w:b/>
                <w:color w:val="FFFFFF"/>
                <w:sz w:val="19"/>
              </w:rPr>
              <w:t>What changes in v2</w:t>
            </w:r>
          </w:p>
        </w:tc>
      </w:tr>
      <w:tr>
        <w:tc>
          <w:tcPr>
            <w:tcW w:type="dxa" w:w="2381"/>
            <w:shd w:val="clear" w:color="auto" w:fill="F2F5F8"/>
          </w:tcPr>
          <w:p>
            <w:r>
              <w:rPr>
                <w:b/>
                <w:sz w:val="19"/>
              </w:rPr>
              <w:t>p4 Executive Summary</w:t>
            </w:r>
          </w:p>
        </w:tc>
        <w:tc>
          <w:tcPr>
            <w:tcW w:type="dxa" w:w="7257"/>
            <w:shd w:val="clear" w:color="auto" w:fill="F2F5F8"/>
          </w:tcPr>
          <w:p>
            <w:r>
              <w:rPr>
                <w:sz w:val="19"/>
              </w:rPr>
              <w:t>New second paragraph: production framed as five consistent seasons then a record year (not an “11.5% two-season increase”). New feed paragraph adds 64% feed-to-milk (regional 50%), Fonterra Co-operative Difference Te Tihi, 361 days milk quality excellence. NEW paragraph disclosing the leased runoff — essential. Emissions line adds “against a regional average of 898”.</w:t>
            </w:r>
          </w:p>
        </w:tc>
      </w:tr>
      <w:tr>
        <w:tc>
          <w:tcPr>
            <w:tcW w:type="dxa" w:w="2381"/>
            <w:shd w:val="clear" w:color="auto" w:fill="FFFFFF"/>
          </w:tcPr>
          <w:p>
            <w:r>
              <w:rPr>
                <w:b/>
                <w:sz w:val="19"/>
              </w:rPr>
              <w:t>p4 Property Details table</w:t>
            </w:r>
          </w:p>
        </w:tc>
        <w:tc>
          <w:tcPr>
            <w:tcW w:type="dxa" w:w="7257"/>
            <w:shd w:val="clear" w:color="auto" w:fill="FFFFFF"/>
          </w:tcPr>
          <w:p>
            <w:r>
              <w:rPr>
                <w:sz w:val="19"/>
              </w:rPr>
              <w:t>Add rows: Legal description (Lot 8 DP 625405) · Record of Title (1276609, issued 2 July 2026) · Total area 179.6 ha · Territorial authority (Kaipara District Council) · Regional council (NRC) · Rating valuation CV $4,750,000 (LV $3,700,000 / IV $1,050,000, 1 Sept 2023) · Fonterra supply 18108 · Runoff (leased — not part of the title) · Settlement (negotiable). Change Zoning to “Rural Zone — Kaipara District Plan” (“Rural Industry Zone A / 1A” is a Cotality category, not a zone). Sale process: “Tender, closing [date] · Plus GST (if any) · Vacant possession”. Water: add NRC water permit AUTH132325.01.01.</w:t>
            </w:r>
          </w:p>
        </w:tc>
      </w:tr>
      <w:tr>
        <w:tc>
          <w:tcPr>
            <w:tcW w:type="dxa" w:w="2381"/>
            <w:shd w:val="clear" w:color="auto" w:fill="F2F5F8"/>
          </w:tcPr>
          <w:p>
            <w:r>
              <w:rPr>
                <w:b/>
                <w:sz w:val="19"/>
              </w:rPr>
              <w:t>p5 Key Features</w:t>
            </w:r>
          </w:p>
        </w:tc>
        <w:tc>
          <w:tcPr>
            <w:tcW w:type="dxa" w:w="7257"/>
            <w:shd w:val="clear" w:color="auto" w:fill="F2F5F8"/>
          </w:tcPr>
          <w:p>
            <w:r>
              <w:rPr>
                <w:sz w:val="19"/>
              </w:rPr>
              <w:t>Replace bullets with the v2 list (adds five-year average, 64% feed-to-milk, Te Tihi, water permit, leased runoff; drops the Te Koporu typo).</w:t>
            </w:r>
          </w:p>
        </w:tc>
      </w:tr>
      <w:tr>
        <w:tc>
          <w:tcPr>
            <w:tcW w:type="dxa" w:w="2381"/>
            <w:shd w:val="clear" w:color="auto" w:fill="FFFFFF"/>
          </w:tcPr>
          <w:p>
            <w:r>
              <w:rPr>
                <w:b/>
                <w:sz w:val="19"/>
              </w:rPr>
              <w:t>p5 Livestock &amp; Production</w:t>
            </w:r>
          </w:p>
        </w:tc>
        <w:tc>
          <w:tcPr>
            <w:tcW w:type="dxa" w:w="7257"/>
            <w:shd w:val="clear" w:color="auto" w:fill="FFFFFF"/>
          </w:tcPr>
          <w:p>
            <w:r>
              <w:rPr>
                <w:sz w:val="19"/>
              </w:rPr>
              <w:t>Six-season production table (2020/21–2025/26) with five-year average, replacing the three-season table and the “Two-season production increase” row. Monthly kgMS table (six seasons) is in v2 for a chart — the split-calving profile is a genuine selling point. NEW Herd subsection (440 cows in milk at the Aug 2026 herd test, Friesian/F×J, BW 94 / PW 84).</w:t>
            </w:r>
          </w:p>
        </w:tc>
      </w:tr>
      <w:tr>
        <w:tc>
          <w:tcPr>
            <w:tcW w:type="dxa" w:w="2381"/>
            <w:shd w:val="clear" w:color="auto" w:fill="F2F5F8"/>
          </w:tcPr>
          <w:p>
            <w:r>
              <w:rPr>
                <w:b/>
                <w:sz w:val="19"/>
              </w:rPr>
              <w:t>p5 Feed System</w:t>
            </w:r>
          </w:p>
        </w:tc>
        <w:tc>
          <w:tcPr>
            <w:tcW w:type="dxa" w:w="7257"/>
            <w:shd w:val="clear" w:color="auto" w:fill="F2F5F8"/>
          </w:tcPr>
          <w:p>
            <w:r>
              <w:rPr>
                <w:sz w:val="19"/>
              </w:rPr>
              <w:t>Runoff figures labelled “Leased runoff”. “The supplied information states that no bulk forage…” → “the vendor advises”. Canola 23 t and soy 47 t quantified. Move “Nitrogen fertiliser 188 kgN/ha” out of the table into the sentence “farmed as a high-input (System 5) operation; nitrogen use of 188 kgN/ha sits within the 190 kgN/ha synthetic nitrogen cap”.</w:t>
            </w:r>
          </w:p>
        </w:tc>
      </w:tr>
      <w:tr>
        <w:tc>
          <w:tcPr>
            <w:tcW w:type="dxa" w:w="2381"/>
            <w:shd w:val="clear" w:color="auto" w:fill="FFFFFF"/>
          </w:tcPr>
          <w:p>
            <w:r>
              <w:rPr>
                <w:b/>
                <w:sz w:val="19"/>
              </w:rPr>
              <w:t>p5 Animal Performance</w:t>
            </w:r>
          </w:p>
        </w:tc>
        <w:tc>
          <w:tcPr>
            <w:tcW w:type="dxa" w:w="7257"/>
            <w:shd w:val="clear" w:color="auto" w:fill="FFFFFF"/>
          </w:tcPr>
          <w:p>
            <w:r>
              <w:rPr>
                <w:sz w:val="19"/>
              </w:rPr>
              <w:t>Delete “noted in the supplied Fonterra information”. Add lameness cases 51 → 46 → 20 and 361 days milk quality excellence. (Do NOT add mastitis figures.)</w:t>
            </w:r>
          </w:p>
        </w:tc>
      </w:tr>
      <w:tr>
        <w:tc>
          <w:tcPr>
            <w:tcW w:type="dxa" w:w="2381"/>
            <w:shd w:val="clear" w:color="auto" w:fill="F2F5F8"/>
          </w:tcPr>
          <w:p>
            <w:r>
              <w:rPr>
                <w:b/>
                <w:sz w:val="19"/>
              </w:rPr>
              <w:t>p7 Dwellings &amp; Improvements</w:t>
            </w:r>
          </w:p>
        </w:tc>
        <w:tc>
          <w:tcPr>
            <w:tcW w:type="dxa" w:w="7257"/>
            <w:shd w:val="clear" w:color="auto" w:fill="F2F5F8"/>
          </w:tcPr>
          <w:p>
            <w:r>
              <w:rPr>
                <w:sz w:val="19"/>
              </w:rPr>
              <w:t>Main residence: weatherboard, steel roof, built 2000, approx. 104 m². Second residence: relocated 2007 (BC 07/0365). Buildings: workshop consented 2008, five-bay pole shed 2014. NEW effluent bullet (pond, stirrer, 9,000 L tanker, approx. 85 ha effluent area). NEW water bullet (three bores, 50 mm main, NRC permit to be assigned). Dairy shed plant detail still [CONFIRM].</w:t>
            </w:r>
          </w:p>
        </w:tc>
      </w:tr>
      <w:tr>
        <w:tc>
          <w:tcPr>
            <w:tcW w:type="dxa" w:w="2381"/>
            <w:shd w:val="clear" w:color="auto" w:fill="FFFFFF"/>
          </w:tcPr>
          <w:p>
            <w:r>
              <w:rPr>
                <w:b/>
                <w:sz w:val="19"/>
              </w:rPr>
              <w:t>p7 Land Characteristics</w:t>
            </w:r>
          </w:p>
        </w:tc>
        <w:tc>
          <w:tcPr>
            <w:tcW w:type="dxa" w:w="7257"/>
            <w:shd w:val="clear" w:color="auto" w:fill="FFFFFF"/>
          </w:tcPr>
          <w:p>
            <w:r>
              <w:rPr>
                <w:sz w:val="19"/>
              </w:rPr>
              <w:t>NEW soils paragraph and Hill Labs Oct 2024 table (pH, Olsen P, CEC, base saturation for the three blocks) plus the LUC / erosion sentence. Water subsection with the permit.</w:t>
            </w:r>
          </w:p>
        </w:tc>
      </w:tr>
      <w:tr>
        <w:tc>
          <w:tcPr>
            <w:tcW w:type="dxa" w:w="2381"/>
            <w:shd w:val="clear" w:color="auto" w:fill="F2F5F8"/>
          </w:tcPr>
          <w:p>
            <w:r>
              <w:rPr>
                <w:b/>
                <w:sz w:val="19"/>
              </w:rPr>
              <w:t>p7 Efficiency &amp; Environment</w:t>
            </w:r>
          </w:p>
        </w:tc>
        <w:tc>
          <w:tcPr>
            <w:tcW w:type="dxa" w:w="7257"/>
            <w:shd w:val="clear" w:color="auto" w:fill="F2F5F8"/>
          </w:tcPr>
          <w:p>
            <w:r>
              <w:rPr>
                <w:sz w:val="19"/>
              </w:rPr>
              <w:t>Add the benchmark table (homegrown feed 11.1 vs regional 9.2 / top 20% 12.7; feed-to-milk 64% vs 50%; kgMS/kgLW 126% vs 93%; emissions 810 vs 898). Further optimisation adds the reproductive gain and Fonterra’s modelled +19,000 kgMS.</w:t>
            </w:r>
          </w:p>
        </w:tc>
      </w:tr>
      <w:tr>
        <w:tc>
          <w:tcPr>
            <w:tcW w:type="dxa" w:w="2381"/>
            <w:shd w:val="clear" w:color="auto" w:fill="FFFFFF"/>
          </w:tcPr>
          <w:p>
            <w:r>
              <w:rPr>
                <w:b/>
                <w:sz w:val="19"/>
              </w:rPr>
              <w:t>p9 Production Trend</w:t>
            </w:r>
          </w:p>
        </w:tc>
        <w:tc>
          <w:tcPr>
            <w:tcW w:type="dxa" w:w="7257"/>
            <w:shd w:val="clear" w:color="auto" w:fill="FFFFFF"/>
          </w:tcPr>
          <w:p>
            <w:r>
              <w:rPr>
                <w:sz w:val="19"/>
              </w:rPr>
              <w:t>Remove “TBC”. Table gains Imported supplement, Lameness and Emissions intensity rows; closing sentence covers six seasons.</w:t>
            </w:r>
          </w:p>
        </w:tc>
      </w:tr>
      <w:tr>
        <w:tc>
          <w:tcPr>
            <w:tcW w:type="dxa" w:w="2381"/>
            <w:shd w:val="clear" w:color="auto" w:fill="F2F5F8"/>
          </w:tcPr>
          <w:p>
            <w:r>
              <w:rPr>
                <w:b/>
                <w:sz w:val="19"/>
              </w:rPr>
              <w:t>p11 Location &amp; Climate</w:t>
            </w:r>
          </w:p>
        </w:tc>
        <w:tc>
          <w:tcPr>
            <w:tcW w:type="dxa" w:w="7257"/>
            <w:shd w:val="clear" w:color="auto" w:fill="F2F5F8"/>
          </w:tcPr>
          <w:p>
            <w:r>
              <w:rPr>
                <w:sz w:val="19"/>
              </w:rPr>
              <w:t>Delete “The supplied material notes that”. Add the NIWA normals paragraph (approx. 1,100 mm and 2,000 hours; range 750–1,400 mm 1981–2010). Location highlights: Te Kōpuru School ~4 km, Dargaville schools, Ripiro Beach / Glinks Gully, Northern Wairoa River.</w:t>
            </w:r>
          </w:p>
        </w:tc>
      </w:tr>
      <w:tr>
        <w:tc>
          <w:tcPr>
            <w:tcW w:type="dxa" w:w="2381"/>
            <w:shd w:val="clear" w:color="auto" w:fill="FFFFFF"/>
          </w:tcPr>
          <w:p>
            <w:r>
              <w:rPr>
                <w:b/>
                <w:sz w:val="19"/>
              </w:rPr>
              <w:t>p13 Sale Process</w:t>
            </w:r>
          </w:p>
        </w:tc>
        <w:tc>
          <w:tcPr>
            <w:tcW w:type="dxa" w:w="7257"/>
            <w:shd w:val="clear" w:color="auto" w:fill="FFFFFF"/>
          </w:tcPr>
          <w:p>
            <w:r>
              <w:rPr>
                <w:sz w:val="19"/>
              </w:rPr>
              <w:t>Tender basis: land and buildings with vacant possession, or going concern including livestock, plant and machinery (list on file). Runoff lease assignment by negotiation. Settlement date negotiable — split calving means no 1 June tie. Vendor further terms summary. Data-room list. Standard disclaimer from v2 (mentions the leased runoff).</w:t>
            </w:r>
          </w:p>
        </w:tc>
      </w:tr>
    </w:tbl>
    <w:p/>
    <w:p>
      <w:pPr>
        <w:pStyle w:val="Heading1"/>
      </w:pPr>
      <w:r>
        <w:rPr>
          <w:color w:val="072354"/>
        </w:rPr>
        <w:t>Part C — Consistency, grammar and spelling</w:t>
      </w:r>
    </w:p>
    <w:tbl>
      <w:tblPr>
        <w:tblStyle w:val="TableGrid"/>
        <w:tblW w:type="auto" w:w="0"/>
        <w:tblLook w:firstColumn="1" w:firstRow="1" w:lastColumn="0" w:lastRow="0" w:noHBand="0" w:noVBand="1" w:val="04A0"/>
      </w:tblPr>
      <w:tblGrid>
        <w:gridCol w:w="3324"/>
        <w:gridCol w:w="3324"/>
        <w:gridCol w:w="3324"/>
      </w:tblGrid>
      <w:tr>
        <w:tc>
          <w:tcPr>
            <w:tcW w:type="dxa" w:w="454"/>
            <w:shd w:val="clear" w:color="auto" w:fill="072354"/>
          </w:tcPr>
          <w:p>
            <w:r>
              <w:rPr>
                <w:b/>
                <w:color w:val="FFFFFF"/>
                <w:sz w:val="19"/>
              </w:rPr>
              <w:t>#</w:t>
            </w:r>
          </w:p>
        </w:tc>
        <w:tc>
          <w:tcPr>
            <w:tcW w:type="dxa" w:w="2041"/>
            <w:shd w:val="clear" w:color="auto" w:fill="072354"/>
          </w:tcPr>
          <w:p>
            <w:r>
              <w:rPr>
                <w:b/>
                <w:color w:val="FFFFFF"/>
                <w:sz w:val="19"/>
              </w:rPr>
              <w:t>Where</w:t>
            </w:r>
          </w:p>
        </w:tc>
        <w:tc>
          <w:tcPr>
            <w:tcW w:type="dxa" w:w="7143"/>
            <w:shd w:val="clear" w:color="auto" w:fill="072354"/>
          </w:tcPr>
          <w:p>
            <w:r>
              <w:rPr>
                <w:b/>
                <w:color w:val="FFFFFF"/>
                <w:sz w:val="19"/>
              </w:rPr>
              <w:t>Change</w:t>
            </w:r>
          </w:p>
        </w:tc>
      </w:tr>
      <w:tr>
        <w:tc>
          <w:tcPr>
            <w:tcW w:type="dxa" w:w="454"/>
            <w:shd w:val="clear" w:color="auto" w:fill="F2F5F8"/>
          </w:tcPr>
          <w:p>
            <w:r>
              <w:rPr>
                <w:b/>
                <w:sz w:val="19"/>
              </w:rPr>
              <w:t>1</w:t>
            </w:r>
          </w:p>
        </w:tc>
        <w:tc>
          <w:tcPr>
            <w:tcW w:type="dxa" w:w="2041"/>
            <w:shd w:val="clear" w:color="auto" w:fill="F2F5F8"/>
          </w:tcPr>
          <w:p>
            <w:r>
              <w:rPr>
                <w:sz w:val="19"/>
              </w:rPr>
              <w:t>Cover, running heads, p4, p5, p11</w:t>
            </w:r>
          </w:p>
        </w:tc>
        <w:tc>
          <w:tcPr>
            <w:tcW w:type="dxa" w:w="7143"/>
            <w:shd w:val="clear" w:color="auto" w:fill="F2F5F8"/>
          </w:tcPr>
          <w:p>
            <w:r>
              <w:rPr>
                <w:sz w:val="19"/>
              </w:rPr>
              <w:t>Property name. “Dargaville Farm” is our internal folder name — the farm is at Te Kōpuru and buyers search by address. Recommend “455 West Coast Road, Te Kōpuru” as the title throughout (or “Te Kōpuru Dairy”). [Warwick / Clint to decide]</w:t>
            </w:r>
          </w:p>
        </w:tc>
      </w:tr>
      <w:tr>
        <w:tc>
          <w:tcPr>
            <w:tcW w:type="dxa" w:w="454"/>
            <w:shd w:val="clear" w:color="auto" w:fill="FFFFFF"/>
          </w:tcPr>
          <w:p>
            <w:r>
              <w:rPr>
                <w:b/>
                <w:sz w:val="19"/>
              </w:rPr>
              <w:t>2</w:t>
            </w:r>
          </w:p>
        </w:tc>
        <w:tc>
          <w:tcPr>
            <w:tcW w:type="dxa" w:w="2041"/>
            <w:shd w:val="clear" w:color="auto" w:fill="FFFFFF"/>
          </w:tcPr>
          <w:p>
            <w:r>
              <w:rPr>
                <w:sz w:val="19"/>
              </w:rPr>
              <w:t>Everywhere</w:t>
            </w:r>
          </w:p>
        </w:tc>
        <w:tc>
          <w:tcPr>
            <w:tcW w:type="dxa" w:w="7143"/>
            <w:shd w:val="clear" w:color="auto" w:fill="FFFFFF"/>
          </w:tcPr>
          <w:p>
            <w:r>
              <w:rPr>
                <w:sz w:val="19"/>
              </w:rPr>
              <w:t>Te Kōpuru — spelled “Te Koporu” on p5 and “Te Kopuru” elsewhere. Use “Te Kōpuru” (with macron) consistently, including the cover address.</w:t>
            </w:r>
          </w:p>
        </w:tc>
      </w:tr>
      <w:tr>
        <w:tc>
          <w:tcPr>
            <w:tcW w:type="dxa" w:w="454"/>
            <w:shd w:val="clear" w:color="auto" w:fill="F2F5F8"/>
          </w:tcPr>
          <w:p>
            <w:r>
              <w:rPr>
                <w:b/>
                <w:sz w:val="19"/>
              </w:rPr>
              <w:t>3</w:t>
            </w:r>
          </w:p>
        </w:tc>
        <w:tc>
          <w:tcPr>
            <w:tcW w:type="dxa" w:w="2041"/>
            <w:shd w:val="clear" w:color="auto" w:fill="F2F5F8"/>
          </w:tcPr>
          <w:p>
            <w:r>
              <w:rPr>
                <w:sz w:val="19"/>
              </w:rPr>
              <w:t>p4 table, p4 copy, p5</w:t>
            </w:r>
          </w:p>
        </w:tc>
        <w:tc>
          <w:tcPr>
            <w:tcW w:type="dxa" w:w="7143"/>
            <w:shd w:val="clear" w:color="auto" w:fill="F2F5F8"/>
          </w:tcPr>
          <w:p>
            <w:r>
              <w:rPr>
                <w:sz w:val="19"/>
              </w:rPr>
              <w:t>Unit spacing: “175ha” vs “179.6 ha”; “50 mm” vs “50mm”. Use a space before the unit everywhere (175 ha, 50 mm, 14 km).</w:t>
            </w:r>
          </w:p>
        </w:tc>
      </w:tr>
      <w:tr>
        <w:tc>
          <w:tcPr>
            <w:tcW w:type="dxa" w:w="454"/>
            <w:shd w:val="clear" w:color="auto" w:fill="FFFFFF"/>
          </w:tcPr>
          <w:p>
            <w:r>
              <w:rPr>
                <w:b/>
                <w:sz w:val="19"/>
              </w:rPr>
              <w:t>4</w:t>
            </w:r>
          </w:p>
        </w:tc>
        <w:tc>
          <w:tcPr>
            <w:tcW w:type="dxa" w:w="2041"/>
            <w:shd w:val="clear" w:color="auto" w:fill="FFFFFF"/>
          </w:tcPr>
          <w:p>
            <w:r>
              <w:rPr>
                <w:sz w:val="19"/>
              </w:rPr>
              <w:t>p7, p4</w:t>
            </w:r>
          </w:p>
        </w:tc>
        <w:tc>
          <w:tcPr>
            <w:tcW w:type="dxa" w:w="7143"/>
            <w:shd w:val="clear" w:color="auto" w:fill="FFFFFF"/>
          </w:tcPr>
          <w:p>
            <w:r>
              <w:rPr>
                <w:sz w:val="19"/>
              </w:rPr>
              <w:t>kgCO2e → kgCO₂e (subscript 2).</w:t>
            </w:r>
          </w:p>
        </w:tc>
      </w:tr>
      <w:tr>
        <w:tc>
          <w:tcPr>
            <w:tcW w:type="dxa" w:w="454"/>
            <w:shd w:val="clear" w:color="auto" w:fill="F2F5F8"/>
          </w:tcPr>
          <w:p>
            <w:r>
              <w:rPr>
                <w:b/>
                <w:sz w:val="19"/>
              </w:rPr>
              <w:t>5</w:t>
            </w:r>
          </w:p>
        </w:tc>
        <w:tc>
          <w:tcPr>
            <w:tcW w:type="dxa" w:w="2041"/>
            <w:shd w:val="clear" w:color="auto" w:fill="F2F5F8"/>
          </w:tcPr>
          <w:p>
            <w:r>
              <w:rPr>
                <w:sz w:val="19"/>
              </w:rPr>
              <w:t>p2 para 1</w:t>
            </w:r>
          </w:p>
        </w:tc>
        <w:tc>
          <w:tcPr>
            <w:tcW w:type="dxa" w:w="7143"/>
            <w:shd w:val="clear" w:color="auto" w:fill="F2F5F8"/>
          </w:tcPr>
          <w:p>
            <w:r>
              <w:rPr>
                <w:strike/>
                <w:color w:val="5A6069"/>
                <w:sz w:val="19"/>
              </w:rPr>
              <w:t>This Information Memorandum provides information to assist interested parties with their assessment of the property, is produced as a general guide only and does not constitute…</w:t>
            </w:r>
            <w:r>
              <w:rPr>
                <w:sz w:val="19"/>
              </w:rPr>
              <w:t xml:space="preserve">  →  </w:t>
            </w:r>
            <w:r>
              <w:rPr>
                <w:b/>
                <w:sz w:val="19"/>
              </w:rPr>
              <w:t>This Information Memorandum has been prepared to assist interested parties with their assessment of the property. It is a general guide only and does not constitute valuation advice or an offer for sale or purchase.</w:t>
            </w:r>
          </w:p>
        </w:tc>
      </w:tr>
      <w:tr>
        <w:tc>
          <w:tcPr>
            <w:tcW w:type="dxa" w:w="454"/>
            <w:shd w:val="clear" w:color="auto" w:fill="FFFFFF"/>
          </w:tcPr>
          <w:p>
            <w:r>
              <w:rPr>
                <w:b/>
                <w:sz w:val="19"/>
              </w:rPr>
              <w:t>6</w:t>
            </w:r>
          </w:p>
        </w:tc>
        <w:tc>
          <w:tcPr>
            <w:tcW w:type="dxa" w:w="2041"/>
            <w:shd w:val="clear" w:color="auto" w:fill="FFFFFF"/>
          </w:tcPr>
          <w:p>
            <w:r>
              <w:rPr>
                <w:sz w:val="19"/>
              </w:rPr>
              <w:t>p2 para 2</w:t>
            </w:r>
          </w:p>
        </w:tc>
        <w:tc>
          <w:tcPr>
            <w:tcW w:type="dxa" w:w="7143"/>
            <w:shd w:val="clear" w:color="auto" w:fill="FFFFFF"/>
          </w:tcPr>
          <w:p>
            <w:r>
              <w:rPr>
                <w:strike/>
                <w:color w:val="5A6069"/>
                <w:sz w:val="19"/>
              </w:rPr>
              <w:t>subject to purchaser’s own survey</w:t>
            </w:r>
            <w:r>
              <w:rPr>
                <w:sz w:val="19"/>
              </w:rPr>
              <w:t xml:space="preserve">  →  </w:t>
            </w:r>
            <w:r>
              <w:rPr>
                <w:b/>
                <w:sz w:val="19"/>
              </w:rPr>
              <w:t>subject to purchasers’ own survey</w:t>
            </w:r>
          </w:p>
        </w:tc>
      </w:tr>
      <w:tr>
        <w:tc>
          <w:tcPr>
            <w:tcW w:type="dxa" w:w="454"/>
            <w:shd w:val="clear" w:color="auto" w:fill="F2F5F8"/>
          </w:tcPr>
          <w:p>
            <w:r>
              <w:rPr>
                <w:b/>
                <w:sz w:val="19"/>
              </w:rPr>
              <w:t>7</w:t>
            </w:r>
          </w:p>
        </w:tc>
        <w:tc>
          <w:tcPr>
            <w:tcW w:type="dxa" w:w="2041"/>
            <w:shd w:val="clear" w:color="auto" w:fill="F2F5F8"/>
          </w:tcPr>
          <w:p>
            <w:r>
              <w:rPr>
                <w:sz w:val="19"/>
              </w:rPr>
              <w:t>p4 tender box</w:t>
            </w:r>
          </w:p>
        </w:tc>
        <w:tc>
          <w:tcPr>
            <w:tcW w:type="dxa" w:w="7143"/>
            <w:shd w:val="clear" w:color="auto" w:fill="F2F5F8"/>
          </w:tcPr>
          <w:p>
            <w:r>
              <w:rPr>
                <w:strike/>
                <w:color w:val="5A6069"/>
                <w:sz w:val="19"/>
              </w:rPr>
              <w:t>Any enquiries in relation to this sale to be directed to Warwick Searle, George Cashmore or James Burke of Searle Forestry, including clarification or interpretation of any matters within this request for sale, and inspections are strictly by appointment only.</w:t>
            </w:r>
            <w:r>
              <w:rPr>
                <w:sz w:val="19"/>
              </w:rPr>
              <w:t xml:space="preserve">  →  </w:t>
            </w:r>
            <w:r>
              <w:rPr>
                <w:b/>
                <w:sz w:val="19"/>
              </w:rPr>
              <w:t>All enquiries in relation to this sale, including clarification of any matter in this Information Memorandum, should be directed to Clint Brereton (Colliers) or Warwick Searle, George Cashmore or James Burke (Searle Agribusiness). Inspections are strictly by appointment.</w:t>
            </w:r>
          </w:p>
        </w:tc>
      </w:tr>
      <w:tr>
        <w:tc>
          <w:tcPr>
            <w:tcW w:type="dxa" w:w="454"/>
            <w:shd w:val="clear" w:color="auto" w:fill="FFFFFF"/>
          </w:tcPr>
          <w:p>
            <w:r>
              <w:rPr>
                <w:b/>
                <w:sz w:val="19"/>
              </w:rPr>
              <w:t>8</w:t>
            </w:r>
          </w:p>
        </w:tc>
        <w:tc>
          <w:tcPr>
            <w:tcW w:type="dxa" w:w="2041"/>
            <w:shd w:val="clear" w:color="auto" w:fill="FFFFFF"/>
          </w:tcPr>
          <w:p>
            <w:r>
              <w:rPr>
                <w:sz w:val="19"/>
              </w:rPr>
              <w:t>p4, p5, p11</w:t>
            </w:r>
          </w:p>
        </w:tc>
        <w:tc>
          <w:tcPr>
            <w:tcW w:type="dxa" w:w="7143"/>
            <w:shd w:val="clear" w:color="auto" w:fill="FFFFFF"/>
          </w:tcPr>
          <w:p>
            <w:r>
              <w:rPr>
                <w:sz w:val="19"/>
              </w:rPr>
              <w:t>Delete the internal-note phrasing from body copy: “(as stated in supplied information)”, “The supplied information states that”, “noted in the supplied Fonterra information”, “The supplied material notes that”.</w:t>
            </w:r>
          </w:p>
        </w:tc>
      </w:tr>
      <w:tr>
        <w:tc>
          <w:tcPr>
            <w:tcW w:type="dxa" w:w="454"/>
            <w:shd w:val="clear" w:color="auto" w:fill="F2F5F8"/>
          </w:tcPr>
          <w:p>
            <w:r>
              <w:rPr>
                <w:b/>
                <w:sz w:val="19"/>
              </w:rPr>
              <w:t>9</w:t>
            </w:r>
          </w:p>
        </w:tc>
        <w:tc>
          <w:tcPr>
            <w:tcW w:type="dxa" w:w="2041"/>
            <w:shd w:val="clear" w:color="auto" w:fill="F2F5F8"/>
          </w:tcPr>
          <w:p>
            <w:r>
              <w:rPr>
                <w:sz w:val="19"/>
              </w:rPr>
              <w:t>p4 col 1, p5, p7, p11</w:t>
            </w:r>
          </w:p>
        </w:tc>
        <w:tc>
          <w:tcPr>
            <w:tcW w:type="dxa" w:w="7143"/>
            <w:shd w:val="clear" w:color="auto" w:fill="F2F5F8"/>
          </w:tcPr>
          <w:p>
            <w:r>
              <w:rPr>
                <w:sz w:val="19"/>
              </w:rPr>
              <w:t>Hyphenation is breaking words across the narrow columns (estab-lished, pro-duced, with-in, utilisa-tion, win-tering, lo-cated, re-maining). Turn hyphenation off for body text.</w:t>
            </w:r>
          </w:p>
        </w:tc>
      </w:tr>
      <w:tr>
        <w:tc>
          <w:tcPr>
            <w:tcW w:type="dxa" w:w="454"/>
            <w:shd w:val="clear" w:color="auto" w:fill="FFFFFF"/>
          </w:tcPr>
          <w:p>
            <w:r>
              <w:rPr>
                <w:b/>
                <w:sz w:val="19"/>
              </w:rPr>
              <w:t>10</w:t>
            </w:r>
          </w:p>
        </w:tc>
        <w:tc>
          <w:tcPr>
            <w:tcW w:type="dxa" w:w="2041"/>
            <w:shd w:val="clear" w:color="auto" w:fill="FFFFFF"/>
          </w:tcPr>
          <w:p>
            <w:r>
              <w:rPr>
                <w:sz w:val="19"/>
              </w:rPr>
              <w:t>p4 table</w:t>
            </w:r>
          </w:p>
        </w:tc>
        <w:tc>
          <w:tcPr>
            <w:tcW w:type="dxa" w:w="7143"/>
            <w:shd w:val="clear" w:color="auto" w:fill="FFFFFF"/>
          </w:tcPr>
          <w:p>
            <w:r>
              <w:rPr>
                <w:sz w:val="19"/>
              </w:rPr>
              <w:t>Row order/labels mis-aligned in the PDF extract (Zoning value appears against Peak Milking Herd, etc.) — check the table cells line up after the new rows go in.</w:t>
            </w:r>
          </w:p>
        </w:tc>
      </w:tr>
      <w:tr>
        <w:tc>
          <w:tcPr>
            <w:tcW w:type="dxa" w:w="454"/>
            <w:shd w:val="clear" w:color="auto" w:fill="F2F5F8"/>
          </w:tcPr>
          <w:p>
            <w:r>
              <w:rPr>
                <w:b/>
                <w:sz w:val="19"/>
              </w:rPr>
              <w:t>11</w:t>
            </w:r>
          </w:p>
        </w:tc>
        <w:tc>
          <w:tcPr>
            <w:tcW w:type="dxa" w:w="2041"/>
            <w:shd w:val="clear" w:color="auto" w:fill="F2F5F8"/>
          </w:tcPr>
          <w:p>
            <w:r>
              <w:rPr>
                <w:sz w:val="19"/>
              </w:rPr>
              <w:t>p5 table</w:t>
            </w:r>
          </w:p>
        </w:tc>
        <w:tc>
          <w:tcPr>
            <w:tcW w:type="dxa" w:w="7143"/>
            <w:shd w:val="clear" w:color="auto" w:fill="F2F5F8"/>
          </w:tcPr>
          <w:p>
            <w:r>
              <w:rPr>
                <w:sz w:val="19"/>
              </w:rPr>
              <w:t>“KGMS/HA”, “KGMS/COW” — small caps are fine as a design choice, but keep kgMS in body copy.</w:t>
            </w:r>
          </w:p>
        </w:tc>
      </w:tr>
      <w:tr>
        <w:tc>
          <w:tcPr>
            <w:tcW w:type="dxa" w:w="454"/>
            <w:shd w:val="clear" w:color="auto" w:fill="FFFFFF"/>
          </w:tcPr>
          <w:p>
            <w:r>
              <w:rPr>
                <w:b/>
                <w:sz w:val="19"/>
              </w:rPr>
              <w:t>12</w:t>
            </w:r>
          </w:p>
        </w:tc>
        <w:tc>
          <w:tcPr>
            <w:tcW w:type="dxa" w:w="2041"/>
            <w:shd w:val="clear" w:color="auto" w:fill="FFFFFF"/>
          </w:tcPr>
          <w:p>
            <w:r>
              <w:rPr>
                <w:sz w:val="19"/>
              </w:rPr>
              <w:t>p7</w:t>
            </w:r>
          </w:p>
        </w:tc>
        <w:tc>
          <w:tcPr>
            <w:tcW w:type="dxa" w:w="7143"/>
            <w:shd w:val="clear" w:color="auto" w:fill="FFFFFF"/>
          </w:tcPr>
          <w:p>
            <w:r>
              <w:rPr>
                <w:sz w:val="19"/>
              </w:rPr>
              <w:t>“11°” — if temperature stays, write “15.5 °C” with the unit.</w:t>
            </w:r>
          </w:p>
        </w:tc>
      </w:tr>
      <w:tr>
        <w:tc>
          <w:tcPr>
            <w:tcW w:type="dxa" w:w="454"/>
            <w:shd w:val="clear" w:color="auto" w:fill="F2F5F8"/>
          </w:tcPr>
          <w:p>
            <w:r>
              <w:rPr>
                <w:b/>
                <w:sz w:val="19"/>
              </w:rPr>
              <w:t>13</w:t>
            </w:r>
          </w:p>
        </w:tc>
        <w:tc>
          <w:tcPr>
            <w:tcW w:type="dxa" w:w="2041"/>
            <w:shd w:val="clear" w:color="auto" w:fill="F2F5F8"/>
          </w:tcPr>
          <w:p>
            <w:r>
              <w:rPr>
                <w:sz w:val="19"/>
              </w:rPr>
              <w:t>p13 Inspections</w:t>
            </w:r>
          </w:p>
        </w:tc>
        <w:tc>
          <w:tcPr>
            <w:tcW w:type="dxa" w:w="7143"/>
            <w:shd w:val="clear" w:color="auto" w:fill="F2F5F8"/>
          </w:tcPr>
          <w:p>
            <w:r>
              <w:rPr>
                <w:strike/>
                <w:color w:val="5A6069"/>
                <w:sz w:val="19"/>
              </w:rPr>
              <w:t>Our Searle Forestry team is happy to facilitate private inspections of the property at a suitable time for all parties.</w:t>
            </w:r>
            <w:r>
              <w:rPr>
                <w:sz w:val="19"/>
              </w:rPr>
              <w:t xml:space="preserve">  →  </w:t>
            </w:r>
            <w:r>
              <w:rPr>
                <w:b/>
                <w:sz w:val="19"/>
              </w:rPr>
              <w:t>Private inspections can be arranged at a suitable time through Clint Brereton or the Searle Agribusiness team.</w:t>
            </w:r>
          </w:p>
        </w:tc>
      </w:tr>
      <w:tr>
        <w:tc>
          <w:tcPr>
            <w:tcW w:type="dxa" w:w="454"/>
            <w:shd w:val="clear" w:color="auto" w:fill="FFFFFF"/>
          </w:tcPr>
          <w:p>
            <w:r>
              <w:rPr>
                <w:b/>
                <w:sz w:val="19"/>
              </w:rPr>
              <w:t>14</w:t>
            </w:r>
          </w:p>
        </w:tc>
        <w:tc>
          <w:tcPr>
            <w:tcW w:type="dxa" w:w="2041"/>
            <w:shd w:val="clear" w:color="auto" w:fill="FFFFFF"/>
          </w:tcPr>
          <w:p>
            <w:r>
              <w:rPr>
                <w:sz w:val="19"/>
              </w:rPr>
              <w:t>p13 Due Diligence</w:t>
            </w:r>
          </w:p>
        </w:tc>
        <w:tc>
          <w:tcPr>
            <w:tcW w:type="dxa" w:w="7143"/>
            <w:shd w:val="clear" w:color="auto" w:fill="FFFFFF"/>
          </w:tcPr>
          <w:p>
            <w:r>
              <w:rPr>
                <w:strike/>
                <w:color w:val="5A6069"/>
                <w:sz w:val="19"/>
              </w:rPr>
              <w:t>Further information pertaining to the property is available upon request via a private data room. For a copy of the sale documents please contact the Vendor’s exclusive agents below.</w:t>
            </w:r>
            <w:r>
              <w:rPr>
                <w:sz w:val="19"/>
              </w:rPr>
              <w:t xml:space="preserve">  →  </w:t>
            </w:r>
            <w:r>
              <w:rPr>
                <w:b/>
                <w:sz w:val="19"/>
              </w:rPr>
              <w:t>Further information is available to registered parties through a private data room. For the tender documents and data-room access please contact the agents below.</w:t>
            </w:r>
          </w:p>
        </w:tc>
      </w:tr>
      <w:tr>
        <w:tc>
          <w:tcPr>
            <w:tcW w:type="dxa" w:w="454"/>
            <w:shd w:val="clear" w:color="auto" w:fill="F2F5F8"/>
          </w:tcPr>
          <w:p>
            <w:r>
              <w:rPr>
                <w:b/>
                <w:sz w:val="19"/>
              </w:rPr>
              <w:t>15</w:t>
            </w:r>
          </w:p>
        </w:tc>
        <w:tc>
          <w:tcPr>
            <w:tcW w:type="dxa" w:w="2041"/>
            <w:shd w:val="clear" w:color="auto" w:fill="F2F5F8"/>
          </w:tcPr>
          <w:p>
            <w:r>
              <w:rPr>
                <w:sz w:val="19"/>
              </w:rPr>
              <w:t>p2 &amp; p13</w:t>
            </w:r>
          </w:p>
        </w:tc>
        <w:tc>
          <w:tcPr>
            <w:tcW w:type="dxa" w:w="7143"/>
            <w:shd w:val="clear" w:color="auto" w:fill="F2F5F8"/>
          </w:tcPr>
          <w:p>
            <w:r>
              <w:rPr>
                <w:sz w:val="19"/>
              </w:rPr>
              <w:t>Two disclaimers with different wording. Keep one (p13, updated to Searle Agribusiness) and use the v2 disclaimer text, which also covers the leased runoff and the approximate areas.</w:t>
            </w:r>
          </w:p>
        </w:tc>
      </w:tr>
      <w:tr>
        <w:tc>
          <w:tcPr>
            <w:tcW w:type="dxa" w:w="454"/>
            <w:shd w:val="clear" w:color="auto" w:fill="FFFFFF"/>
          </w:tcPr>
          <w:p>
            <w:r>
              <w:rPr>
                <w:b/>
                <w:sz w:val="19"/>
              </w:rPr>
              <w:t>16</w:t>
            </w:r>
          </w:p>
        </w:tc>
        <w:tc>
          <w:tcPr>
            <w:tcW w:type="dxa" w:w="2041"/>
            <w:shd w:val="clear" w:color="auto" w:fill="FFFFFF"/>
          </w:tcPr>
          <w:p>
            <w:r>
              <w:rPr>
                <w:sz w:val="19"/>
              </w:rPr>
              <w:t>Cover</w:t>
            </w:r>
          </w:p>
        </w:tc>
        <w:tc>
          <w:tcPr>
            <w:tcW w:type="dxa" w:w="7143"/>
            <w:shd w:val="clear" w:color="auto" w:fill="FFFFFF"/>
          </w:tcPr>
          <w:p>
            <w:r>
              <w:rPr>
                <w:sz w:val="19"/>
              </w:rPr>
              <w:t>“SUBMISSIONS CLOSING 4PM, THURSDAY TBC OCTOBER, 2026” — once the date is set, use “Tenders close 4.00 pm, Thursday [date] October 2026 (unless sold prior)” and match the wording on p4 and p13.</w:t>
            </w:r>
          </w:p>
        </w:tc>
      </w:tr>
    </w:tbl>
    <w:p/>
    <w:p>
      <w:pPr>
        <w:pStyle w:val="Heading1"/>
      </w:pPr>
      <w:r>
        <w:rPr>
          <w:color w:val="072354"/>
        </w:rPr>
        <w:t>Still outstanding from the vendor (leave placeholders)</w:t>
      </w:r>
    </w:p>
    <w:p>
      <w:pPr>
        <w:pStyle w:val="ListBullet"/>
      </w:pPr>
      <w:r>
        <w:t>Tender closing date and venue</w:t>
      </w:r>
    </w:p>
    <w:p>
      <w:pPr>
        <w:pStyle w:val="ListBullet"/>
      </w:pPr>
      <w:r>
        <w:t>Runoff lease — area, location, term, assignability</w:t>
      </w:r>
    </w:p>
    <w:p>
      <w:pPr>
        <w:pStyle w:val="ListBullet"/>
      </w:pPr>
      <w:r>
        <w:t>Dairy shed plant detail and the QCONZ farm dairy assessment</w:t>
      </w:r>
    </w:p>
    <w:p>
      <w:pPr>
        <w:pStyle w:val="ListBullet"/>
      </w:pPr>
      <w:r>
        <w:t>Effluent pond capacity and consent</w:t>
      </w:r>
    </w:p>
    <w:p>
      <w:pPr>
        <w:pStyle w:val="ListBullet"/>
      </w:pPr>
      <w:r>
        <w:t>Water permit AUTH132325.01.01 — take and expiry</w:t>
      </w:r>
    </w:p>
    <w:p>
      <w:pPr>
        <w:pStyle w:val="ListBullet"/>
      </w:pPr>
      <w:r>
        <w:t>Dwelling detail (bathrooms, garaging, condition) and which house is which</w:t>
      </w:r>
    </w:p>
    <w:p>
      <w:pPr>
        <w:pStyle w:val="ListBullet"/>
      </w:pPr>
      <w:r>
        <w:t>Annual rates</w:t>
      </w:r>
    </w:p>
    <w:p>
      <w:pPr>
        <w:pStyle w:val="ListBullet"/>
      </w:pPr>
      <w:r>
        <w:t>Record of Title 1276609 and LIM (ordered?)</w:t>
      </w:r>
    </w:p>
    <w:p>
      <w:pPr>
        <w:pStyle w:val="ListBullet"/>
      </w:pPr>
      <w:r>
        <w:t>2026 soil tests</w:t>
      </w:r>
    </w:p>
    <w:p>
      <w:pPr>
        <w:pStyle w:val="ListBullet"/>
      </w:pPr>
      <w:r>
        <w:t>Fonterra shares / going-concern basis</w:t>
      </w:r>
    </w:p>
    <w:p>
      <w:r>
        <w:rPr>
          <w:b/>
          <w:color w:val="072354"/>
          <w:sz w:val="22"/>
        </w:rPr>
        <w:t>Files referenced</w:t>
      </w:r>
    </w:p>
    <w:p>
      <w:pPr>
        <w:pStyle w:val="ListBullet"/>
      </w:pPr>
      <w:r>
        <w:t>Content: IM and Marketing\Information Memorandum\455_West_Coast_Road_IM_Content_Draft_v2.docx</w:t>
      </w:r>
    </w:p>
    <w:p>
      <w:pPr>
        <w:pStyle w:val="ListBullet"/>
      </w:pPr>
      <w:r>
        <w:t>Farm map: Claude\map\farm map\ (aerial jpg/png, unlabelled, transparent boundary overlay, KML, GeoJSON)</w:t>
      </w:r>
    </w:p>
    <w:p>
      <w:pPr>
        <w:pStyle w:val="ListBullet"/>
      </w:pPr>
      <w:r>
        <w:t>Interactive map for reference: https://bigdiggerman.github.io/455-West-Coast-Road-map/</w:t>
      </w:r>
    </w:p>
    <w:p>
      <w:pPr>
        <w:pStyle w:val="ListBullet"/>
      </w:pPr>
      <w:r>
        <w:t>Photos: Photos\Dargaville Pics\</w:t>
      </w:r>
    </w:p>
    <w:p>
      <w:pPr>
        <w:pStyle w:val="ListBullet"/>
      </w:pPr>
      <w:r>
        <w:t>Logos: Admin\Marketing\Logos\Logos PNG\agri.png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