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40.png" ContentType="image/png"/>
  <Override PartName="/word/media/rId55.png" ContentType="image/png"/>
  <Override PartName="/word/media/rId46.png" ContentType="image/png"/>
  <Override PartName="/word/media/rId43.png" ContentType="image/png"/>
  <Override PartName="/word/media/rId49.png" ContentType="image/png"/>
  <Override PartName="/word/media/rId3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for the Jelly Ocean Hypothesis in the Northwest Atlantic</w:t>
      </w:r>
    </w:p>
    <w:p>
      <w:pPr>
        <w:pStyle w:val="Author"/>
      </w:pPr>
      <w:r>
        <w:t xml:space="preserve">Nicholas R. Record, Benjamin Tupper, Omi Johnson, Laura Ganley</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used time series analyses and a species distribution model to examine data from a 50-year survey of gelatinous zooplankton taxa on the Northeast US Continental Shelf Ecosystem. Time series analysis showed statistically significant increases in salps, siphonophores, and coelenterates (scyphozoans) in late summer and early autumn across the entire study region. Boosted regression tree models showed the probability of occurrence of gelatinous taxa were associated with day length, depth, and surface temperature for coelenterates; day length, surface and bottom temperature, and oxygen for salps; and day length, depth, bottom temperature, and oxygen for siphonophores. These results provide one line of evidence in favor of a long-term rise in gelatinous species. The roughly synchronized increases in these widely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zooplankton ecology, there has often been a</w:t>
      </w:r>
      <w:r>
        <w:t xml:space="preserve"> </w:t>
      </w:r>
      <w:r>
        <w:t xml:space="preserve">“crustaceocentric”</w:t>
      </w:r>
      <w:r>
        <w:t xml:space="preserve"> </w:t>
      </w:r>
      <w:r>
        <w:t xml:space="preserve">bias</w:t>
      </w:r>
      <w:r>
        <w:t xml:space="preserve"> </w:t>
      </w:r>
      <w:r>
        <w:t xml:space="preserve">(Haddock 2004)</w:t>
      </w:r>
      <w:r>
        <w:t xml:space="preserve">: gelatinous species, collectively termed gelata, have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Proposed causes are primarily human-driven, including warming</w:t>
      </w:r>
      <w:r>
        <w:t xml:space="preserve"> </w:t>
      </w:r>
      <w:r>
        <w:t xml:space="preserve">(Richardson et al. 2009)</w:t>
      </w:r>
      <w:r>
        <w:t xml:space="preserve">, eutrophication, translocation</w:t>
      </w:r>
      <w:r>
        <w:t xml:space="preserve"> </w:t>
      </w:r>
      <w:r>
        <w:t xml:space="preserve">(Kideys et al. 2005)</w:t>
      </w:r>
      <w:r>
        <w:t xml:space="preserve">, overfishing, bottom trawling</w:t>
      </w:r>
      <w:r>
        <w:t xml:space="preserve"> </w:t>
      </w:r>
      <w:r>
        <w:t xml:space="preserve">(Qiu 2014)</w:t>
      </w:r>
      <w:r>
        <w:t xml:space="preserve">, pollution, aquaculture, and acidification</w:t>
      </w:r>
      <w:r>
        <w:t xml:space="preserve"> </w:t>
      </w:r>
      <w:r>
        <w:t xml:space="preserve">(Richardson and Gibbons 2008)</w:t>
      </w:r>
      <w:r>
        <w:t xml:space="preserve">. There is also evidence to suggest that shifts toward the dominance of gelata are difficult to reverse because of dynamics like hysteresis</w:t>
      </w:r>
      <w:r>
        <w:t xml:space="preserve"> </w:t>
      </w:r>
      <w:r>
        <w:t xml:space="preserve">(Richardson et al. 2009)</w:t>
      </w:r>
      <w:r>
        <w:t xml:space="preserve">. The Jelly Ocean Hypothesis echoes a centuries-old concern; the 19th century novelist Jules Verne once predicted that,</w:t>
      </w:r>
      <w:r>
        <w:t xml:space="preserve"> </w:t>
      </w:r>
      <w:r>
        <w:t xml:space="preserve">“crowded with jellyfish, squid, and other devilfish, the oceans will have become huge centers of infection”</w:t>
      </w:r>
      <w:r>
        <w:t xml:space="preserve"> </w:t>
      </w:r>
      <w:r>
        <w:t xml:space="preserve">(Verne 2006)</w:t>
      </w:r>
      <w:r>
        <w:t xml:space="preserve">. While the term</w:t>
      </w:r>
      <w:r>
        <w:t xml:space="preserve"> </w:t>
      </w:r>
      <w:r>
        <w:t xml:space="preserve">“infection”</w:t>
      </w:r>
      <w:r>
        <w:t xml:space="preserve"> </w:t>
      </w:r>
      <w:r>
        <w:t xml:space="preserve">might be unfair to jellyfish, who simply inhabit the ocean, the potential influence on human industry and recreation makes the question worthy of examination.</w:t>
      </w:r>
    </w:p>
    <w:p>
      <w:pPr>
        <w:pStyle w:val="BodyText"/>
      </w:pPr>
      <w:r>
        <w:t xml:space="preserve">Testing the Jelly Ocean Hypothesis requires long time series (&gt;30 years) of gelata abundances in order to compare to historical levels. The sporadic nature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that coincided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based on the source, and includes taxa with drastic and important differences in their life histories, trophic positions, and ecological roles. For example, pelagic ctenophores are primarily copepod predators, whereas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w:t>
      </w:r>
      <w:r>
        <w:t xml:space="preserve"> </w:t>
      </w:r>
      <w:r>
        <w:rPr>
          <w:i/>
          <w:iCs/>
        </w:rPr>
        <w:t xml:space="preserve">a priori</w:t>
      </w:r>
      <w:r>
        <w:t xml:space="preserve"> </w:t>
      </w:r>
      <w:r>
        <w:t xml:space="preserve">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If so, it is possible that certain conditions can favor the gelatinous body form in general over other strategies that utilize a high carbon:volume ratio (e.g. crustaceans). This position would reframe the Jelly Ocean Hypothesis in trait-based terms: conditions in the ocean ecosystem can shift to benefit the gelatinous body form. The effect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these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has collected seasonal zooplankton measurements since 1977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Because of the absence of high taxonomic resolution, or any information on size of animals in the samples,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blue), Georges Bank (grey), Southern New England (green), and Mid-Atlantic Bight (red)."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(blue), Georges Bank (grey), Southern New England (green), and Mid-Atlantic Bight (red).</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bivariate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1/4 spatial 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This choice was based on a series of experiments testing different approaches to representing season, including using month as a factor, using a rolling seasonality index, and using the height and angle of the sun. Models using day length and the time derivative of day length had the strongest performance. We also included bathymetric depth and bathymetric slope.</w:t>
      </w:r>
      <w:r>
        <w:t xml:space="preserve"> </w:t>
      </w:r>
      <w:r>
        <w:t xml:space="preserve">A common threshold for covariate removal due to cross correlation is an r-squared value of 0.7. Because removal of covariates leads to information loss and predictive power in tree-based algorithms</w:t>
      </w:r>
      <w:r>
        <w:t xml:space="preserve"> </w:t>
      </w:r>
      <w:r>
        <w:t xml:space="preserve">(Hanberry 2024)</w:t>
      </w:r>
      <w:r>
        <w:t xml:space="preserve">, we kept all covariates. However, we included this information in our interpretation and made additional model runs to test the effect of cross correlation.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relationship between the two (water temperature is related to oxygen content), we ran a second set of runs using subsurface oxygen. We used a depth of 100m for subsurface oxygen, which limited the extent of the model domain.</w:t>
      </w:r>
    </w:p>
    <w:p>
      <w:pPr>
        <w:pStyle w:val="BodyText"/>
      </w:pPr>
      <w:r>
        <w:t xml:space="preserve">We used a boosted regression tree algorithm to fit the full set of observations to environmental covariates. Boosted regression trees are well suited to variables that have sharp jumps or thresholds, as is the case for the presence of gelatinous zooplankton, and are less prone to overfitting in species distribution models</w:t>
      </w:r>
      <w:r>
        <w:t xml:space="preserve"> </w:t>
      </w:r>
      <w:r>
        <w:t xml:space="preserve">(Elith et al. 2005)</w:t>
      </w:r>
      <w:r>
        <w:t xml:space="preserve">. We modeled each taxon using tidymodels workflows within the R programming language, optimizing the inbuilt area-under-curve (AUC) metric (Fielding and Bell 1997, Kuhn and Wickham, 2020). We used a set of hyperparameters optimized in a previous study that used the same dataset and methodology</w:t>
      </w:r>
      <w:r>
        <w:t xml:space="preserve"> </w:t>
      </w:r>
      <w:r>
        <w:t xml:space="preserve">(Johnson et al. 2025)</w:t>
      </w:r>
      <w:r>
        <w:t xml:space="preserve">; this choice was made following a separate tuning simulation that proved the resulting models highly insensitive to hyperparameters. We used a testing split of 25%, and ran a 25-fold cross-validated model to quantify algorithmic uncertainty around the median output. Cross correlation between environmental covariates was used in the interpretation of output, but not in covariate selection because the goal of the model was to explore covariate associations. Custom-built response curves</w:t>
      </w:r>
      <w:r>
        <w:t xml:space="preserve"> </w:t>
      </w:r>
      <w:r>
        <w:t xml:space="preserve">(Johnson et al. 2025)</w:t>
      </w:r>
      <w:r>
        <w:t xml:space="preserve"> </w:t>
      </w:r>
      <w:r>
        <w:t xml:space="preserve">were used to interpret associations between model response and variations in environmental covariates (Elith et al., 2005).</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significant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6" w:name="spatial-analysis-1"/>
    <w:p>
      <w:pPr>
        <w:pStyle w:val="Heading3"/>
      </w:pPr>
      <w:r>
        <w:t xml:space="preserve">Spatial analysis</w:t>
      </w:r>
    </w:p>
    <w:p>
      <w:pPr>
        <w:pStyle w:val="FirstParagraph"/>
      </w:pPr>
      <w:r>
        <w:t xml:space="preserve">For the boosted regression tree distribution model, performance was generally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The strongest covariates associating with occurrence of gelatinous taxa were day length, surface and bottom temperature, and oxygen for salps; day length, depth, and surface temperature for coelenterates; and day length, depth, bottom temperature, and oxygen for siphonophores (Figure S2-4). Salps had a positive monotonic response to temperature at the surface and at depth, while the other taxa had broad modes of positive temperature response. Net primary production and mixed layer thickness were consistently the weakest covariates. For salps and siphonophores, and to some degree for coelenterates, the response ticked up for very low oxygen values. Because of the strong connection between surface oxygen and surface temperature, we ran a series of tests using oxygen at 100 m, below the mixed layer. These patterns persisted.</w:t>
      </w:r>
    </w:p>
    <w:p>
      <w:pPr>
        <w:pStyle w:val="BodyText"/>
      </w:pPr>
      <w:r>
        <w:t xml:space="preserve">The three taxonomic groups had very distinct seasonal cycles, represented in the model output (Figure 3, S5-7). Salps were absent in the winter and spring, with a strong bloom in the autumn. The bloom was strongest in the Mid-Atlantic Bight, where nearly all samples contain salps, and extended northeast over Georges Bank, while presence remained generally low in the Gulf of Maine. Coelenterates were present year-round in most nearshore areas and generally absent over deeper waters, with a dip in the winter. Siphonophores had a more northerly range, with higher presence over deeper waters and a notably high presence over the continental slope in autumn.</w:t>
      </w:r>
    </w:p>
    <w:p>
      <w:pPr>
        <w:pStyle w:val="CaptionedFigure"/>
      </w:pPr>
      <w:r>
        <w:drawing>
          <wp:inline>
            <wp:extent cx="5334000" cy="4445000"/>
            <wp:effectExtent b="0" l="0" r="0" t="0"/>
            <wp:docPr descr="Model output averaged into climatologies for the three taxa, showing January, April, July, and October (columns) for salps, coelenterates, and siphonophores (rows). The full climatology for each taxon is in the supplement (S5-S7)."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output averaged into climatologies for the three taxa, showing January, April, July, and October (columns) for salps, coelenterates, and siphonophores (rows). The full climatology for each taxon is in the supplement (S5-S7).</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This has happened in the northeast US, prompting the same questions that underlie the Jelly Ocean Hypothesis: Are jellyfish (gelata) increasing, and if so, what is the cause? For the region considered in this study, fifty years of measurements provides clear evidence that there is a widespread increase of gelata, focused particularly in the autumn months. In some places, and for some taxa, there has been a trend from gelata being rare in samples in the early years of the survey to occurring in nearly all of the samples in the later years of the survey. This pattern is particularly pronounced for salps and siphonophores in the northern regions and the autumn months.</w:t>
      </w:r>
    </w:p>
    <w:p>
      <w:pPr>
        <w:pStyle w:val="BodyText"/>
      </w:pPr>
      <w:r>
        <w:t xml:space="preserve">The question of cause is more complicated. The northeast US shelf has undergone notable oceanographic changes over the past fifty years, some of which are apparent in the computed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delineation</w:t>
      </w:r>
      <w:r>
        <w:t xml:space="preserve"> </w:t>
      </w:r>
      <w:r>
        <w:t xml:space="preserve">(Pershing et al. 2015)</w:t>
      </w:r>
      <w:r>
        <w:t xml:space="preserve">. This period does not stand out in particular in the gelata time series, except again among salps in the Gulf of Maine and perhaps Georges Bank (Figure S1). Finally, the region underwent an abrupt shift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Salps showed a clear positive response to temperature, which is consistent with the expectation for the dominant species of salps known to inhabit the region – e.g. Salpa spp. and Thalia spp.</w:t>
      </w:r>
      <w:r>
        <w:t xml:space="preserve"> </w:t>
      </w:r>
      <w:r>
        <w:t xml:space="preserve">(Vargas and Madin 2004; Madin et al. 2006)</w:t>
      </w:r>
      <w:r>
        <w:t xml:space="preserve">. In the Southern Ocean, a long-term increase in salps has been associated with warmer waters and lower productivity</w:t>
      </w:r>
      <w:r>
        <w:t xml:space="preserve"> </w:t>
      </w:r>
      <w:r>
        <w:t xml:space="preserve">(Atkinson et al. 2004)</w:t>
      </w:r>
      <w:r>
        <w:t xml:space="preserve">. Neither productivity nor chlorophyll stood out as a strong covariate in this modeling exercise, but the positive association with warmer temperatures was notable, as the pattern would have to be consistent across multiple species to emerge.</w:t>
      </w:r>
    </w:p>
    <w:p>
      <w:pPr>
        <w:pStyle w:val="BodyText"/>
      </w:pPr>
      <w:r>
        <w:t xml:space="preserve">Coelenterates did not have a monotonic relationship with temperature. This is not surprising, as some of the most common scyphozoan jellyfish in the range have a subarctic distribution (e.g. Cyanea spp.). The strongest covariates for this taxonomic group had to do with seasonality and bathymetry–i.e. variables without long-term trends. This group also had a less pronounced long-term increase, though still significant. A better understanding of the drivers of this trend would probably require more taxonomically detailed dataset. Siphonophores showed mostly positive relationships with temperature, both at the surface and at the bottom.</w:t>
      </w:r>
    </w:p>
    <w:p>
      <w:pPr>
        <w:pStyle w:val="BodyText"/>
      </w:pPr>
      <w:r>
        <w:t xml:space="preserve">Salps and siphonophores, and to some degree coelenterates, had a positive response to very low oxygen values. A test using subsurface oxygen, to account for the relationship between oxygen and temperature, maintained this pattern. Because of their low carbon-to-volume ratio, gelatinous species are often able to survive at oxygen levels that are too low for their competitors or that have a slowing effect on their prey</w:t>
      </w:r>
      <w:r>
        <w:t xml:space="preserve"> </w:t>
      </w:r>
      <w:r>
        <w:t xml:space="preserve">(Purcell et al. 2001)</w:t>
      </w:r>
      <w:r>
        <w:t xml:space="preserve">. The results here are consistent with that property. One hypothesis for a cross-phylum increase in diverse gelata is that lower oxygen favors a gelatinous body plan.</w:t>
      </w:r>
    </w:p>
    <w:bookmarkEnd w:id="38"/>
    <w:bookmarkStart w:id="39" w:name="conclusion"/>
    <w:p>
      <w:pPr>
        <w:pStyle w:val="Heading2"/>
      </w:pPr>
      <w:r>
        <w:t xml:space="preserve">Conclusion</w:t>
      </w:r>
    </w:p>
    <w:p>
      <w:pPr>
        <w:pStyle w:val="FirstParagraph"/>
      </w:pPr>
      <w:r>
        <w:t xml:space="preserve">A 50-year survey on the northeast US continental shelf showed strong evidence of an increase across diverse gelatinous zooplankton taxa. In the context of the still-debated Jelly Ocean Hypothesis, the results contribute one piece of evidence in favor of a long-term rise in gelatinous species. The roughly synchronized increases in these widely diverse taxa suggest that changes in environmental or ecological conditions favor a gelatinous body plan generally. While there are a multiplicity of drivers of these changes, one hypothesis worth pursuing is the possibility that low oxygen favors gelatinous species generally. The survey only provided broad taxonomic groupings, which limited the analysis to some degree, but the fact that the long-term increases were apparent despite the coarse taxonomic resolution is compelling.</w:t>
      </w:r>
    </w:p>
    <w:p>
      <w:r>
        <w:br w:type="page"/>
      </w:r>
    </w:p>
    <w:bookmarkEnd w:id="39"/>
    <w:bookmarkStart w:id="6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41" name="Picture"/>
            <a:graphic>
              <a:graphicData uri="http://schemas.openxmlformats.org/drawingml/2006/picture">
                <pic:pic>
                  <pic:nvPicPr>
                    <pic:cNvPr descr="./figscripts/ECOMONjelly02S.png" id="42" name="Picture"/>
                    <pic:cNvPicPr>
                      <a:picLocks noChangeArrowheads="1" noChangeAspect="1"/>
                    </pic:cNvPicPr>
                  </pic:nvPicPr>
                  <pic:blipFill>
                    <a:blip r:embed="rId40"/>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p>
      <w:pPr>
        <w:pStyle w:val="CaptionedFigure"/>
      </w:pPr>
      <w:r>
        <w:drawing>
          <wp:inline>
            <wp:extent cx="5334000" cy="5334000"/>
            <wp:effectExtent b="0" l="0" r="0" t="0"/>
            <wp:docPr descr="Figure S2. Response curves for salps. Red vertical lines indicate median value. Shaded area indicates 95% interquartile range of the response while other covariates are held at their median values. Response curves are ordered from left to right and top to bottom by variable importance." title="" id="44" name="Picture"/>
            <a:graphic>
              <a:graphicData uri="http://schemas.openxmlformats.org/drawingml/2006/picture">
                <pic:pic>
                  <pic:nvPicPr>
                    <pic:cNvPr descr="./figscripts/response_curves_salp.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S2. Response curves for salps. Red vertical lines indicate median value. Shaded area indicates 95% interquartile range of the response while other covariates are held at their median values. Response curves are ordered from left to right and top to bottom by variable importance.</w:t>
      </w:r>
    </w:p>
    <w:p>
      <w:pPr>
        <w:pStyle w:val="CaptionedFigure"/>
      </w:pPr>
      <w:r>
        <w:drawing>
          <wp:inline>
            <wp:extent cx="5334000" cy="5334000"/>
            <wp:effectExtent b="0" l="0" r="0" t="0"/>
            <wp:docPr descr="Figure S3. Response curves for coelenterates Red vertical lines indicate median value. Shaded area indicates 95% interquartile range of the response while other covariates are held at their median values. Response curves are ordered from left to right and top to bottom by variable importance." title="" id="47" name="Picture"/>
            <a:graphic>
              <a:graphicData uri="http://schemas.openxmlformats.org/drawingml/2006/picture">
                <pic:pic>
                  <pic:nvPicPr>
                    <pic:cNvPr descr="./figscripts/response_curves_coel.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S3. Response curves for coelenterates Red vertical lines indicate median value. Shaded area indicates 95% interquartile range of the response while other covariates are held at their median values. Response curves are ordered from left to right and top to bottom by variable importance.</w:t>
      </w:r>
    </w:p>
    <w:p>
      <w:pPr>
        <w:pStyle w:val="CaptionedFigure"/>
      </w:pPr>
      <w:r>
        <w:drawing>
          <wp:inline>
            <wp:extent cx="5334000" cy="5334000"/>
            <wp:effectExtent b="0" l="0" r="0" t="0"/>
            <wp:docPr descr="Figure S4. Response curves for siphonophores Red vertical lines indicate median value. Shaded area indicates 95% interquartile range of the response while other covariates are held at their median values. Response curves are ordered from left to right and top to bottom by variable importance." title="" id="50" name="Picture"/>
            <a:graphic>
              <a:graphicData uri="http://schemas.openxmlformats.org/drawingml/2006/picture">
                <pic:pic>
                  <pic:nvPicPr>
                    <pic:cNvPr descr="./figscripts/response_curves_siph.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S4. Response curves for siphonophores Red vertical lines indicate median value. Shaded area indicates 95% interquartile range of the response while other covariates are held at their median values. Response curves are ordered from left to right and top to bottom by variable importance.</w:t>
      </w:r>
    </w:p>
    <w:p>
      <w:pPr>
        <w:pStyle w:val="CaptionedFigure"/>
      </w:pPr>
      <w:r>
        <w:drawing>
          <wp:inline>
            <wp:extent cx="5334000" cy="3221064"/>
            <wp:effectExtent b="0" l="0" r="0" t="0"/>
            <wp:docPr descr="Figure S5. Model output climatology for salps." title="" id="53" name="Picture"/>
            <a:graphic>
              <a:graphicData uri="http://schemas.openxmlformats.org/drawingml/2006/picture">
                <pic:pic>
                  <pic:nvPicPr>
                    <pic:cNvPr descr="./figscripts/salps_v1.02_monclim-NR.png" id="54" name="Picture"/>
                    <pic:cNvPicPr>
                      <a:picLocks noChangeArrowheads="1" noChangeAspect="1"/>
                    </pic:cNvPicPr>
                  </pic:nvPicPr>
                  <pic:blipFill>
                    <a:blip r:embed="rId5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S5. Model output climatology for salps.</w:t>
      </w:r>
    </w:p>
    <w:p>
      <w:pPr>
        <w:pStyle w:val="CaptionedFigure"/>
      </w:pPr>
      <w:r>
        <w:drawing>
          <wp:inline>
            <wp:extent cx="5334000" cy="3221064"/>
            <wp:effectExtent b="0" l="0" r="0" t="0"/>
            <wp:docPr descr="Figure S6. Model output climatology for coelenterates." title="" id="56" name="Picture"/>
            <a:graphic>
              <a:graphicData uri="http://schemas.openxmlformats.org/drawingml/2006/picture">
                <pic:pic>
                  <pic:nvPicPr>
                    <pic:cNvPr descr="./figscripts/coel_v1.02_monclim-NR.png" id="57" name="Picture"/>
                    <pic:cNvPicPr>
                      <a:picLocks noChangeArrowheads="1" noChangeAspect="1"/>
                    </pic:cNvPicPr>
                  </pic:nvPicPr>
                  <pic:blipFill>
                    <a:blip r:embed="rId5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S6. Model output climatology for coelenterates.</w:t>
      </w:r>
    </w:p>
    <w:p>
      <w:pPr>
        <w:pStyle w:val="CaptionedFigure"/>
      </w:pPr>
      <w:r>
        <w:drawing>
          <wp:inline>
            <wp:extent cx="5334000" cy="3221064"/>
            <wp:effectExtent b="0" l="0" r="0" t="0"/>
            <wp:docPr descr="Figure S7. Model output climatology for siphonophores" title="" id="59" name="Picture"/>
            <a:graphic>
              <a:graphicData uri="http://schemas.openxmlformats.org/drawingml/2006/picture">
                <pic:pic>
                  <pic:nvPicPr>
                    <pic:cNvPr descr="./figscripts/siph_v1.02_monclim-NR.png" id="60" name="Picture"/>
                    <pic:cNvPicPr>
                      <a:picLocks noChangeArrowheads="1" noChangeAspect="1"/>
                    </pic:cNvPicPr>
                  </pic:nvPicPr>
                  <pic:blipFill>
                    <a:blip r:embed="rId5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S7. Model output climatology for siphonophores</w:t>
      </w:r>
    </w:p>
    <w:p>
      <w:r>
        <w:br w:type="page"/>
      </w:r>
    </w:p>
    <w:bookmarkEnd w:id="61"/>
    <w:bookmarkStart w:id="88" w:name="references"/>
    <w:p>
      <w:pPr>
        <w:pStyle w:val="Heading2"/>
      </w:pPr>
      <w:r>
        <w:t xml:space="preserve">References</w:t>
      </w:r>
    </w:p>
    <w:bookmarkStart w:id="87" w:name="refs"/>
    <w:bookmarkStart w:id="6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62"/>
    <w:bookmarkStart w:id="6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63"/>
    <w:bookmarkStart w:id="6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64"/>
    <w:bookmarkStart w:id="6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65"/>
    <w:bookmarkStart w:id="6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66"/>
    <w:bookmarkStart w:id="67" w:name="ref-elith2005evaluation"/>
    <w:p>
      <w:pPr>
        <w:pStyle w:val="Bibliography"/>
      </w:pPr>
      <w:r>
        <w:t xml:space="preserve">Elith, Jane, Simon Ferrier, Falk Huettmann, and John Leathwick. 2005.</w:t>
      </w:r>
      <w:r>
        <w:t xml:space="preserve"> </w:t>
      </w:r>
      <w:r>
        <w:t xml:space="preserve">“The Evaluation Strip: A New and Robust Method for Plotting Predicted Responses from Species Distribution Models.”</w:t>
      </w:r>
      <w:r>
        <w:t xml:space="preserve"> </w:t>
      </w:r>
      <w:r>
        <w:rPr>
          <w:i/>
          <w:iCs/>
        </w:rPr>
        <w:t xml:space="preserve">Ecological Modelling</w:t>
      </w:r>
      <w:r>
        <w:t xml:space="preserve"> </w:t>
      </w:r>
      <w:r>
        <w:t xml:space="preserve">186 (3): 280–89.</w:t>
      </w:r>
    </w:p>
    <w:bookmarkEnd w:id="67"/>
    <w:bookmarkStart w:id="68"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68"/>
    <w:bookmarkStart w:id="69" w:name="ref-hanberry2024practical"/>
    <w:p>
      <w:pPr>
        <w:pStyle w:val="Bibliography"/>
      </w:pPr>
      <w:r>
        <w:t xml:space="preserve">Hanberry, Brice B. 2024.</w:t>
      </w:r>
      <w:r>
        <w:t xml:space="preserve"> </w:t>
      </w:r>
      <w:r>
        <w:t xml:space="preserve">“Practical Guide for Retaining Correlated Climate Variables and Unthinned Samples in Species Distribution Modeling, Using Random Forests.”</w:t>
      </w:r>
      <w:r>
        <w:t xml:space="preserve"> </w:t>
      </w:r>
      <w:r>
        <w:rPr>
          <w:i/>
          <w:iCs/>
        </w:rPr>
        <w:t xml:space="preserve">Ecological Informatics</w:t>
      </w:r>
      <w:r>
        <w:t xml:space="preserve"> </w:t>
      </w:r>
      <w:r>
        <w:t xml:space="preserve">79: 102406.</w:t>
      </w:r>
    </w:p>
    <w:bookmarkEnd w:id="69"/>
    <w:bookmarkStart w:id="70" w:name="ref-johnson2025suitability"/>
    <w:p>
      <w:pPr>
        <w:pStyle w:val="Bibliography"/>
      </w:pPr>
      <w:r>
        <w:t xml:space="preserve">Johnson, Omi H, Stéphane Plourde, Caroline Lehoux, Camille H Ross, Benjamin Tupper, Christopher D Orphanides, Harvey J Walsh, and Nicholas R Record. 2025.</w:t>
      </w:r>
      <w:r>
        <w:t xml:space="preserve"> </w:t>
      </w:r>
      <w:r>
        <w:t xml:space="preserve">“Suitability of Foraging Habitat for Eubalaena Glacialis Under Future Climate Scenarios in the Northwest Atlantic.”</w:t>
      </w:r>
      <w:r>
        <w:t xml:space="preserve"> </w:t>
      </w:r>
      <w:r>
        <w:rPr>
          <w:i/>
          <w:iCs/>
        </w:rPr>
        <w:t xml:space="preserve">Elem Sci Anth</w:t>
      </w:r>
      <w:r>
        <w:t xml:space="preserve"> </w:t>
      </w:r>
      <w:r>
        <w:t xml:space="preserve">13 (1): 00044.</w:t>
      </w:r>
    </w:p>
    <w:bookmarkEnd w:id="70"/>
    <w:bookmarkStart w:id="71"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71"/>
    <w:bookmarkStart w:id="72" w:name="ref-madin2006periodic"/>
    <w:p>
      <w:pPr>
        <w:pStyle w:val="Bibliography"/>
      </w:pPr>
      <w:r>
        <w:t xml:space="preserve">Madin, Laurence P, P Kremer, PH Wiebe, JE Purcell, EH Horgan, and DA Nemazie. 2006.</w:t>
      </w:r>
      <w:r>
        <w:t xml:space="preserve"> </w:t>
      </w:r>
      <w:r>
        <w:t xml:space="preserve">“Periodic Swarms of the Salp Salpa Aspera in the Slope Water Off the NE United States: Biovolume, Vertical Migration, Grazing, and Vertical Flux.”</w:t>
      </w:r>
      <w:r>
        <w:t xml:space="preserve"> </w:t>
      </w:r>
      <w:r>
        <w:rPr>
          <w:i/>
          <w:iCs/>
        </w:rPr>
        <w:t xml:space="preserve">Deep Sea Research Part I: Oceanographic Research Papers</w:t>
      </w:r>
      <w:r>
        <w:t xml:space="preserve"> </w:t>
      </w:r>
      <w:r>
        <w:t xml:space="preserve">53 (5): 804–19.</w:t>
      </w:r>
    </w:p>
    <w:bookmarkEnd w:id="72"/>
    <w:bookmarkStart w:id="73"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73"/>
    <w:bookmarkStart w:id="74"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74"/>
    <w:bookmarkStart w:id="75"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75"/>
    <w:bookmarkStart w:id="76" w:name="ref-purcell2001pelagic"/>
    <w:p>
      <w:pPr>
        <w:pStyle w:val="Bibliography"/>
      </w:pPr>
      <w:r>
        <w:t xml:space="preserve">Purcell, Jennifer E, Denise L Breitburg, Mary Beth Decker, William M Graham, Marsh J Youngbluth, and Kevin A Raskoff. 2001.</w:t>
      </w:r>
      <w:r>
        <w:t xml:space="preserve"> </w:t>
      </w:r>
      <w:r>
        <w:t xml:space="preserve">“Pelagic Cnidarians and Ctenophores in Low Dissolved Oxygen Environments: A Review.”</w:t>
      </w:r>
      <w:r>
        <w:t xml:space="preserve"> </w:t>
      </w:r>
      <w:r>
        <w:rPr>
          <w:i/>
          <w:iCs/>
        </w:rPr>
        <w:t xml:space="preserve">Coastal Hypoxia: Consequences for Living Resources and Ecosystems</w:t>
      </w:r>
      <w:r>
        <w:t xml:space="preserve"> </w:t>
      </w:r>
      <w:r>
        <w:t xml:space="preserve">58: 77–100.</w:t>
      </w:r>
    </w:p>
    <w:bookmarkEnd w:id="76"/>
    <w:bookmarkStart w:id="77" w:name="ref-qiu2014coastal"/>
    <w:p>
      <w:pPr>
        <w:pStyle w:val="Bibliography"/>
      </w:pPr>
      <w:r>
        <w:t xml:space="preserve">Qiu, Jane. 2014.</w:t>
      </w:r>
      <w:r>
        <w:t xml:space="preserve"> </w:t>
      </w:r>
      <w:r>
        <w:t xml:space="preserve">“Coastal Havoc Boosts Jellies.”</w:t>
      </w:r>
      <w:r>
        <w:t xml:space="preserve"> </w:t>
      </w:r>
      <w:r>
        <w:rPr>
          <w:i/>
          <w:iCs/>
        </w:rPr>
        <w:t xml:space="preserve">Nature</w:t>
      </w:r>
      <w:r>
        <w:t xml:space="preserve"> </w:t>
      </w:r>
      <w:r>
        <w:t xml:space="preserve">514 (7524): 545.</w:t>
      </w:r>
    </w:p>
    <w:bookmarkEnd w:id="77"/>
    <w:bookmarkStart w:id="78"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78"/>
    <w:bookmarkStart w:id="79"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79"/>
    <w:bookmarkStart w:id="80"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80"/>
    <w:bookmarkStart w:id="81"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81"/>
    <w:bookmarkStart w:id="82"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82"/>
    <w:bookmarkStart w:id="83" w:name="ref-vargas2004zooplankton"/>
    <w:p>
      <w:pPr>
        <w:pStyle w:val="Bibliography"/>
      </w:pPr>
      <w:r>
        <w:t xml:space="preserve">Vargas, Cristian A, and Laurence P Madin. 2004.</w:t>
      </w:r>
      <w:r>
        <w:t xml:space="preserve"> </w:t>
      </w:r>
      <w:r>
        <w:t xml:space="preserve">“Zooplankton Feeding Ecology: Clearance and Ingestion Rates of the Salps Thalia Democratica, Cyclosalpa Affinis and Salpa Cylindrica on Naturally Occurring Particles in the Mid-Atlantic Bight.”</w:t>
      </w:r>
      <w:r>
        <w:t xml:space="preserve"> </w:t>
      </w:r>
      <w:r>
        <w:rPr>
          <w:i/>
          <w:iCs/>
        </w:rPr>
        <w:t xml:space="preserve">Journal of Plankton Research</w:t>
      </w:r>
      <w:r>
        <w:t xml:space="preserve"> </w:t>
      </w:r>
      <w:r>
        <w:t xml:space="preserve">26 (7): 827–33.</w:t>
      </w:r>
    </w:p>
    <w:bookmarkEnd w:id="83"/>
    <w:bookmarkStart w:id="84" w:name="ref-verne200620"/>
    <w:p>
      <w:pPr>
        <w:pStyle w:val="Bibliography"/>
      </w:pPr>
      <w:r>
        <w:t xml:space="preserve">Verne, Jules. 2006.</w:t>
      </w:r>
      <w:r>
        <w:t xml:space="preserve"> </w:t>
      </w:r>
      <w:r>
        <w:rPr>
          <w:i/>
          <w:iCs/>
        </w:rPr>
        <w:t xml:space="preserve">20,000 Leagues Under the Sea</w:t>
      </w:r>
      <w:r>
        <w:t xml:space="preserve">. Vol. 20. Sterling Publishing Company, Inc.</w:t>
      </w:r>
    </w:p>
    <w:bookmarkEnd w:id="84"/>
    <w:bookmarkStart w:id="85"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85"/>
    <w:bookmarkStart w:id="86"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for the Jelly Ocean Hypothesis in the Northwest Atlantic</dc:title>
  <dc:creator>Nicholas R. Record, Benjamin Tupper, Omi Johnson, Laura Ganley</dc:creator>
  <cp:keywords/>
  <dcterms:created xsi:type="dcterms:W3CDTF">2026-09-11T12:04:00Z</dcterms:created>
  <dcterms:modified xsi:type="dcterms:W3CDTF">2026-09-11T12:04:00Z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