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5.png" ContentType="image/png"/>
  <Override PartName="/word/media/rId33.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for the Jelly Ocean Hypothesis in the Northwest North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drivers of the occurrence of gelatinous taxa were XYZ (oxygen?) ETCECT The results form one piece of evidence in favor of a long-term rise in gelatinous species. The roughly synchronized increases in these widly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to suggest that shifts toward dominance of gelata are difficult to reverse because of dynamics like hysteresis</w:t>
      </w:r>
      <w:r>
        <w:t xml:space="preserve"> </w:t>
      </w:r>
      <w:r>
        <w:t xml:space="preserve">(Richardson et al. 2009)</w:t>
      </w:r>
      <w:r>
        <w:t xml:space="preserve">. The Jelly Ocean Hypothesis echoes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shortage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that coincided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based on the source, and includes taxa with drastic and important differences in their life histories, trophic positions, and ecological roles. For example, pelagic ctenophores are primarily copepod predators, whereas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 a priori 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has collected seasonal zooplankton measurements since 1977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blue), Georges Bank (grey), Southern New England (green), and Mid-Atlantic Bight (red)."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(blue), Georges Bank (grey), Southern New England (green), and Mid-Atlantic Bight (red).</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1/4 spatial 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as well as bathymetric depth and bathymetric slope.</w:t>
      </w:r>
    </w:p>
    <w:p>
      <w:pPr>
        <w:pStyle w:val="BodyText"/>
      </w:pPr>
      <w:r>
        <w:t xml:space="preserve">We used a boosted regression tree algorithm to fit the observations to environmental covariates. Boosted regression trees are well suited to variables that have sharp jumps or thresholds</w:t>
      </w:r>
      <w:r>
        <w:t xml:space="preserve"> </w:t>
      </w:r>
      <w:r>
        <w:t xml:space="preserve">(Johnson et al. 2025)</w:t>
      </w:r>
      <w:r>
        <w:t xml:space="preserve">, as is the case for the presence of gelatinous zooplankton, and is less prone to overfitting in species distribution models</w:t>
      </w:r>
      <w:r>
        <w:t xml:space="preserve"> </w:t>
      </w:r>
      <w:r>
        <w:t xml:space="preserve">(Elith et al. 2005)</w:t>
      </w:r>
      <w:r>
        <w:t xml:space="preserve">. We modeled each taxon using tidymodels workflows within R, optimizing the inbuilt area-under-curve (AUC) metric (Fielding and Bell 1997, Kuhn and Wickham, 2020). We used a set of hyperparameters optimized in a previous study that used the same dataset and methodology; this choice was made following a separate tuning simulation that proved the resulting models highly insensitive to hyperparameters</w:t>
      </w:r>
      <w:r>
        <w:t xml:space="preserve"> </w:t>
      </w:r>
      <w:r>
        <w:t xml:space="preserve">(Johnson et al. 2025)</w:t>
      </w:r>
      <w:r>
        <w:t xml:space="preserve">. We used a testing split of 25%, and ran a 25-fold cross-validated model to quantify algorithmic undertainty around the median output. Cross correlation between environmental covariates was used in the interpretation of output, but not in covariate selection because the goal of the model was to explore covariate associations. Custom-built response curves</w:t>
      </w:r>
      <w:r>
        <w:t xml:space="preserve"> </w:t>
      </w:r>
      <w:r>
        <w:t xml:space="preserve">(Johnson et al. 2025)</w:t>
      </w:r>
      <w:r>
        <w:t xml:space="preserve"> </w:t>
      </w:r>
      <w:r>
        <w:t xml:space="preserve">were used to interpret associations between model response and variations in environmental covariates (Elith et al., 2005).</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genearally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realtionship between the two (water temperature is related to oxyge content), we ran a second set of runs using subsurface oxygen. We used a depth of 100m, which limited the extent of the model domain.</w:t>
      </w:r>
    </w:p>
    <w:p>
      <w:pPr>
        <w:pStyle w:val="BodyText"/>
      </w:pPr>
      <w:r>
        <w:t xml:space="preserve">The three taxonomic groups had very distinct seasonal cycles (Figure 3).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presense over the continental slope in autumn.</w:t>
      </w:r>
    </w:p>
    <w:p>
      <w:pPr>
        <w:pStyle w:val="CaptionedFigure"/>
      </w:pPr>
      <w:r>
        <w:drawing>
          <wp:inline>
            <wp:extent cx="5334000" cy="4445000"/>
            <wp:effectExtent b="0" l="0" r="0" t="0"/>
            <wp:docPr descr="Model output climatologies for the three taxa, showing January, April, July, and October (columns) for salps, coelenterates, and siphonophores (rows). The full climatology for each taxon is in the supplement (S2-S4)."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climatologies for the three taxa, showing January, April, July, and October (columns) for salps, coelenterates, and siphonophores (rows). The full climatology for each taxon is in the supplement (S2-S4).</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of gelata,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how it is delineated</w:t>
      </w:r>
      <w:r>
        <w:t xml:space="preserve"> </w:t>
      </w:r>
      <w:r>
        <w:t xml:space="preserve">(Pershing et al. 2015)</w:t>
      </w:r>
      <w:r>
        <w:t xml:space="preserve">. This period does not stand out in particular in the gelata time series, except again among salps in the Gulf of Maine, and perhaps Georges Bank (Figure S1). Finally, the region has also undergone an abrupt shoft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p>
      <w:r>
        <w:br w:type="page"/>
      </w:r>
    </w:p>
    <w:bookmarkEnd w:id="38"/>
    <w:bookmarkStart w:id="5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0" name="Picture"/>
            <a:graphic>
              <a:graphicData uri="http://schemas.openxmlformats.org/drawingml/2006/picture">
                <pic:pic>
                  <pic:nvPicPr>
                    <pic:cNvPr descr="./figscripts/ECOMONjelly02S.png" id="41" name="Picture"/>
                    <pic:cNvPicPr>
                      <a:picLocks noChangeArrowheads="1" noChangeAspect="1"/>
                    </pic:cNvPicPr>
                  </pic:nvPicPr>
                  <pic:blipFill>
                    <a:blip r:embed="rId39"/>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3221064"/>
            <wp:effectExtent b="0" l="0" r="0" t="0"/>
            <wp:docPr descr="Figure S2. Model output climatology for salps." title="" id="43" name="Picture"/>
            <a:graphic>
              <a:graphicData uri="http://schemas.openxmlformats.org/drawingml/2006/picture">
                <pic:pic>
                  <pic:nvPicPr>
                    <pic:cNvPr descr="./figscripts/salps_v1.02_monclim-NR.png" id="44" name="Picture"/>
                    <pic:cNvPicPr>
                      <a:picLocks noChangeArrowheads="1" noChangeAspect="1"/>
                    </pic:cNvPicPr>
                  </pic:nvPicPr>
                  <pic:blipFill>
                    <a:blip r:embed="rId4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S2. Model output climatology for salps.</w:t>
      </w:r>
    </w:p>
    <w:p>
      <w:pPr>
        <w:pStyle w:val="CaptionedFigure"/>
      </w:pPr>
      <w:r>
        <w:drawing>
          <wp:inline>
            <wp:extent cx="5334000" cy="3221064"/>
            <wp:effectExtent b="0" l="0" r="0" t="0"/>
            <wp:docPr descr="Figure S3. Model output climatology for coelenterates." title="" id="46" name="Picture"/>
            <a:graphic>
              <a:graphicData uri="http://schemas.openxmlformats.org/drawingml/2006/picture">
                <pic:pic>
                  <pic:nvPicPr>
                    <pic:cNvPr descr="./figscripts/coel_v1.02_monclim-NR.png" id="47" name="Picture"/>
                    <pic:cNvPicPr>
                      <a:picLocks noChangeArrowheads="1" noChangeAspect="1"/>
                    </pic:cNvPicPr>
                  </pic:nvPicPr>
                  <pic:blipFill>
                    <a:blip r:embed="rId4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S3. Model output climatology for coelenterates.</w:t>
      </w:r>
    </w:p>
    <w:p>
      <w:pPr>
        <w:pStyle w:val="CaptionedFigure"/>
      </w:pPr>
      <w:r>
        <w:drawing>
          <wp:inline>
            <wp:extent cx="5334000" cy="3221064"/>
            <wp:effectExtent b="0" l="0" r="0" t="0"/>
            <wp:docPr descr="Figure S4. Model output climatology for siphonophores" title="" id="49" name="Picture"/>
            <a:graphic>
              <a:graphicData uri="http://schemas.openxmlformats.org/drawingml/2006/picture">
                <pic:pic>
                  <pic:nvPicPr>
                    <pic:cNvPr descr="./figscripts/siph_v1.02_monclim-NR.png" id="50" name="Picture"/>
                    <pic:cNvPicPr>
                      <a:picLocks noChangeArrowheads="1" noChangeAspect="1"/>
                    </pic:cNvPicPr>
                  </pic:nvPicPr>
                  <pic:blipFill>
                    <a:blip r:embed="rId4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S4. Model output climatology for siphonophores</w:t>
      </w:r>
    </w:p>
    <w:p>
      <w:r>
        <w:br w:type="page"/>
      </w:r>
    </w:p>
    <w:bookmarkEnd w:id="51"/>
    <w:bookmarkStart w:id="72" w:name="references"/>
    <w:p>
      <w:pPr>
        <w:pStyle w:val="Heading2"/>
      </w:pPr>
      <w:r>
        <w:t xml:space="preserve">References</w:t>
      </w:r>
    </w:p>
    <w:bookmarkStart w:id="71" w:name="refs"/>
    <w:bookmarkStart w:id="5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52"/>
    <w:bookmarkStart w:id="5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53"/>
    <w:bookmarkStart w:id="5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54"/>
    <w:bookmarkStart w:id="5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55"/>
    <w:bookmarkStart w:id="5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56"/>
    <w:bookmarkStart w:id="57" w:name="ref-elith2005evaluation"/>
    <w:p>
      <w:pPr>
        <w:pStyle w:val="Bibliography"/>
      </w:pPr>
      <w:r>
        <w:t xml:space="preserve">Elith, Jane, Simon Ferrier, Falk Huettmann, and John Leathwick. 2005.</w:t>
      </w:r>
      <w:r>
        <w:t xml:space="preserve"> </w:t>
      </w:r>
      <w:r>
        <w:t xml:space="preserve">“The Evaluation Strip: A New and Robust Method for Plotting Predicted Responses from Species Distribution Models.”</w:t>
      </w:r>
      <w:r>
        <w:t xml:space="preserve"> </w:t>
      </w:r>
      <w:r>
        <w:rPr>
          <w:i/>
          <w:iCs/>
        </w:rPr>
        <w:t xml:space="preserve">Ecological Modelling</w:t>
      </w:r>
      <w:r>
        <w:t xml:space="preserve"> </w:t>
      </w:r>
      <w:r>
        <w:t xml:space="preserve">186 (3): 280–89.</w:t>
      </w:r>
    </w:p>
    <w:bookmarkEnd w:id="57"/>
    <w:bookmarkStart w:id="58"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58"/>
    <w:bookmarkStart w:id="59" w:name="ref-johnson2025suitability"/>
    <w:p>
      <w:pPr>
        <w:pStyle w:val="Bibliography"/>
      </w:pPr>
      <w:r>
        <w:t xml:space="preserve">Johnson, Omi H, Stéphane Plourde, Caroline Lehoux, Camille H Ross, Benjamin Tupper, Christopher D Orphanides, Harvey J Walsh, and Nicholas R Record. 2025.</w:t>
      </w:r>
      <w:r>
        <w:t xml:space="preserve"> </w:t>
      </w:r>
      <w:r>
        <w:t xml:space="preserve">“Suitability of Foraging Habitat for Eubalaena Glacialis Under Future Climate Scenarios in the Northwest Atlantic.”</w:t>
      </w:r>
      <w:r>
        <w:t xml:space="preserve"> </w:t>
      </w:r>
      <w:r>
        <w:rPr>
          <w:i/>
          <w:iCs/>
        </w:rPr>
        <w:t xml:space="preserve">Elem Sci Anth</w:t>
      </w:r>
      <w:r>
        <w:t xml:space="preserve"> </w:t>
      </w:r>
      <w:r>
        <w:t xml:space="preserve">13 (1): 00044.</w:t>
      </w:r>
    </w:p>
    <w:bookmarkEnd w:id="59"/>
    <w:bookmarkStart w:id="60"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60"/>
    <w:bookmarkStart w:id="61"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61"/>
    <w:bookmarkStart w:id="62"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62"/>
    <w:bookmarkStart w:id="63"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63"/>
    <w:bookmarkStart w:id="64"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64"/>
    <w:bookmarkStart w:id="65"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65"/>
    <w:bookmarkStart w:id="66"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66"/>
    <w:bookmarkStart w:id="67"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67"/>
    <w:bookmarkStart w:id="68"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68"/>
    <w:bookmarkStart w:id="69"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69"/>
    <w:bookmarkStart w:id="70"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for the Jelly Ocean Hypothesis in the Northwest North Atlantic</dc:title>
  <dc:creator>Nicholas R. Record, Benjamin Tupper, Omi Johnson</dc:creator>
  <cp:keywords/>
  <dcterms:created xsi:type="dcterms:W3CDTF">2026-08-19T17:56:28Z</dcterms:created>
  <dcterms:modified xsi:type="dcterms:W3CDTF">2026-08-19T17:56:28Z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