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0–456主干渠动态供配水模拟与 Pati RSR 适用性检验阶段性汇报</w:t>
      </w:r>
    </w:p>
    <w:p>
      <w:pPr>
        <w:pStyle w:val="Subtitle"/>
        <w:jc w:val="center"/>
      </w:pPr>
      <w:r>
        <w:t>按老师意见补充数值离散、分水源项、公式编号与参考文献 | 2026-05-17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000"/>
      </w:tblGrid>
      <w:tr>
        <w:tc>
          <w:tcPr>
            <w:tcW w:type="dxa" w:w="9000"/>
            <w:shd w:fill="E8EEF5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1F4D78"/>
                <w:sz w:val="20"/>
              </w:rPr>
              <w:t>阶段性结论：</w:t>
            </w:r>
            <w:r>
              <w:rPr>
                <w:rFonts w:ascii="等线" w:hAnsi="等线" w:eastAsia="等线"/>
                <w:sz w:val="20"/>
              </w:rPr>
              <w:t>当前结果支持将一维 Saint-Venant 正演作为0–456渠段动态调度主模型；Pati RSR 在简单规则渠段可闭合，在少数局部渠段对水深反演有参考价值，但流量反演和全渠段长距离反推不稳定，因此不宜作为复杂渠系主模型。</w:t>
            </w:r>
          </w:p>
        </w:tc>
      </w:tr>
    </w:tbl>
    <w:p/>
    <w:p>
      <w:pPr>
        <w:pStyle w:val="Heading1"/>
      </w:pPr>
      <w:r>
        <w:t>1. 研究对象与当前建模目标</w:t>
      </w:r>
    </w:p>
    <w:p>
      <w:pPr/>
      <w:r>
        <w:t>本阶段聚焦石津灌区前约20 km的0–456主干渠段，考虑渠首来水、多个配水口取水、关键节点水深变化与渠段安全水位约束。当前目标不是直接形成最终调度优化模型，而是先建立可解释的物理基准：用一维 Saint-Venant 正演描述渠首来水波沿主渠传播、配水口出流和沿程水位动态，并检验 Pati et al. (2023) reverse-stage routing 方法在本渠段条件下的适用边界。</w:t>
      </w:r>
    </w:p>
    <w:p>
      <w:pPr>
        <w:pStyle w:val="ListBullet"/>
      </w:pPr>
      <w:r>
        <w:t>渠首边界：流量由0平滑爬升至80 m³/s。</w:t>
      </w:r>
    </w:p>
    <w:p>
      <w:pPr>
        <w:pStyle w:val="ListBullet"/>
      </w:pPr>
      <w:r>
        <w:t>配水口能力：71、89口为20 m³/s，287口为12 m³/s，150、194、349、383口为5 m³/s。</w:t>
      </w:r>
    </w:p>
    <w:p>
      <w:pPr>
        <w:pStyle w:val="ListBullet"/>
      </w:pPr>
      <w:r>
        <w:t>配水口控制：按最大能力放水，累计供水达到假设需水量后关闸。</w:t>
      </w:r>
    </w:p>
    <w:p>
      <w:pPr>
        <w:pStyle w:val="ListBullet"/>
      </w:pPr>
      <w:r>
        <w:t>水位约束：关键节点和沿程最大水深与渠深/安全水深进行比较。</w:t>
      </w:r>
    </w:p>
    <w:p>
      <w:pPr>
        <w:pStyle w:val="Heading1"/>
      </w:pPr>
      <w:r>
        <w:t>2. Saint-Venant 正演模型与数值离散</w:t>
      </w:r>
    </w:p>
    <w:p>
      <w:pPr/>
      <w:r>
        <w:t>本次报告将原先 Muskingum-Cunge 快速验证思路调整为一维 Saint-Venant 动态正演框架。当前计算程序为本人在 Python 中编写的原型程序，未直接调用开源水动力求解器；主要代码文件列于下方。</w:t>
      </w:r>
    </w:p>
    <w:p>
      <w:pPr>
        <w:pStyle w:val="ListBullet"/>
      </w:pPr>
      <w:r>
        <w:t>/Users/pupu/Documents/New project/stage7_saint_venant_fig2_revised.py：Saint-Venant 正演与配水口出流过程。</w:t>
      </w:r>
    </w:p>
    <w:p>
      <w:pPr>
        <w:pStyle w:val="ListBullet"/>
      </w:pPr>
      <w:r>
        <w:t>/Users/pupu/Documents/New project/stage6_saint_venant_fig3.py：累计供水量积分与图3绘制。</w:t>
      </w:r>
    </w:p>
    <w:p>
      <w:pPr>
        <w:pStyle w:val="ListBullet"/>
      </w:pPr>
      <w:r>
        <w:t>/Users/pupu/Documents/New project/stage6_saint_venant_fig4_key_depth.py：关键节点水深动态过程。</w:t>
      </w:r>
    </w:p>
    <w:p>
      <w:pPr>
        <w:pStyle w:val="ListBullet"/>
      </w:pPr>
      <w:r>
        <w:t>/Users/pupu/Documents/New project/saint_venant_dispatch_fig6.py：沿程最大水深包络线。</w:t>
      </w:r>
    </w:p>
    <w:p>
      <w:pPr/>
      <w:r>
        <w:t>为回应“公式之间需要相互衔接”的问题，本节按守恒变量、控制方程、数值通量、地形梯度项、摩阻项、分水源项和边界条件的顺序给出完整计算链条。</w:t>
      </w:r>
    </w:p>
    <w:p>
      <w:pPr>
        <w:pStyle w:val="Heading2"/>
      </w:pPr>
      <w:r>
        <w:t>2.1 控制方程与守恒变量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U = [A, Q]^T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∂U/∂t + ∂F(U)/∂x = S_b + S_f + S_div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F(U) = [Q, Q²/A + gI₁]^T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I₁(h) = (1/2)bh² + (1/3)zh³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(4)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U：守恒变量向量；A：过水面积，单位 m²；Q：流量，单位 m³/s；F(U)：通量向量。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t：时间，单位 s；x：沿程距离，单位 m；g：重力加速度，单位 m/s²。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I₁：断面静水压力积分项，单位 m³；b：底宽，单位 m；z：边坡系数，表示水平:垂直；h：水深，单位 m。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S_b：地形/床坡源项；S_f：Manning 摩阻源项；S_div：分水口侧向出流源项。</w:t>
      </w:r>
    </w:p>
    <w:p>
      <w:pPr>
        <w:pStyle w:val="Heading2"/>
      </w:pPr>
      <w:r>
        <w:t>2.2 断面几何关系</w:t>
      </w:r>
    </w:p>
    <w:p>
      <w:pPr/>
      <w:r>
        <w:t>根据 input.txt 和 lineParam.txt 中的渠深、底宽、边坡角和 Manning 糙率参数，主渠每个节点均按所属线段参数计算梯形断面水力要素。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A = bh + zh²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B = b + 2zh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P = b + 2h√(1+z²)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R = A/P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(8)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B：自由水面宽，单位 m；P：湿周，单位 m；R：水力半径，单位 m。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D：渠深，单位 m；安全水深以渠深或设定安全比例作为参照，用于图4和图5的水位超限检查。</w:t>
      </w:r>
    </w:p>
    <w:p>
      <w:pPr>
        <w:pStyle w:val="Heading2"/>
      </w:pPr>
      <w:r>
        <w:t>2.3 有限体积离散与 HLL 数值通量</w:t>
      </w:r>
    </w:p>
    <w:p>
      <w:pPr/>
      <w:r>
        <w:t>对第 i 个控制体，采用有限体积格式进行时间推进。当前程序中通量项显式计算，摩阻项随后半隐式修正。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U_i^(n+1,*) = U_i^n − (Δt/Δx_i)(F_(i+1/2)^n − F_(i−1/2)^n) + Δt S_(b,i)^n + Δt S_(div,i)^n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F_HLL = [s_R F(U_L) − s_L F(U_R) + s_Ls_R(U_R − U_L)]/(s_R − s_L)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s_L = min(u_L − c_L, u_R − c_R)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s_R = max(u_L + c_L, u_R + c_R)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u = Q/A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c = √(gA/B)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CFL = max_i[(|u_i|+c_i)Δt/Δx_i] ≤ CFL_max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(15)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Δt：时间步长，单位 s；Δx_i：第 i 个控制体长度，单位 m；上标 n 表示第 n 个时间层。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U_L、U_R：界面左右两侧状态量；F_(i+1/2)：第 i 与 i+1 个控制体之间的界面数值通量。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u：断面平均流速，单位 m/s；c：明渠浅水波速，单位 m/s。这里采用 c=√(gA/B)，即以水力深度 A/B 代替矩形渠近似中的 h。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显式通量项的稳定性检查采用 |u|+c，而不是仅按实际流速或仅按重力波速估算。当前绘图程序内部计算时间步长为1 s，输出间隔为60 s。</w:t>
      </w:r>
    </w:p>
    <w:p>
      <w:pPr>
        <w:pStyle w:val="Heading2"/>
      </w:pPr>
      <w:r>
        <w:t>2.4 地形梯度项离散</w:t>
      </w:r>
    </w:p>
    <w:p>
      <w:pPr/>
      <w:r>
        <w:t>老师特别指出需要说明地形梯度项的离散。当前程序将渠底高程 Z_b 显式进入床坡源项，采用相邻节点渠底高程差计算局部床坡。内点采用中心差分，边界点采用单边差分。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S_(b,i) = [0, gA_iS_(0,i)]^T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S_(0,i) = (Z_(b,i−1) − Z_(b,i+1))/(x_(i+1) − x_(i−1)),  1 ≤ i ≤ N−1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S_(0,0) = (Z_(b,0) − Z_(b,1))/(x_1 − x_0)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S_(0,N) = (Z_(b,N−1) − Z_(b,N))/(x_N − x_(N−1))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(19)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Z_b：渠底高程，单位 m；S_0：局部床坡，无量纲。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该处理使床坡由真实节点高程进入 Saint-Venant 动量方程，而不是使用单一常数坡降。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需要说明的是，当前版本属于局部床坡源项离散，尚未实现严格 well-balanced 的 hydrostatic reconstruction；后续若用于更高精度水面线保持，可进一步升级。</w:t>
      </w:r>
    </w:p>
    <w:p>
      <w:pPr>
        <w:pStyle w:val="Heading2"/>
      </w:pPr>
      <w:r>
        <w:t>2.5 Manning 摩阻项与半隐式处理</w:t>
      </w:r>
    </w:p>
    <w:p>
      <w:pPr/>
      <w:r>
        <w:t>Manning 摩阻坡降按下式计算，并在动量方程中作为耗散源项。为降低显式摩阻带来的振荡，当前程序对摩阻项采用半隐式修正。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S_f = n²Q|Q|/(A²R^(4/3))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S_f^Q = [0, −gAS_f]^T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Q_i^(n+1) = Q_i^(n+1,*)/[1 + Δt·g·n²|Q_i^n|/(A_i^(n+1,*)R_i^(4/3))]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(22)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n：Manning 糙率系数，单位 s/m^(1/3)；S_f：摩阻坡降，无量纲。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Q_i^(n+1,*)：未进行摩阻修正的中间流量；Q_i^(n+1)：半隐式摩阻修正后的流量。</w:t>
      </w:r>
    </w:p>
    <w:p>
      <w:pPr>
        <w:pStyle w:val="Heading2"/>
      </w:pPr>
      <w:r>
        <w:t>2.6 分水口在 Saint-Venant 框架下的描述</w:t>
      </w:r>
    </w:p>
    <w:p>
      <w:pPr/>
      <w:r>
        <w:t>分水口不是单独脱离 Saint-Venant 方程的经验后处理，而是作为集中侧向出流源项进入连续方程和动量方程。对位于节点 i 的第 k 个分水口，其实际出流从主渠控制体中扣除，并同步扣除相应动量。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S_(div,i) = [−Q_(div,k)/Δx_i, −βQ_(div,k)u_i/Δx_i]^T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Q_(div,k)(t) = min[φ(h_i)min(Q_(max,k),Q_(safe,k)), Q_(stor,k)(t), W_(rem,k)(t)/Δt]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Q_(safe,k) = (1/n_b)A_b(0.9D_b)R_b(0.9D_b)^(2/3)S_(b,k)^(1/2)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φ(h_i)=0, h_i≤0.2D_i;  φ(h_i)=√[(h_i−0.2D_i)/(0.6D_i−0.2D_i)], 0.2D_i&lt;h_i&lt;0.6D_i;  φ(h_i)=1, h_i≥0.6D_i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W_k(t_m) = Σ_(j=1..m) Q_(div,k)(t_j)Δt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(27)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Q_div,k：第 k 个配水口实际出流，单位 m³/s；Q_max,k：第 k 个配水口设定最大过流能力，单位 m³/s。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Q_safe,k：支渠安全过流能力估计值，单位 m³/s；D_b、A_b、R_b、n_b 分别为支渠首段渠深、面积、水力半径和糙率。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Q_stor,k：该主渠控制体在最小湿润水深以上可释放的水量折算流量，单位 m³/s。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W_rem,k：剩余需水量，单位 m³；W_k：累计供水量，单位 m³。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φ(h_i)：水深启闭系数，无量纲；D_i：节点 i 所属渠段渠深，单位 m；β：侧向出流动量修正系数。当前代码取 β=1，即按本地平均流速扣除主流动量；若后续取得闸门角度和支渠流向资料，可改为校准参数。</w:t>
      </w:r>
    </w:p>
    <w:p>
      <w:pPr>
        <w:pStyle w:val="Heading2"/>
      </w:pPr>
      <w:r>
        <w:t>2.7 边界条件与调度工况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Q_0(t) = Q_in(t)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A_0(t) = A[h_n(Q_in,S_0,n,b,z)]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(29)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Q_(N+1)(t) = Q_N(t)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(30)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渠首上游边界采用给定流量过程 Q_in(t)，本工况由0平滑爬升至80 m³/s。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渠首 ghost cell 的面积由 Manning 正常水深 h_n 估算，用于构造入口状态。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下游边界采用零梯度出流近似，即末端外侧 ghost cell 流量取末端控制体流量。</w:t>
      </w:r>
    </w:p>
    <w:p>
      <w:pPr>
        <w:pStyle w:val="Heading1"/>
      </w:pPr>
      <w:r>
        <w:t>3. 主要结果图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eographic_topology_main_canal_bran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图1  0–456主渠段和配水口位置图。该图展示主渠节点空间走向及71、89、150、194、287、349、383等配水口位置。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46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version_outflow_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图2  各配水口实际放水过程。曲线表示各口实际出流，虚线表示达到需水量后的关闸时刻。</w:t>
      </w:r>
    </w:p>
    <w:p>
      <w:pPr/>
      <w:r>
        <w:t>配水口供水完成情况如下表所示。所有假设需水量均在本次工况中得到满足。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850"/>
        <w:gridCol w:w="1150"/>
        <w:gridCol w:w="1500"/>
        <w:gridCol w:w="1050"/>
        <w:gridCol w:w="1050"/>
        <w:gridCol w:w="1500"/>
        <w:gridCol w:w="1100"/>
      </w:tblGrid>
      <w:tr>
        <w:tc>
          <w:tcPr>
            <w:tcW w:type="dxa" w:w="85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分水口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Qmax(m³/s)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需水量(m³)</w:t>
            </w:r>
          </w:p>
        </w:tc>
        <w:tc>
          <w:tcPr>
            <w:tcW w:type="dxa" w:w="105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起流(h)</w:t>
            </w:r>
          </w:p>
        </w:tc>
        <w:tc>
          <w:tcPr>
            <w:tcW w:type="dxa" w:w="105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关闸(h)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供水量(m³)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263241"/>
                <w:sz w:val="16"/>
              </w:rPr>
              <w:t>是否满足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71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0.70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5.24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89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300000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0.86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6.83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300000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150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1.50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6.22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60000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194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1.99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7.64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287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12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160000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3.46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9.45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160000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349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4.44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9.20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383</w:t>
            </w:r>
          </w:p>
        </w:tc>
        <w:tc>
          <w:tcPr>
            <w:tcW w:type="dxa" w:w="11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40000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5.12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9.38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40000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满足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8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umulative_supply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图3  各配水口累计供水量与需水量对比图。曲线变平表示该配水口累计供水达到目标并执行关闸。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ey_node_depth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图4  关键节点水深动态变化图。图中同时给出安全水深/渠深参照，用于判断动态过程中是否出现水位超限。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ax_depth_envelo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图5  沿程最大水深包络线。结果用于检查0–456主渠段全程最大水深是否超过渠段限制水深。</w:t>
      </w:r>
    </w:p>
    <w:p>
      <w:pPr>
        <w:pStyle w:val="Heading1"/>
      </w:pPr>
      <w:r>
        <w:t>4. Pati RSR 方法复核与局部适用性评价</w:t>
      </w:r>
    </w:p>
    <w:p>
      <w:pPr/>
      <w:r>
        <w:t>Pati et al. (2023) 的 RSR 方法以 stage（水位）作为反演主变量。原文先利用 HEC-RAS 在规则矩形/梯形河道中进行正向演算，以正演得到的下游水位过程作为反向演算边界，再由 RSR 模型反推上游水位和流量。该方法在规则或等效规则河段中具有较好表现，但其适用性依赖下游 stage 边界一致性、等效断面参数、Manning 糙率、侧向流处理和适用性判据。</w:t>
      </w:r>
    </w:p>
    <w:p>
      <w:pPr/>
      <w:r>
        <w:t>本课题对象是包含多个分水口和闸门控制的灌区干渠。与天然河道两水文站之间的 reach 相比，本渠段存在集中侧向出流、调度波、关闸扰动和安全水位约束。因此，本阶段不将 Pati RSR 作为全渠段主模型，而将其定位为局部 stage 反演与适用性诊断工具。</w:t>
      </w:r>
    </w:p>
    <w:p>
      <w:pPr/>
      <w:r>
        <w:t>Pati RSR 的核心面积梯度关系为：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∂A/∂x ≈ (1/c²)∂Q/∂t − (2/c)∂A/∂t + q_l/c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(31)</w:t>
            </w:r>
          </w:p>
        </w:tc>
      </w:tr>
    </w:tbl>
    <w:p>
      <w:pPr/>
      <w:r>
        <w:t>在单个局部等效渠段内，由下游断面向上游断面反推时，可写成如下离散形式：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A_u,j = A_d,j − (Δx/c_j²)(∂Q_d/∂t)_j + (2Δx/c_j)(∂A_d/∂t)_j − Δx q_l/c_j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(32)</w:t>
            </w:r>
          </w:p>
        </w:tc>
      </w:tr>
    </w:tbl>
    <w:p>
      <w:pPr/>
      <w:r>
        <w:t>波速 c 采用 Pati et al. (2023) 的扩散波波速表达：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c = (Q/A)[5/3 − (2/3)(R/B)(dP/dh)]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(33)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A_u,j：第 j 个时间层的上游过水面积，单位 m²；A_d,j：下游过水面积，单位 m²。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Δx：局部反演渠段长度，单位 m；c_j：第 j 个时间层扩散波波速，单位 m/s。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Q_d：下游断面流量，单位 m³/s；q_l：单位长度侧向流量，单位 m²/s；本次分水口间局部渠段内部无分水口，故取 q_l=0。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dP/dh：湿周对水深的导数，无量纲；对于梯形断面，dP/dh=2√(1+z²)。</w:t>
      </w:r>
    </w:p>
    <w:p>
      <w:pPr/>
      <w:r>
        <w:t>反演结果采用 RMSE 与 NSE 进行评价：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RMSE = √[(1/N) Σᵢ(y_sim,i − y_obs,i)²]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00"/>
        <w:gridCol w:w="1100"/>
      </w:tblGrid>
      <w:tr>
        <w:tc>
          <w:tcPr>
            <w:tcW w:type="dxa" w:w="7600"/>
            <w:vAlign w:val="center"/>
          </w:tcPr>
          <w:p>
            <w:pPr>
              <w:jc w:val="center"/>
            </w:pPr>
            <w:r/>
            <w:r>
              <w:rPr>
                <w:rFonts w:ascii="Cambria Math" w:hAnsi="Cambria Math" w:eastAsia="等线"/>
                <w:sz w:val="22"/>
              </w:rPr>
              <w:t>NSE = 1 − Σᵢ(y_sim,i − y_obs,i)² / Σᵢ(y_obs,i − ȳ_obs)²</w:t>
            </w:r>
          </w:p>
        </w:tc>
        <w:tc>
          <w:tcPr>
            <w:tcW w:type="dxa" w:w="1100"/>
            <w:vAlign w:val="center"/>
          </w:tcPr>
          <w:p>
            <w:pPr>
              <w:jc w:val="right"/>
            </w:pPr>
            <w:r/>
            <w:r>
              <w:rPr>
                <w:rFonts w:ascii="等线" w:hAnsi="等线" w:eastAsia="等线"/>
                <w:sz w:val="20"/>
              </w:rPr>
              <w:t>Eq. (35)</w:t>
            </w:r>
          </w:p>
        </w:tc>
      </w:tr>
    </w:tbl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y_sim,i：第 i 个时间点的反演值；y_obs,i：Saint-Venant 正演基准值；ȳ_obs：基准序列均值；N：样本数量。</w:t>
      </w:r>
    </w:p>
    <w:p>
      <w:pPr>
        <w:pStyle w:val="ListBullet"/>
        <w:ind w:left="369" w:hanging="142"/>
      </w:pPr>
      <w:r>
        <w:rPr>
          <w:rFonts w:ascii="等线" w:hAnsi="等线" w:eastAsia="等线"/>
          <w:sz w:val="20"/>
        </w:rPr>
        <w:t>RMSE 越接近 0 表示误差越小；NSE=1 表示完全一致；NSE=0 表示与均值基准相当；NSE&lt;0 表示反演效果劣于均值基准。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49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ti_local_reach_applic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9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等线" w:hAnsi="等线" w:eastAsia="等线"/>
          <w:color w:val="586579"/>
          <w:sz w:val="18"/>
        </w:rPr>
        <w:t>图6  Pati RSR 局部适用性分段评价图。各分水口之间构造局部等效梯形渠段，用下游stage反推上游stage，并与Saint-Venant正演真值比较。</w:t>
      </w:r>
    </w:p>
    <w:p>
      <w:pPr/>
      <w:r>
        <w:t>局部适用性评价表明，只有89→71和349→287两段达到“仅水深可参考”；没有任何分段同时达到水深和流量均可接受。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1200"/>
        <w:gridCol w:w="1050"/>
        <w:gridCol w:w="1200"/>
        <w:gridCol w:w="1100"/>
        <w:gridCol w:w="1400"/>
        <w:gridCol w:w="1100"/>
        <w:gridCol w:w="1500"/>
      </w:tblGrid>
      <w:tr>
        <w:tc>
          <w:tcPr>
            <w:tcW w:type="dxa" w:w="12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反演段</w:t>
            </w:r>
          </w:p>
        </w:tc>
        <w:tc>
          <w:tcPr>
            <w:tcW w:type="dxa" w:w="105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长度(km)</w:t>
            </w:r>
          </w:p>
        </w:tc>
        <w:tc>
          <w:tcPr>
            <w:tcW w:type="dxa" w:w="12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h RMSE(m)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h NSE</w:t>
            </w:r>
          </w:p>
        </w:tc>
        <w:tc>
          <w:tcPr>
            <w:tcW w:type="dxa" w:w="14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Q RMSE(m³/s)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Q NSE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sz w:val="16"/>
              </w:rPr>
              <w:t>结论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89→71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0.77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0.071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0.602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10.52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-2.999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2A9D8F"/>
                <w:sz w:val="16"/>
              </w:rPr>
              <w:t>仅水深可参考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150→89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2.68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0.505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-19.859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42.38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-63.469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不适用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194→150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1.92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0.280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-3.684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31.51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-29.643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不适用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287→194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4.08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0.397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-9.847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31.22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-11.144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不适用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349→287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2.70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0.075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0.728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7.16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-0.588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color w:val="2A9D8F"/>
                <w:sz w:val="16"/>
              </w:rPr>
              <w:t>仅水深可参考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383→349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1.48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0.196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-0.423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25.16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-21.654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不适用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456→383</w:t>
            </w:r>
          </w:p>
        </w:tc>
        <w:tc>
          <w:tcPr>
            <w:tcW w:type="dxa" w:w="105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3.20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0.583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-11.056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21.67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-11.524</w:t>
            </w:r>
          </w:p>
        </w:tc>
        <w:tc>
          <w:tcPr>
            <w:tcW w:type="dxa" w:w="1500"/>
            <w:vAlign w:val="center"/>
          </w:tcPr>
          <w:p>
            <w:pPr>
              <w:jc w:val="center"/>
            </w:pPr>
            <w:r/>
            <w:r>
              <w:rPr>
                <w:rFonts w:ascii="等线" w:hAnsi="等线" w:eastAsia="等线"/>
                <w:b w:val="0"/>
                <w:sz w:val="16"/>
              </w:rPr>
              <w:t>不适用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E0EA"/>
          <w:left w:val="single" w:sz="4" w:space="0" w:color="D8E0EA"/>
          <w:bottom w:val="single" w:sz="4" w:space="0" w:color="D8E0EA"/>
          <w:right w:val="single" w:sz="4" w:space="0" w:color="D8E0EA"/>
          <w:insideH w:val="single" w:sz="4" w:space="0" w:color="D8E0EA"/>
          <w:insideV w:val="single" w:sz="4" w:space="0" w:color="D8E0EA"/>
        </w:tblBorders>
      </w:tblPr>
      <w:tblGrid>
        <w:gridCol w:w="9000"/>
      </w:tblGrid>
      <w:tr>
        <w:tc>
          <w:tcPr>
            <w:tcW w:type="dxa" w:w="9000"/>
            <w:shd w:fill="FFF8E6"/>
            <w:vAlign w:val="center"/>
          </w:tcPr>
          <w:p>
            <w:pPr>
              <w:jc w:val="left"/>
            </w:pPr>
            <w:r>
              <w:rPr>
                <w:rFonts w:ascii="等线" w:hAnsi="等线" w:eastAsia="等线"/>
                <w:b/>
                <w:color w:val="1F4D78"/>
                <w:sz w:val="20"/>
              </w:rPr>
              <w:t>Pati RSR 结论：</w:t>
            </w:r>
            <w:r>
              <w:rPr>
                <w:rFonts w:ascii="等线" w:hAnsi="等线" w:eastAsia="等线"/>
                <w:sz w:val="20"/>
              </w:rPr>
              <w:t>Pati RSR 在本渠系中不宜表述为全渠段成功反演模型。更稳妥的表述是：其在规则或局部等效渠段中可用于stage反演尝试，但在复杂灌区干渠长距离反推与流量反演中存在明显误差放大。</w:t>
            </w:r>
          </w:p>
        </w:tc>
      </w:tr>
    </w:tbl>
    <w:p/>
    <w:p>
      <w:pPr>
        <w:pStyle w:val="Heading1"/>
      </w:pPr>
      <w:r>
        <w:t>5. 阶段性判断</w:t>
      </w:r>
    </w:p>
    <w:p>
      <w:pPr>
        <w:pStyle w:val="ListBullet"/>
      </w:pPr>
      <w:r>
        <w:t>Saint-Venant 正演模型已经能够生成配水口出流、累计供水、关键节点水深和沿程最大水深包络线，可作为当前主物理模型。</w:t>
      </w:r>
    </w:p>
    <w:p>
      <w:pPr>
        <w:pStyle w:val="ListBullet"/>
      </w:pPr>
      <w:r>
        <w:t>当前调度工况下，各配水口假设需水量均可满足，关键节点和沿程最大水深未显示出明显超限风险。</w:t>
      </w:r>
    </w:p>
    <w:p>
      <w:pPr>
        <w:pStyle w:val="ListBullet"/>
      </w:pPr>
      <w:r>
        <w:t>Pati RSR 在单一规则渠段上可以闭合，但在本渠系分段评价中仅少数渠段的水深反演可参考，流量反演整体不稳定。</w:t>
      </w:r>
    </w:p>
    <w:p>
      <w:pPr>
        <w:pStyle w:val="ListBullet"/>
      </w:pPr>
      <w:r>
        <w:t>因此，Pati RSR 更适合作为局部方法对比和物理诊断，不适合作为0–456复杂渠系调度主模型。</w:t>
      </w:r>
    </w:p>
    <w:p>
      <w:pPr>
        <w:pStyle w:val="Heading1"/>
      </w:pPr>
      <w:r>
        <w:t>6. 下一步思路</w:t>
      </w:r>
    </w:p>
    <w:p>
      <w:pPr/>
      <w:r>
        <w:t>下一阶段建议围绕“Saint-Venant 物理正演样本库 + 物理约束图神经网络代理模型”推进。Saint-Venant 模型继续作为物理一致的正演基准，用于生成不同渠首边界、需水量组合、分水口能力和闸门策略下的水位/流量响应样本；随后构建面向复杂渠系拓扑的 PI-GNN 代理响应模型，实现快速预测和调度方案筛选。</w:t>
      </w:r>
    </w:p>
    <w:p>
      <w:pPr>
        <w:pStyle w:val="ListBullet"/>
      </w:pPr>
      <w:r>
        <w:t>完善 Saint-Venant 正演：加入更真实的闸门出流公式、分水口控制逻辑和安全水位约束。</w:t>
      </w:r>
    </w:p>
    <w:p>
      <w:pPr>
        <w:pStyle w:val="ListBullet"/>
      </w:pPr>
      <w:r>
        <w:t>生成样本库：设计多组渠首流量、各分水口需水量、不同开关闸策略的正演工况。</w:t>
      </w:r>
    </w:p>
    <w:p>
      <w:pPr>
        <w:pStyle w:val="ListBullet"/>
      </w:pPr>
      <w:r>
        <w:t>构建图结构：节点表示渠首、干渠节点、配水口和控制点；边表示相邻渠段，边特征包含长度、床坡、糙率和断面参数。</w:t>
      </w:r>
    </w:p>
    <w:p>
      <w:pPr>
        <w:pStyle w:val="ListBullet"/>
      </w:pPr>
      <w:r>
        <w:t>设计物理约束损失：在数据误差之外加入质量守恒、水位不超限、分水口供需约束等损失项。</w:t>
      </w:r>
    </w:p>
    <w:p>
      <w:pPr>
        <w:pStyle w:val="ListBullet"/>
      </w:pPr>
      <w:r>
        <w:t>形成毫秒级代理响应：用 PI-GNN 替代重复正演，用于快速评估多种调度方案。</w:t>
      </w:r>
    </w:p>
    <w:p>
      <w:pPr>
        <w:pStyle w:val="Heading1"/>
      </w:pPr>
      <w:r>
        <w:t>7. 推荐汇报表述</w:t>
      </w:r>
    </w:p>
    <w:p>
      <w:pPr/>
      <w:r>
        <w:t>当前成果可以概括为：本文已建立0–456主干渠一维 Saint-Venant 动态供配水正演模型，能够模拟渠首来水波传播、配水口实际出流、累计供水和关键节点水深变化。Pati RSR 方法经复核后，在规则或局部等效渠段中对水深反演具有一定参考价值，但在本渠系全渠段和流量反演任务中存在适用性限制。因此后续以 Saint-Venant 正演作为物理基准，进一步构建融合渠系拓扑和水动力约束的 PI-GNN 代理响应模型。</w:t>
      </w:r>
    </w:p>
    <w:p>
      <w:pPr>
        <w:pStyle w:val="Heading1"/>
      </w:pPr>
      <w:r>
        <w:t>8. 参考文献与代码说明</w:t>
      </w:r>
    </w:p>
    <w:p>
      <w:pPr/>
      <w:r>
        <w:t>本报告未直接调用 HEC-RAS、SWMM、TELEMAC、Clawpack 等开源或商业水动力求解器；当前图件由自编 Python 原型程序生成。后续若接入开源代码或商业软件，应在正文中明确软件名称、版本、求解格式和调用方式。</w:t>
      </w:r>
    </w:p>
    <w:p>
      <w:pPr>
        <w:pStyle w:val="ListBullet"/>
      </w:pPr>
      <w:r>
        <w:t>Saint-Venant, A. J. C. B. (1871). Théorie du mouvement non permanent des eaux. Comptes rendus de l'Académie des Sciences.</w:t>
      </w:r>
    </w:p>
    <w:p>
      <w:pPr>
        <w:pStyle w:val="ListBullet"/>
      </w:pPr>
      <w:r>
        <w:t>Chow, V. T. (1959). Open-Channel Hydraulics. McGraw-Hill.</w:t>
      </w:r>
    </w:p>
    <w:p>
      <w:pPr>
        <w:pStyle w:val="ListBullet"/>
      </w:pPr>
      <w:r>
        <w:t>Harten, A., Lax, P. D., &amp; van Leer, B. (1983). On upstream differencing and Godunov-type schemes for hyperbolic conservation laws. SIAM Review, 25(1), 35–61.</w:t>
      </w:r>
    </w:p>
    <w:p>
      <w:pPr>
        <w:pStyle w:val="ListBullet"/>
      </w:pPr>
      <w:r>
        <w:t>U.S. Army Corps of Engineers. (2016). HEC-RAS River Analysis System Hydraulic Reference Manual, Version 5.0.</w:t>
      </w:r>
    </w:p>
    <w:p>
      <w:pPr>
        <w:pStyle w:val="ListBullet"/>
      </w:pPr>
      <w:r>
        <w:t>Pati, A., et al. (2023). A physically-based reverse-stage routing model considering lateral flow. Water Resources Research, 59, e2022WR034150.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等线" w:hAnsi="等线" w:eastAsia="等线"/>
        <w:color w:val="586579"/>
        <w:sz w:val="16"/>
      </w:rPr>
      <w:t>阶段性汇报 | 0–456渠段水动力模拟与Pati RSR适用性分析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等线" w:hAnsi="等线" w:eastAsia="等线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等线" w:hAnsi="等线" w:eastAsia="等线"/>
      <w:i/>
      <w:iCs/>
      <w:color w:val="58657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等线" w:hAnsi="等线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等线" w:hAnsi="等线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