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FF7382D" w:rsidP="2FF7382D" w:rsidRDefault="2FF7382D" w14:paraId="4A110539" w14:noSpellErr="1" w14:textId="19D3E119">
      <w:pPr>
        <w:pStyle w:val="Heading1"/>
      </w:pPr>
      <w:r w:rsidR="16E780B5">
        <w:rPr/>
        <w:t>0.光照模型基础，平行光，点光源，聚光灯</w:t>
      </w:r>
    </w:p>
    <w:p w:rsidR="16E780B5" w:rsidP="16E780B5" w:rsidRDefault="16E780B5" w14:noSpellErr="1" w14:paraId="1FD39701" w14:textId="4EE2DE0B">
      <w:pPr>
        <w:pStyle w:val="Heading2"/>
      </w:pPr>
      <w:r w:rsidRPr="16E780B5" w:rsidR="16E780B5">
        <w:rPr>
          <w:rFonts w:ascii="Arial" w:hAnsi="Arial" w:eastAsia="Arial" w:cs="Arial"/>
        </w:rPr>
        <w:t>1. 法线的引入</w:t>
      </w:r>
    </w:p>
    <w:p w:rsidR="16E780B5" w:rsidP="16E780B5" w:rsidRDefault="16E780B5" w14:noSpellErr="1" w14:paraId="0AD0EC6C" w14:textId="66FEAF65">
      <w:pPr>
        <w:pStyle w:val="Heading3"/>
      </w:pPr>
      <w:r w:rsidRPr="16E780B5" w:rsidR="16E780B5">
        <w:rPr>
          <w:rFonts w:ascii="Arial" w:hAnsi="Arial" w:eastAsia="Arial" w:cs="Arial"/>
        </w:rPr>
        <w:t xml:space="preserve">          1.1 顶点信息         </w:t>
      </w:r>
    </w:p>
    <w:p w:rsidR="16E780B5" w:rsidRDefault="16E780B5" w14:noSpellErr="1" w14:paraId="2DC07D30" w14:textId="2319698A">
      <w:r w:rsidRPr="16E780B5" w:rsidR="16E780B5">
        <w:rPr>
          <w:rFonts w:ascii="Arial" w:hAnsi="Arial" w:eastAsia="Arial" w:cs="Arial"/>
          <w:sz w:val="21"/>
          <w:szCs w:val="21"/>
        </w:rPr>
        <w:t xml:space="preserve">          在之前的绘图当中，每个顶点包含两个信息：位置坐标和颜色值。进入光照计算之后，我们不再需要顶点的颜色信息，而是新增了法线信息。即在光照模型中，一个顶点至少包含位置坐标和法线两种信息。给定一个顶点的坐标、法线、材质等信息，再通过光源进行计算而得出该顶点的颜色值。</w:t>
      </w:r>
    </w:p>
    <w:p w:rsidR="16E780B5" w:rsidP="16E780B5" w:rsidRDefault="16E780B5" w14:noSpellErr="1" w14:paraId="37DDFBA1" w14:textId="743800C6">
      <w:pPr>
        <w:pStyle w:val="Heading3"/>
      </w:pPr>
      <w:r w:rsidRPr="16E780B5" w:rsidR="16E780B5">
        <w:rPr>
          <w:rFonts w:ascii="Arial" w:hAnsi="Arial" w:eastAsia="Arial" w:cs="Arial"/>
        </w:rPr>
        <w:t xml:space="preserve">          1.2 法线的变换</w:t>
      </w:r>
    </w:p>
    <w:p w:rsidR="16E780B5" w:rsidRDefault="16E780B5" w14:noSpellErr="1" w14:paraId="07DA3BA7" w14:textId="3B0C91AC">
      <w:r w:rsidRPr="16E780B5" w:rsidR="16E780B5">
        <w:rPr>
          <w:rFonts w:ascii="Arial" w:hAnsi="Arial" w:eastAsia="Arial" w:cs="Arial"/>
          <w:sz w:val="21"/>
          <w:szCs w:val="21"/>
        </w:rPr>
        <w:t xml:space="preserve">          在对一个顶点进行空间变换时，它的法线也需要相应地进行变换，因此我们需要得到一个顶点所对应的法线的变换矩阵。注意</w:t>
      </w:r>
      <w:r w:rsidRPr="16E780B5" w:rsidR="16E780B5">
        <w:rPr>
          <w:rFonts w:ascii="Arial" w:hAnsi="Arial" w:eastAsia="Arial" w:cs="Arial"/>
          <w:color w:val="FF0000"/>
          <w:sz w:val="21"/>
          <w:szCs w:val="21"/>
        </w:rPr>
        <w:t>法线与顶点不共享相同的变换！</w:t>
      </w:r>
      <w:r w:rsidRPr="16E780B5" w:rsidR="16E780B5">
        <w:rPr>
          <w:rFonts w:ascii="Arial" w:hAnsi="Arial" w:eastAsia="Arial" w:cs="Arial"/>
          <w:sz w:val="21"/>
          <w:szCs w:val="21"/>
        </w:rPr>
        <w:t>如下为一个直观的例子：</w:t>
      </w:r>
    </w:p>
    <w:p w:rsidR="16E780B5" w:rsidRDefault="16E780B5" w14:noSpellErr="1" w14:paraId="268416EA" w14:textId="52F56449">
      <w:r>
        <w:drawing>
          <wp:inline wp14:editId="0ABBD222" wp14:anchorId="41419D49">
            <wp:extent cx="2447925" cy="1676400"/>
            <wp:effectExtent l="0" t="0" r="0" b="0"/>
            <wp:docPr id="14885511" name="picture" title=""/>
            <wp:cNvGraphicFramePr>
              <a:graphicFrameLocks noChangeAspect="1"/>
            </wp:cNvGraphicFramePr>
            <a:graphic>
              <a:graphicData uri="http://schemas.openxmlformats.org/drawingml/2006/picture">
                <pic:pic>
                  <pic:nvPicPr>
                    <pic:cNvPr id="0" name="picture"/>
                    <pic:cNvPicPr/>
                  </pic:nvPicPr>
                  <pic:blipFill>
                    <a:blip r:embed="Rd0caa9be0cc1470f">
                      <a:extLst>
                        <a:ext xmlns:a="http://schemas.openxmlformats.org/drawingml/2006/main" uri="{28A0092B-C50C-407E-A947-70E740481C1C}">
                          <a14:useLocalDpi val="0"/>
                        </a:ext>
                      </a:extLst>
                    </a:blip>
                    <a:stretch>
                      <a:fillRect/>
                    </a:stretch>
                  </pic:blipFill>
                  <pic:spPr>
                    <a:xfrm>
                      <a:off x="0" y="0"/>
                      <a:ext cx="2447925" cy="1676400"/>
                    </a:xfrm>
                    <a:prstGeom prst="rect">
                      <a:avLst/>
                    </a:prstGeom>
                  </pic:spPr>
                </pic:pic>
              </a:graphicData>
            </a:graphic>
          </wp:inline>
        </w:drawing>
      </w:r>
      <w:r>
        <w:drawing>
          <wp:inline wp14:editId="759CAE44" wp14:anchorId="00D366CE">
            <wp:extent cx="2428875" cy="1676400"/>
            <wp:effectExtent l="0" t="0" r="0" b="0"/>
            <wp:docPr id="2086584793" name="picture" title=""/>
            <wp:cNvGraphicFramePr>
              <a:graphicFrameLocks noChangeAspect="1"/>
            </wp:cNvGraphicFramePr>
            <a:graphic>
              <a:graphicData uri="http://schemas.openxmlformats.org/drawingml/2006/picture">
                <pic:pic>
                  <pic:nvPicPr>
                    <pic:cNvPr id="0" name="picture"/>
                    <pic:cNvPicPr/>
                  </pic:nvPicPr>
                  <pic:blipFill>
                    <a:blip r:embed="Rc7bd0d783e554dc2">
                      <a:extLst>
                        <a:ext xmlns:a="http://schemas.openxmlformats.org/drawingml/2006/main" uri="{28A0092B-C50C-407E-A947-70E740481C1C}">
                          <a14:useLocalDpi val="0"/>
                        </a:ext>
                      </a:extLst>
                    </a:blip>
                    <a:stretch>
                      <a:fillRect/>
                    </a:stretch>
                  </pic:blipFill>
                  <pic:spPr>
                    <a:xfrm>
                      <a:off x="0" y="0"/>
                      <a:ext cx="2428875" cy="1676400"/>
                    </a:xfrm>
                    <a:prstGeom prst="rect">
                      <a:avLst/>
                    </a:prstGeom>
                  </pic:spPr>
                </pic:pic>
              </a:graphicData>
            </a:graphic>
          </wp:inline>
        </w:drawing>
      </w:r>
      <w:r>
        <w:drawing>
          <wp:inline wp14:editId="6E7B40CE" wp14:anchorId="2D5238BF">
            <wp:extent cx="2476500" cy="1676400"/>
            <wp:effectExtent l="0" t="0" r="0" b="0"/>
            <wp:docPr id="411697217" name="picture" title=""/>
            <wp:cNvGraphicFramePr>
              <a:graphicFrameLocks noChangeAspect="1"/>
            </wp:cNvGraphicFramePr>
            <a:graphic>
              <a:graphicData uri="http://schemas.openxmlformats.org/drawingml/2006/picture">
                <pic:pic>
                  <pic:nvPicPr>
                    <pic:cNvPr id="0" name="picture"/>
                    <pic:cNvPicPr/>
                  </pic:nvPicPr>
                  <pic:blipFill>
                    <a:blip r:embed="R4038cb1bce47408e">
                      <a:extLst>
                        <a:ext xmlns:a="http://schemas.openxmlformats.org/drawingml/2006/main" uri="{28A0092B-C50C-407E-A947-70E740481C1C}">
                          <a14:useLocalDpi val="0"/>
                        </a:ext>
                      </a:extLst>
                    </a:blip>
                    <a:stretch>
                      <a:fillRect/>
                    </a:stretch>
                  </pic:blipFill>
                  <pic:spPr>
                    <a:xfrm>
                      <a:off x="0" y="0"/>
                      <a:ext cx="2476500" cy="1676400"/>
                    </a:xfrm>
                    <a:prstGeom prst="rect">
                      <a:avLst/>
                    </a:prstGeom>
                  </pic:spPr>
                </pic:pic>
              </a:graphicData>
            </a:graphic>
          </wp:inline>
        </w:drawing>
      </w:r>
    </w:p>
    <w:p w:rsidR="16E780B5" w:rsidRDefault="16E780B5" w14:noSpellErr="1" w14:paraId="1CB249EB" w14:textId="56BF2E1D">
      <w:r w:rsidRPr="16E780B5" w:rsidR="16E780B5">
        <w:rPr>
          <w:rFonts w:ascii="Arial" w:hAnsi="Arial" w:eastAsia="Arial" w:cs="Arial"/>
          <w:sz w:val="21"/>
          <w:szCs w:val="21"/>
        </w:rPr>
        <w:t xml:space="preserve">       三个图中，n为V0、V1顶点所在表面对应的法线。图a为变换前状态，图b为经过x轴方向的2倍伸缩变换(scaling)之后的状态，nA为经过同一个变换后的新法线。显然，这时法线与表面不垂直，因此是不正确的！正确的情形当该是图c所示。</w:t>
      </w:r>
    </w:p>
    <w:p w:rsidR="16E780B5" w:rsidRDefault="16E780B5" w14:noSpellErr="1" w14:paraId="01279227" w14:textId="53D3AD79">
      <w:r w:rsidRPr="16E780B5" w:rsidR="16E780B5">
        <w:rPr>
          <w:rFonts w:ascii="Arial" w:hAnsi="Arial" w:eastAsia="Arial" w:cs="Arial"/>
          <w:sz w:val="21"/>
          <w:szCs w:val="21"/>
        </w:rPr>
        <w:t xml:space="preserve">       实际上，对于一个顶点的坐标变换A，其对应的</w:t>
      </w:r>
      <w:r w:rsidRPr="16E780B5" w:rsidR="16E780B5">
        <w:rPr>
          <w:rFonts w:ascii="Arial" w:hAnsi="Arial" w:eastAsia="Arial" w:cs="Arial"/>
          <w:color w:val="FF6666"/>
          <w:sz w:val="21"/>
          <w:szCs w:val="21"/>
        </w:rPr>
        <w:t>法线</w:t>
      </w:r>
      <w:r w:rsidRPr="16E780B5" w:rsidR="16E780B5">
        <w:rPr>
          <w:rFonts w:ascii="Arial" w:hAnsi="Arial" w:eastAsia="Arial" w:cs="Arial"/>
          <w:sz w:val="21"/>
          <w:szCs w:val="21"/>
        </w:rPr>
        <w:t>的正确变换是</w:t>
      </w:r>
      <w:r w:rsidRPr="16E780B5" w:rsidR="16E780B5">
        <w:rPr>
          <w:rFonts w:ascii="Arial" w:hAnsi="Arial" w:eastAsia="Arial" w:cs="Arial"/>
          <w:color w:val="FF6666"/>
          <w:sz w:val="21"/>
          <w:szCs w:val="21"/>
        </w:rPr>
        <w:t>A的逆矩阵的转置</w:t>
      </w:r>
      <w:r w:rsidRPr="16E780B5" w:rsidR="16E780B5">
        <w:rPr>
          <w:rFonts w:ascii="Arial" w:hAnsi="Arial" w:eastAsia="Arial" w:cs="Arial"/>
          <w:color w:val="333333"/>
          <w:sz w:val="21"/>
          <w:szCs w:val="21"/>
        </w:rPr>
        <w:t>，即</w:t>
      </w:r>
      <w:r>
        <w:drawing>
          <wp:inline wp14:editId="3E429CB4" wp14:anchorId="7C394F2B">
            <wp:extent cx="428625" cy="200025"/>
            <wp:effectExtent l="0" t="0" r="0" b="0"/>
            <wp:docPr id="179589691" name="picture" title=""/>
            <wp:cNvGraphicFramePr>
              <a:graphicFrameLocks noChangeAspect="1"/>
            </wp:cNvGraphicFramePr>
            <a:graphic>
              <a:graphicData uri="http://schemas.openxmlformats.org/drawingml/2006/picture">
                <pic:pic>
                  <pic:nvPicPr>
                    <pic:cNvPr id="0" name="picture"/>
                    <pic:cNvPicPr/>
                  </pic:nvPicPr>
                  <pic:blipFill>
                    <a:blip r:embed="Rf3fa462f963a4988">
                      <a:extLst>
                        <a:ext xmlns:a="http://schemas.openxmlformats.org/drawingml/2006/main" uri="{28A0092B-C50C-407E-A947-70E740481C1C}">
                          <a14:useLocalDpi val="0"/>
                        </a:ext>
                      </a:extLst>
                    </a:blip>
                    <a:stretch>
                      <a:fillRect/>
                    </a:stretch>
                  </pic:blipFill>
                  <pic:spPr>
                    <a:xfrm>
                      <a:off x="0" y="0"/>
                      <a:ext cx="428625" cy="200025"/>
                    </a:xfrm>
                    <a:prstGeom prst="rect">
                      <a:avLst/>
                    </a:prstGeom>
                  </pic:spPr>
                </pic:pic>
              </a:graphicData>
            </a:graphic>
          </wp:inline>
        </w:drawing>
      </w:r>
      <w:r w:rsidRPr="16E780B5" w:rsidR="16E780B5">
        <w:rPr>
          <w:rFonts w:ascii="Arial" w:hAnsi="Arial" w:eastAsia="Arial" w:cs="Arial"/>
          <w:color w:val="333333"/>
          <w:sz w:val="21"/>
          <w:szCs w:val="21"/>
        </w:rPr>
        <w:t>。</w:t>
      </w:r>
    </w:p>
    <w:p w:rsidR="16E780B5" w:rsidRDefault="16E780B5" w14:paraId="702E3FE4" w14:textId="5A95A747">
      <w:r w:rsidRPr="16E780B5" w:rsidR="16E780B5">
        <w:rPr>
          <w:rFonts w:ascii="Arial" w:hAnsi="Arial" w:eastAsia="Arial" w:cs="Arial"/>
          <w:sz w:val="21"/>
          <w:szCs w:val="21"/>
        </w:rPr>
        <w:t xml:space="preserve"> </w:t>
      </w:r>
    </w:p>
    <w:p w:rsidR="16E780B5" w:rsidP="16E780B5" w:rsidRDefault="16E780B5" w14:noSpellErr="1" w14:paraId="52C3F44C" w14:textId="260612CC">
      <w:pPr>
        <w:pStyle w:val="Heading2"/>
      </w:pPr>
      <w:r w:rsidRPr="16E780B5" w:rsidR="16E780B5">
        <w:rPr>
          <w:rFonts w:ascii="Arial" w:hAnsi="Arial" w:eastAsia="Arial" w:cs="Arial"/>
        </w:rPr>
        <w:t xml:space="preserve">       2. 环境光、漫反射光与全反射光</w:t>
      </w:r>
    </w:p>
    <w:p w:rsidR="16E780B5" w:rsidRDefault="16E780B5" w14:noSpellErr="1" w14:paraId="22054B64" w14:textId="43773F10">
      <w:r w:rsidRPr="16E780B5" w:rsidR="16E780B5">
        <w:rPr>
          <w:rFonts w:ascii="Arial" w:hAnsi="Arial" w:eastAsia="Arial" w:cs="Arial"/>
          <w:sz w:val="21"/>
          <w:szCs w:val="21"/>
        </w:rPr>
        <w:t xml:space="preserve">       在3D计算机图形学，对光照计算的处理分为三个部分：环境光、漫反射光和全反射光（或称为高光）。</w:t>
      </w:r>
    </w:p>
    <w:p w:rsidR="16E780B5" w:rsidP="16E780B5" w:rsidRDefault="16E780B5" w14:noSpellErr="1" w14:paraId="42B32561" w14:textId="3FA109B3">
      <w:pPr>
        <w:pStyle w:val="Heading3"/>
      </w:pPr>
      <w:r w:rsidRPr="16E780B5" w:rsidR="16E780B5">
        <w:rPr>
          <w:rFonts w:ascii="Arial" w:hAnsi="Arial" w:eastAsia="Arial" w:cs="Arial"/>
        </w:rPr>
        <w:t xml:space="preserve">          2.1 环境光（Ambient light）</w:t>
      </w:r>
    </w:p>
    <w:p w:rsidR="16E780B5" w:rsidRDefault="16E780B5" w14:noSpellErr="1" w14:paraId="4B81398E" w14:textId="31B2DC66">
      <w:r w:rsidRPr="16E780B5" w:rsidR="16E780B5">
        <w:rPr>
          <w:rFonts w:ascii="Arial" w:hAnsi="Arial" w:eastAsia="Arial" w:cs="Arial"/>
          <w:sz w:val="21"/>
          <w:szCs w:val="21"/>
        </w:rPr>
        <w:t xml:space="preserve">          在现实当中，光照是一个很复杂的物理现象。一个物体所接受的光，除了直接来自光源的部分外，还包括光源经过环境中其他各个物体的反射而来的部分。而在图形学中，我们默认的光照模型为局部光模型，即一个顶点的光照计算只跟该点信息与光源信息有关，而不考虑环境中其他物体的影响，比如阴影等。与局部光照模型相对应的全局光照，这属于高级话题，这里暂时不考虑。为了近似地模拟现实当中来自周围环境的光，在图形学中引入的“环境光”这一概念，即“Ambient Light"。</w:t>
      </w:r>
    </w:p>
    <w:p w:rsidR="16E780B5" w:rsidRDefault="16E780B5" w14:noSpellErr="1" w14:paraId="7C8A0BD9" w14:textId="2BD3E5C3">
      <w:r w:rsidRPr="16E780B5" w:rsidR="16E780B5">
        <w:rPr>
          <w:rFonts w:ascii="Arial" w:hAnsi="Arial" w:eastAsia="Arial" w:cs="Arial"/>
          <w:sz w:val="21"/>
          <w:szCs w:val="21"/>
        </w:rPr>
        <w:t xml:space="preserve">         环境光不需要进行特殊的物理计算，即直接将光源中的环境光部分与材质中的环境光部分相乘，其结果适用于物体上的任一顶点。</w:t>
      </w:r>
    </w:p>
    <w:p w:rsidR="16E780B5" w:rsidP="16E780B5" w:rsidRDefault="16E780B5" w14:noSpellErr="1" w14:paraId="1F53ECDC" w14:textId="79EA5044">
      <w:pPr>
        <w:pStyle w:val="Heading3"/>
      </w:pPr>
      <w:r w:rsidRPr="16E780B5" w:rsidR="16E780B5">
        <w:rPr>
          <w:rFonts w:ascii="Arial" w:hAnsi="Arial" w:eastAsia="Arial" w:cs="Arial"/>
        </w:rPr>
        <w:t xml:space="preserve">          2.2 漫反射光（Diffuse light）</w:t>
      </w:r>
    </w:p>
    <w:p w:rsidR="16E780B5" w:rsidRDefault="16E780B5" w14:noSpellErr="1" w14:paraId="3A77AF9F" w14:textId="312B9736">
      <w:r w:rsidRPr="16E780B5" w:rsidR="16E780B5">
        <w:rPr>
          <w:rFonts w:ascii="Arial" w:hAnsi="Arial" w:eastAsia="Arial" w:cs="Arial"/>
          <w:sz w:val="21"/>
          <w:szCs w:val="21"/>
        </w:rPr>
        <w:t xml:space="preserve">          光照射在物体表面后，其反射光沿随机方向均匀的分布，即"漫反射”。反射光的强度与光照方向与表面法线的夹角theta相关，满足比例关系：I = Io * cos(theta)。由于反射光方向随机，因此该部分的计算与观察点无关，而只与光线方向与法线相关。</w:t>
      </w:r>
    </w:p>
    <w:p w:rsidR="16E780B5" w:rsidP="16E780B5" w:rsidRDefault="16E780B5" w14:noSpellErr="1" w14:paraId="0212BD34" w14:textId="1211E217">
      <w:pPr>
        <w:pStyle w:val="Heading3"/>
      </w:pPr>
      <w:r w:rsidRPr="16E780B5" w:rsidR="16E780B5">
        <w:rPr>
          <w:rFonts w:ascii="Arial" w:hAnsi="Arial" w:eastAsia="Arial" w:cs="Arial"/>
        </w:rPr>
        <w:t xml:space="preserve">          2.3 全反射光（Specular light）</w:t>
      </w:r>
    </w:p>
    <w:p w:rsidR="16E780B5" w:rsidRDefault="16E780B5" w14:noSpellErr="1" w14:paraId="32B35358" w14:textId="4FB7C587">
      <w:r w:rsidRPr="16E780B5" w:rsidR="16E780B5">
        <w:rPr>
          <w:rFonts w:ascii="Arial" w:hAnsi="Arial" w:eastAsia="Arial" w:cs="Arial"/>
          <w:sz w:val="21"/>
          <w:szCs w:val="21"/>
        </w:rPr>
        <w:t xml:space="preserve">          光线照射在光滑物体表面后，在特定方向上会有很强的反射，即发生全反射。全反射光主要集中在一个近似圆锥角的范围内。如下图所示：</w:t>
      </w:r>
    </w:p>
    <w:p w:rsidR="16E780B5" w:rsidRDefault="16E780B5" w14:noSpellErr="1" w14:paraId="07D02C79" w14:textId="3942C0A7">
      <w:r>
        <w:drawing>
          <wp:inline wp14:editId="57B88F15" wp14:anchorId="74057ABF">
            <wp:extent cx="3829050" cy="581025"/>
            <wp:effectExtent l="0" t="0" r="0" b="0"/>
            <wp:docPr id="1216050943" name="picture" title=""/>
            <wp:cNvGraphicFramePr>
              <a:graphicFrameLocks noChangeAspect="1"/>
            </wp:cNvGraphicFramePr>
            <a:graphic>
              <a:graphicData uri="http://schemas.openxmlformats.org/drawingml/2006/picture">
                <pic:pic>
                  <pic:nvPicPr>
                    <pic:cNvPr id="0" name="picture"/>
                    <pic:cNvPicPr/>
                  </pic:nvPicPr>
                  <pic:blipFill>
                    <a:blip r:embed="R3f40fe7230bf4f1b">
                      <a:extLst>
                        <a:ext xmlns:a="http://schemas.openxmlformats.org/drawingml/2006/main" uri="{28A0092B-C50C-407E-A947-70E740481C1C}">
                          <a14:useLocalDpi val="0"/>
                        </a:ext>
                      </a:extLst>
                    </a:blip>
                    <a:stretch>
                      <a:fillRect/>
                    </a:stretch>
                  </pic:blipFill>
                  <pic:spPr>
                    <a:xfrm>
                      <a:off x="0" y="0"/>
                      <a:ext cx="3829050" cy="581025"/>
                    </a:xfrm>
                    <a:prstGeom prst="rect">
                      <a:avLst/>
                    </a:prstGeom>
                  </pic:spPr>
                </pic:pic>
              </a:graphicData>
            </a:graphic>
          </wp:inline>
        </w:drawing>
      </w:r>
    </w:p>
    <w:p w:rsidR="16E780B5" w:rsidRDefault="16E780B5" w14:noSpellErr="1" w14:paraId="3B55B4EA" w14:textId="76F7FA86">
      <w:r w:rsidRPr="16E780B5" w:rsidR="16E780B5">
        <w:rPr>
          <w:rFonts w:ascii="Arial" w:hAnsi="Arial" w:eastAsia="Arial" w:cs="Arial"/>
          <w:sz w:val="21"/>
          <w:szCs w:val="21"/>
        </w:rPr>
        <w:t xml:space="preserve">       n为法线，l为光线入射方向，r为全反射方向，E为观察点，因此v为视角方向。全反射光进入眼睛的强度与v和r的角度theta有关，随着该角度增大，全反射强度下降，其下降辐度与物体表面光滑程序相关。因此，对于该部分光的计算，除了需要光线方向、法线等信息外，还与观察点的位置有很大关系。具体计算公式在本文后面会详细给出。</w:t>
      </w:r>
    </w:p>
    <w:p w:rsidR="16E780B5" w:rsidRDefault="16E780B5" w14:paraId="247BAA46" w14:textId="3EE9C6C4">
      <w:r w:rsidRPr="16E780B5" w:rsidR="16E780B5">
        <w:rPr>
          <w:rFonts w:ascii="Arial" w:hAnsi="Arial" w:eastAsia="Arial" w:cs="Arial"/>
          <w:sz w:val="21"/>
          <w:szCs w:val="21"/>
        </w:rPr>
        <w:t xml:space="preserve"> </w:t>
      </w:r>
    </w:p>
    <w:p w:rsidR="16E780B5" w:rsidP="16E780B5" w:rsidRDefault="16E780B5" w14:noSpellErr="1" w14:paraId="76CA952C" w14:textId="613C992A">
      <w:pPr>
        <w:pStyle w:val="Heading2"/>
      </w:pPr>
      <w:r w:rsidRPr="16E780B5" w:rsidR="16E780B5">
        <w:rPr>
          <w:rFonts w:ascii="Arial" w:hAnsi="Arial" w:eastAsia="Arial" w:cs="Arial"/>
        </w:rPr>
        <w:t xml:space="preserve">       3. 材质</w:t>
      </w:r>
    </w:p>
    <w:p w:rsidR="16E780B5" w:rsidRDefault="16E780B5" w14:noSpellErr="1" w14:paraId="6C437809" w14:textId="314155E5">
      <w:r w:rsidRPr="16E780B5" w:rsidR="16E780B5">
        <w:rPr>
          <w:rFonts w:ascii="Arial" w:hAnsi="Arial" w:eastAsia="Arial" w:cs="Arial"/>
          <w:sz w:val="21"/>
          <w:szCs w:val="21"/>
        </w:rPr>
        <w:t xml:space="preserve">       为了表示物体与照射在其表面的光的交互作用，我们需要定义其材质。与光源的三个成分相对应，我们对材质了指定相应的环境光部分、漫反射光部分和全反射光部分，这些属性分别代表光的每一部分在其表面的反射比例。此外，还需要指定物体表面的光滑程度，以用于计算全反射。该值越大，全反射光衰减越迅速。</w:t>
      </w:r>
    </w:p>
    <w:p w:rsidR="16E780B5" w:rsidP="16E780B5" w:rsidRDefault="16E780B5" w14:noSpellErr="1" w14:paraId="19D5A756" w14:textId="40350EB3">
      <w:pPr>
        <w:pStyle w:val="Heading2"/>
      </w:pPr>
      <w:r w:rsidRPr="16E780B5" w:rsidR="16E780B5">
        <w:rPr>
          <w:rFonts w:ascii="Arial" w:hAnsi="Arial" w:eastAsia="Arial" w:cs="Arial"/>
        </w:rPr>
        <w:t xml:space="preserve">       4. 三种光源模型</w:t>
      </w:r>
    </w:p>
    <w:p w:rsidR="16E780B5" w:rsidRDefault="16E780B5" w14:noSpellErr="1" w14:paraId="32AACE64" w14:textId="677ABCC1">
      <w:r w:rsidRPr="16E780B5" w:rsidR="16E780B5">
        <w:rPr>
          <w:rFonts w:ascii="Arial" w:hAnsi="Arial" w:eastAsia="Arial" w:cs="Arial"/>
          <w:sz w:val="21"/>
          <w:szCs w:val="21"/>
        </w:rPr>
        <w:t xml:space="preserve">       在学习光照计算前，需要先了解3D中常见的几种光源模型。主要分为三种，由简单到复杂分别为：平行光、点光源和聚光灯。</w:t>
      </w:r>
    </w:p>
    <w:p w:rsidR="16E780B5" w:rsidP="16E780B5" w:rsidRDefault="16E780B5" w14:noSpellErr="1" w14:paraId="5848412B" w14:textId="786806F9">
      <w:pPr>
        <w:pStyle w:val="Heading3"/>
      </w:pPr>
      <w:r w:rsidRPr="16E780B5" w:rsidR="16E780B5">
        <w:rPr>
          <w:rFonts w:ascii="Arial" w:hAnsi="Arial" w:eastAsia="Arial" w:cs="Arial"/>
        </w:rPr>
        <w:t xml:space="preserve">              4.1 平行光</w:t>
      </w:r>
    </w:p>
    <w:p w:rsidR="16E780B5" w:rsidRDefault="16E780B5" w14:noSpellErr="1" w14:paraId="20BC3F48" w14:textId="1216C664">
      <w:r w:rsidRPr="16E780B5" w:rsidR="16E780B5">
        <w:rPr>
          <w:rFonts w:ascii="Arial" w:hAnsi="Arial" w:eastAsia="Arial" w:cs="Arial"/>
          <w:sz w:val="21"/>
          <w:szCs w:val="21"/>
        </w:rPr>
        <w:t xml:space="preserve">              平行光是最简单的一种模型，这种光照具有单一的照射方向，且光照强度不随空间位置而变化。现实当中的太阳光就可以认为是这种类型。</w:t>
      </w:r>
    </w:p>
    <w:p w:rsidR="16E780B5" w:rsidP="16E780B5" w:rsidRDefault="16E780B5" w14:noSpellErr="1" w14:paraId="33BCB1A8" w14:textId="237DFA4D">
      <w:pPr>
        <w:pStyle w:val="Heading3"/>
      </w:pPr>
      <w:r w:rsidRPr="16E780B5" w:rsidR="16E780B5">
        <w:rPr>
          <w:rFonts w:ascii="Arial" w:hAnsi="Arial" w:eastAsia="Arial" w:cs="Arial"/>
        </w:rPr>
        <w:t xml:space="preserve">              4.2 点光源</w:t>
      </w:r>
    </w:p>
    <w:p w:rsidR="16E780B5" w:rsidRDefault="16E780B5" w14:noSpellErr="1" w14:paraId="4D03485C" w14:textId="42D00EC6">
      <w:r w:rsidRPr="16E780B5" w:rsidR="16E780B5">
        <w:rPr>
          <w:rFonts w:ascii="Arial" w:hAnsi="Arial" w:eastAsia="Arial" w:cs="Arial"/>
          <w:sz w:val="21"/>
          <w:szCs w:val="21"/>
        </w:rPr>
        <w:t xml:space="preserve">              一个具有点光源特性的典型例子是电灯泡。首先该光源在空间具有一个位置，其次它发出的光以球面形式向四周均匀的传播（尽管实际的电灯光在各个方向上并不均匀，我们此外姑且可以这样理解。）。还有一个重要的特性即光强随着与光源的距离的增大而逐渐减小。理论上光强与距离的平方成反比，即I(d) = I0/(d²)。因此在无穷远处光强接近为0；在光源所在处，光强为无穷大。这样显然不适合在计算机中进行处理。于是在3D图形学中，我们对点光源模型有如下定义：用三个系数A0、A1、A2来控制光强随距离的衰减，分别为常量系数、一次系数和二次系数，这样光强计算公式为：I = I0/(A0+A1*d+A2*d²)。其次，对光照范围有一个限制，超过特定范围后，光照强度定义为0。</w:t>
      </w:r>
    </w:p>
    <w:p w:rsidR="16E780B5" w:rsidP="16E780B5" w:rsidRDefault="16E780B5" w14:noSpellErr="1" w14:paraId="10192BB6" w14:textId="1FF982D5">
      <w:pPr>
        <w:pStyle w:val="Heading3"/>
      </w:pPr>
      <w:r w:rsidRPr="16E780B5" w:rsidR="16E780B5">
        <w:rPr>
          <w:rFonts w:ascii="Arial" w:hAnsi="Arial" w:eastAsia="Arial" w:cs="Arial"/>
        </w:rPr>
        <w:t xml:space="preserve">              4.3 聚光灯</w:t>
      </w:r>
    </w:p>
    <w:p w:rsidR="16E780B5" w:rsidRDefault="16E780B5" w14:noSpellErr="1" w14:paraId="77910A56" w14:textId="5E244168">
      <w:r w:rsidRPr="16E780B5" w:rsidR="16E780B5">
        <w:rPr>
          <w:rFonts w:ascii="Arial" w:hAnsi="Arial" w:eastAsia="Arial" w:cs="Arial"/>
          <w:sz w:val="21"/>
          <w:szCs w:val="21"/>
        </w:rPr>
        <w:t xml:space="preserve">              与聚光灯最为接近的现实模型为手电筒。该光源在空间具有一个位置，其次还有一个照射方向，以该方向为中心对称地向周围发散一定的角度，这样光线被限制在一个圆锥内，如下图所示：</w:t>
      </w:r>
    </w:p>
    <w:p w:rsidR="16E780B5" w:rsidRDefault="16E780B5" w14:noSpellErr="1" w14:paraId="71F2D34B" w14:textId="2E9F062D">
      <w:r>
        <w:drawing>
          <wp:inline wp14:editId="1F80B97C" wp14:anchorId="4C31DC17">
            <wp:extent cx="3886200" cy="2428875"/>
            <wp:effectExtent l="0" t="0" r="0" b="0"/>
            <wp:docPr id="1941389514" name="picture" title=""/>
            <wp:cNvGraphicFramePr>
              <a:graphicFrameLocks noChangeAspect="1"/>
            </wp:cNvGraphicFramePr>
            <a:graphic>
              <a:graphicData uri="http://schemas.openxmlformats.org/drawingml/2006/picture">
                <pic:pic>
                  <pic:nvPicPr>
                    <pic:cNvPr id="0" name="picture"/>
                    <pic:cNvPicPr/>
                  </pic:nvPicPr>
                  <pic:blipFill>
                    <a:blip r:embed="R0a7b76f4f0ef4dd8">
                      <a:extLst>
                        <a:ext xmlns:a="http://schemas.openxmlformats.org/drawingml/2006/main" uri="{28A0092B-C50C-407E-A947-70E740481C1C}">
                          <a14:useLocalDpi val="0"/>
                        </a:ext>
                      </a:extLst>
                    </a:blip>
                    <a:stretch>
                      <a:fillRect/>
                    </a:stretch>
                  </pic:blipFill>
                  <pic:spPr>
                    <a:xfrm>
                      <a:off x="0" y="0"/>
                      <a:ext cx="3886200" cy="2428875"/>
                    </a:xfrm>
                    <a:prstGeom prst="rect">
                      <a:avLst/>
                    </a:prstGeom>
                  </pic:spPr>
                </pic:pic>
              </a:graphicData>
            </a:graphic>
          </wp:inline>
        </w:drawing>
      </w:r>
    </w:p>
    <w:p w:rsidR="16E780B5" w:rsidRDefault="16E780B5" w14:noSpellErr="1" w14:paraId="74CBB01E" w14:textId="35D87BD0">
      <w:r w:rsidRPr="16E780B5" w:rsidR="16E780B5">
        <w:rPr>
          <w:rFonts w:ascii="Arial" w:hAnsi="Arial" w:eastAsia="Arial" w:cs="Arial"/>
          <w:sz w:val="21"/>
          <w:szCs w:val="21"/>
        </w:rPr>
        <w:t>我们称这个最大的发散角为theta。给定光源位置与照射点位置，从光源到顶点的射线与光源照射方向的夹角如果位于最大发散角之内，则进行光照计算，否则该点不进行计算。与点光源一样，聚光灯光强也随着的距离的增大而减小，衰减方式完全一样。</w:t>
      </w:r>
    </w:p>
    <w:p w:rsidR="16E780B5" w:rsidP="16E780B5" w:rsidRDefault="16E780B5" w14:paraId="0902536C" w14:textId="281041C2">
      <w:pPr>
        <w:pStyle w:val="Normal"/>
      </w:pP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Wingdings" w:hAnsi="Wingdings"/>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D993771"/>
  <w15:docId w15:val="{9d8398b5-f3d3-4367-b842-523f2a2b60c6}"/>
  <w:rsids>
    <w:rsidRoot w:val="31FA0C67"/>
    <w:rsid w:val="0AB9102F"/>
    <w:rsid w:val="16E780B5"/>
    <w:rsid w:val="17C2775C"/>
    <w:rsid w:val="279E3084"/>
    <w:rsid w:val="2FF7382D"/>
    <w:rsid w:val="31FA0C6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b/>
      <w:bCs/>
      <w:kern w:val="44"/>
      <w:sz w:val="44"/>
      <w:szCs w:val="4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340" w:after="330" w:line="578" w:lineRule="auto"/>
      <w:outlineLvl xmlns:w="http://schemas.openxmlformats.org/wordprocessingml/2006/main" w:val="0"/>
    </w:pPr>
    <w:rPr xmlns:w="http://schemas.openxmlformats.org/wordprocessingml/2006/main">
      <w:b/>
      <w:bCs/>
      <w:kern w:val="44"/>
      <w:sz w:val="44"/>
      <w:szCs w:val="4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b/>
      <w:bCs/>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60" w:after="260" w:line="416" w:lineRule="auto"/>
      <w:outlineLvl xmlns:w="http://schemas.openxmlformats.org/wordprocessingml/2006/main" w:val="1"/>
    </w:pPr>
    <w:rPr xmlns:w="http://schemas.openxmlformats.org/wordprocessingml/2006/main">
      <w:rFonts w:asciiTheme="majorHAnsi" w:hAnsiTheme="majorHAnsi" w:eastAsiaTheme="majorEastAsia" w:cstheme="majorBidi"/>
      <w:b/>
      <w:bCs/>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b/>
      <w:bCs/>
      <w:sz w:val="32"/>
      <w:szCs w:val="32"/>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60" w:after="260" w:line="416" w:lineRule="auto"/>
      <w:outlineLvl xmlns:w="http://schemas.openxmlformats.org/wordprocessingml/2006/main" w:val="2"/>
    </w:pPr>
    <w:rPr xmlns:w="http://schemas.openxmlformats.org/wordprocessingml/2006/ma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64f6f56b8fc4189" /><Relationship Type="http://schemas.openxmlformats.org/officeDocument/2006/relationships/image" Target="/media/image2.png" Id="Rd0caa9be0cc1470f" /><Relationship Type="http://schemas.openxmlformats.org/officeDocument/2006/relationships/image" Target="/media/image3.png" Id="Rc7bd0d783e554dc2" /><Relationship Type="http://schemas.openxmlformats.org/officeDocument/2006/relationships/image" Target="/media/image4.png" Id="R4038cb1bce47408e" /><Relationship Type="http://schemas.openxmlformats.org/officeDocument/2006/relationships/image" Target="/media/image5.png" Id="Rf3fa462f963a4988" /><Relationship Type="http://schemas.openxmlformats.org/officeDocument/2006/relationships/image" Target="/media/image6.png" Id="R3f40fe7230bf4f1b" /><Relationship Type="http://schemas.openxmlformats.org/officeDocument/2006/relationships/image" Target="/media/image7.png" Id="R0a7b76f4f0ef4d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2016-11-08T09:55:34.6235378Z</dcterms:created>
  <dcterms:modified xsi:type="dcterms:W3CDTF">2016-11-08T11:51:49.2297230Z</dcterms:modified>
  <dc:creator>peng liujia</dc:creator>
  <lastModifiedBy>peng liujia</lastModifiedBy>
</coreProperties>
</file>