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B9102F" w:rsidP="0AB9102F" w:rsidRDefault="0AB9102F" w14:noSpellErr="1" w14:paraId="3F79E060" w14:textId="05AB26B0">
      <w:pPr>
        <w:pStyle w:val="Heading1"/>
      </w:pPr>
      <w:r w:rsidRPr="0AB9102F" w:rsidR="0AB9102F">
        <w:rPr>
          <w:lang w:val="en-US"/>
        </w:rPr>
        <w:t>6.</w:t>
      </w:r>
      <w:r w:rsidRPr="0AB9102F" w:rsidR="0AB9102F">
        <w:rPr>
          <w:lang w:val="en-US"/>
        </w:rPr>
        <w:t>CookTorrance</w:t>
      </w:r>
      <w:r w:rsidRPr="0AB9102F" w:rsidR="0AB9102F">
        <w:rPr/>
        <w:t xml:space="preserve"> </w:t>
      </w:r>
    </w:p>
    <w:p w:rsidR="0AB9102F" w:rsidRDefault="0AB9102F" w14:noSpellErr="1" w14:paraId="26C849B3" w14:textId="018D0DFD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这种光照模型是由罗伯特·L·库克和Kenneth E.托兰斯的发展。库克-托兰斯模型更接近比的Phong或的Blinn-的Phong模型的物理现实。它是用来模拟不同材料的镜面反射。该模型将每个表面由许多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微小面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：非常小的方面，反映了入射光。在粗糙表面上，这些微小面的斜坡变化很大，并且在光滑表面的微小面以类似的方向上取向（如在1967年由托兰斯-麻雀描述）。</w:t>
      </w:r>
    </w:p>
    <w:p w:rsidR="0AB9102F" w:rsidRDefault="0AB9102F" w14:noSpellErr="1" w14:paraId="7895B142" w14:textId="6D31C105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因为在大多数的光照模型，反射由环境，漫反射和镜面反射和朗伯（的</w:t>
      </w:r>
      <w:r w:rsidRPr="0AB9102F" w:rsidR="0AB9102F">
        <w:rPr>
          <w:rFonts w:ascii="Verdana" w:hAnsi="Verdana" w:eastAsia="Verdana" w:cs="Verdana"/>
          <w:b w:val="1"/>
          <w:bCs w:val="1"/>
          <w:color w:val="222222"/>
          <w:sz w:val="21"/>
          <w:szCs w:val="21"/>
        </w:rPr>
        <w:t>ñ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 xml:space="preserve"> · </w:t>
      </w:r>
      <w:r w:rsidRPr="0AB9102F" w:rsidR="0AB9102F">
        <w:rPr>
          <w:rFonts w:ascii="Verdana" w:hAnsi="Verdana" w:eastAsia="Verdana" w:cs="Verdana"/>
          <w:b w:val="1"/>
          <w:bCs w:val="1"/>
          <w:color w:val="222222"/>
          <w:sz w:val="21"/>
          <w:szCs w:val="21"/>
        </w:rPr>
        <w:t>升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用于漫反射）。该模型，而不是集中在镜面反射。下面的公式示出了基本的反射模型（以简化的形式库克＆托兰斯（1982）的原配方见。）：</w:t>
      </w:r>
    </w:p>
    <w:p w:rsidR="0AB9102F" w:rsidRDefault="0AB9102F" w14:noSpellErr="1" w14:paraId="14B29FFC" w14:textId="6A1582E4">
      <w:r>
        <w:drawing>
          <wp:inline wp14:editId="0E7B49FB" wp14:anchorId="73D5C2B5">
            <wp:extent cx="3733800" cy="533400"/>
            <wp:effectExtent l="0" t="0" r="0" b="0"/>
            <wp:docPr id="15614693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0fb343831c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RDefault="0AB9102F" w14:noSpellErr="1" w14:paraId="6927FBA6" w14:textId="4363D6EA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其中，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ķ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 xml:space="preserve"> ]是漫反射的光的分数（0之间的值和1）和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 xml:space="preserve">- [R 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小号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是镜面反射分量，这样计算：</w:t>
      </w:r>
    </w:p>
    <w:p w:rsidR="0AB9102F" w:rsidRDefault="0AB9102F" w14:noSpellErr="1" w14:paraId="2C85C03F" w14:textId="0F1A1BB2">
      <w:r>
        <w:drawing>
          <wp:inline wp14:editId="617305D6" wp14:anchorId="21616051">
            <wp:extent cx="1628775" cy="638175"/>
            <wp:effectExtent l="0" t="0" r="0" b="0"/>
            <wp:docPr id="13715625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10892a097c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RDefault="0AB9102F" w14:noSpellErr="1" w14:paraId="620F83E6" w14:textId="50B479FE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这种镜面反射取决于三个因素：该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菲涅耳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（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˚F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），所述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粗糙度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（=微小面的方向分布，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ð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）和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几何衰减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（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ģ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）。</w:t>
      </w:r>
    </w:p>
    <w:p w:rsidR="0AB9102F" w:rsidP="0AB9102F" w:rsidRDefault="0AB9102F" w14:noSpellErr="1" w14:paraId="3D6CD20A" w14:textId="0288EDE0">
      <w:pPr>
        <w:pStyle w:val="Heading2"/>
      </w:pPr>
      <w:r w:rsidRPr="0AB9102F" w:rsidR="0AB9102F">
        <w:rPr>
          <w:rFonts w:ascii="Verdana" w:hAnsi="Verdana" w:eastAsia="Verdana" w:cs="Verdana"/>
          <w:color w:val="222222"/>
        </w:rPr>
        <w:t>菲涅尔</w:t>
      </w:r>
    </w:p>
    <w:p w:rsidR="0AB9102F" w:rsidRDefault="0AB9102F" w14:noSpellErr="1" w14:paraId="0E4CC7C8" w14:textId="7408E6FC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菲涅尔因子定义了入射光的分数被反射，哪一部分被发送。在我所见过的石里克近似的例子着色器代替原有的配方，因为原来的菲涅耳公式太耗费计算。见库克 - 托兰斯（1982年）为全面菲涅耳公式。</w:t>
      </w:r>
    </w:p>
    <w:p w:rsidR="0AB9102F" w:rsidRDefault="0AB9102F" w14:noSpellErr="1" w14:paraId="03A3DDD3" w14:textId="5F0B25C8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石里克（1994）做了菲涅耳公式的近似值来获得类似的结果具有更快的计算。他的公式是这样的：</w:t>
      </w:r>
    </w:p>
    <w:p w:rsidR="0AB9102F" w:rsidRDefault="0AB9102F" w14:noSpellErr="1" w14:paraId="4EC95F38" w14:textId="0EC3D636">
      <w:r>
        <w:drawing>
          <wp:inline wp14:editId="68083C8D" wp14:anchorId="616E5CC1">
            <wp:extent cx="3019425" cy="381000"/>
            <wp:effectExtent l="0" t="0" r="0" b="0"/>
            <wp:docPr id="2086740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45baaa64ac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RDefault="0AB9102F" w14:noSpellErr="1" w14:paraId="705A828E" w14:textId="01F59153"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 xml:space="preserve">˚F 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λ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是在法向入射的反射率，</w:t>
      </w:r>
      <w:r w:rsidRPr="0AB9102F" w:rsidR="0AB9102F">
        <w:rPr>
          <w:rFonts w:ascii="Verdana" w:hAnsi="Verdana" w:eastAsia="Verdana" w:cs="Verdana"/>
          <w:b w:val="1"/>
          <w:bCs w:val="1"/>
          <w:color w:val="222222"/>
          <w:sz w:val="21"/>
          <w:szCs w:val="21"/>
        </w:rPr>
        <w:t>升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是光矢量和</w:t>
      </w:r>
      <w:r w:rsidRPr="0AB9102F" w:rsidR="0AB9102F">
        <w:rPr>
          <w:rFonts w:ascii="Verdana" w:hAnsi="Verdana" w:eastAsia="Verdana" w:cs="Verdana"/>
          <w:b w:val="1"/>
          <w:bCs w:val="1"/>
          <w:color w:val="222222"/>
          <w:sz w:val="21"/>
          <w:szCs w:val="21"/>
        </w:rPr>
        <w:t>ħ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是光矢量和朝向观看者指向的向量之间的半向量。</w:t>
      </w:r>
    </w:p>
    <w:p w:rsidR="0AB9102F" w:rsidP="0AB9102F" w:rsidRDefault="0AB9102F" w14:noSpellErr="1" w14:paraId="606DC4C9" w14:textId="7128B045">
      <w:pPr>
        <w:pStyle w:val="Heading2"/>
      </w:pPr>
      <w:r w:rsidRPr="0AB9102F" w:rsidR="0AB9102F">
        <w:rPr>
          <w:rFonts w:ascii="Verdana" w:hAnsi="Verdana" w:eastAsia="Verdana" w:cs="Verdana"/>
          <w:color w:val="222222"/>
        </w:rPr>
        <w:t>粗糙度（微面分布）</w:t>
      </w:r>
    </w:p>
    <w:p w:rsidR="0AB9102F" w:rsidRDefault="0AB9102F" w14:noSpellErr="1" w14:paraId="2725F3FB" w14:textId="5405879C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这个因素定义了以相同的方式（=作为法线矢量指向相同的方向），为的中途矢量定向微小面的分数</w:t>
      </w:r>
      <w:r w:rsidRPr="0AB9102F" w:rsidR="0AB9102F">
        <w:rPr>
          <w:rFonts w:ascii="Verdana" w:hAnsi="Verdana" w:eastAsia="Verdana" w:cs="Verdana"/>
          <w:b w:val="1"/>
          <w:bCs w:val="1"/>
          <w:color w:val="222222"/>
          <w:sz w:val="21"/>
          <w:szCs w:val="21"/>
        </w:rPr>
        <w:t>v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。上光滑的表面，所有微小面具有相似的方向，因此，所有的反射光接近反射载体。在粗糙的表面，光线分布更加广泛。</w:t>
      </w:r>
    </w:p>
    <w:p w:rsidR="0AB9102F" w:rsidRDefault="0AB9102F" w14:noSpellErr="1" w14:paraId="7ADA5AEE" w14:textId="04BC0D61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计算所述分布的一个方法是使用Beckmanns（1963）分布函数：</w:t>
      </w:r>
    </w:p>
    <w:p w:rsidR="0AB9102F" w:rsidRDefault="0AB9102F" w14:noSpellErr="1" w14:paraId="45888D5E" w14:textId="0DEB72B3">
      <w:r>
        <w:drawing>
          <wp:inline wp14:editId="7D8D03D7" wp14:anchorId="63A2C3A2">
            <wp:extent cx="5543550" cy="1000125"/>
            <wp:effectExtent l="0" t="0" r="0" b="0"/>
            <wp:docPr id="10923840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1ca167389e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RDefault="0AB9102F" w14:noSpellErr="1" w14:paraId="4364AF35" w14:textId="46DBF672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其中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米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是控制表面的粗糙度的变量。</w:t>
      </w:r>
    </w:p>
    <w:p w:rsidR="0AB9102F" w:rsidP="0AB9102F" w:rsidRDefault="0AB9102F" w14:noSpellErr="1" w14:paraId="12134131" w14:textId="3C6FE057">
      <w:pPr>
        <w:pStyle w:val="Heading2"/>
      </w:pPr>
      <w:r w:rsidRPr="0AB9102F" w:rsidR="0AB9102F">
        <w:rPr>
          <w:rFonts w:ascii="Verdana" w:hAnsi="Verdana" w:eastAsia="Verdana" w:cs="Verdana"/>
          <w:color w:val="222222"/>
        </w:rPr>
        <w:t>几何衰减</w:t>
      </w:r>
    </w:p>
    <w:p w:rsidR="0AB9102F" w:rsidRDefault="0AB9102F" w14:noSpellErr="1" w14:paraId="400E946F" w14:textId="19FBD024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在到达表面之前或反射后一些微小面遮挡入射光。的</w:t>
      </w:r>
      <w:r w:rsidRPr="0AB9102F" w:rsidR="0AB9102F">
        <w:rPr>
          <w:rFonts w:ascii="Verdana" w:hAnsi="Verdana" w:eastAsia="Verdana" w:cs="Verdana"/>
          <w:i w:val="1"/>
          <w:iCs w:val="1"/>
          <w:color w:val="222222"/>
          <w:sz w:val="21"/>
          <w:szCs w:val="21"/>
        </w:rPr>
        <w:t>几何衰减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因子是从0到1的值，表示保持此遮蔽或掩蔽已经发生后的光的比例量。该计算假定所有微小面具有V形槽的形式。</w:t>
      </w:r>
    </w:p>
    <w:p w:rsidR="0AB9102F" w:rsidRDefault="0AB9102F" w14:noSpellErr="1" w14:paraId="693A01EC" w14:textId="2BDF7F9B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因此有三种情况的光与表面的反应：（a）该光被反射而不干扰，（二）部分的反射光被反射和（c）一些光到达下一个微面之前被阻塞后阻止（TODO：添加图片）。</w:t>
      </w:r>
    </w:p>
    <w:p w:rsidR="0AB9102F" w:rsidRDefault="0AB9102F" w14:noSpellErr="1" w14:paraId="7F948671" w14:textId="0DAB246A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在第一种情况下，到达观看者的光1.第二种情况的公式为：</w:t>
      </w:r>
    </w:p>
    <w:p w:rsidR="0AB9102F" w:rsidRDefault="0AB9102F" w14:noSpellErr="1" w14:paraId="6F448450" w14:textId="450A7150">
      <w:r>
        <w:drawing>
          <wp:inline wp14:editId="1A1F47B6" wp14:anchorId="2DAF1EC4">
            <wp:extent cx="1952625" cy="600075"/>
            <wp:effectExtent l="0" t="0" r="0" b="0"/>
            <wp:docPr id="7962804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c230534318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RDefault="0AB9102F" w14:noSpellErr="1" w14:paraId="4084A70B" w14:textId="6D8F3D65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对于第三种情况的公式是一样的第二种情况，但与</w:t>
      </w:r>
      <w:r w:rsidRPr="0AB9102F" w:rsidR="0AB9102F">
        <w:rPr>
          <w:rFonts w:ascii="Verdana" w:hAnsi="Verdana" w:eastAsia="Verdana" w:cs="Verdana"/>
          <w:b w:val="1"/>
          <w:bCs w:val="1"/>
          <w:color w:val="222222"/>
          <w:sz w:val="21"/>
          <w:szCs w:val="21"/>
        </w:rPr>
        <w:t>v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和</w:t>
      </w:r>
      <w:r w:rsidRPr="0AB9102F" w:rsidR="0AB9102F">
        <w:rPr>
          <w:rFonts w:ascii="Verdana" w:hAnsi="Verdana" w:eastAsia="Verdana" w:cs="Verdana"/>
          <w:b w:val="1"/>
          <w:bCs w:val="1"/>
          <w:color w:val="222222"/>
          <w:sz w:val="21"/>
          <w:szCs w:val="21"/>
        </w:rPr>
        <w:t>升</w:t>
      </w:r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交换：</w:t>
      </w:r>
    </w:p>
    <w:p w:rsidR="0AB9102F" w:rsidRDefault="0AB9102F" w14:noSpellErr="1" w14:paraId="6A385762" w14:textId="1E4A5940">
      <w:r>
        <w:drawing>
          <wp:inline wp14:editId="0D84BD2C" wp14:anchorId="46D42F05">
            <wp:extent cx="1943100" cy="609600"/>
            <wp:effectExtent l="0" t="0" r="0" b="0"/>
            <wp:docPr id="21059292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4697acfa33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RDefault="0AB9102F" w14:noSpellErr="1" w14:paraId="47831A9D" w14:textId="0D747E08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的几何衰减因子计算为最小下列三个值：</w:t>
      </w:r>
    </w:p>
    <w:p w:rsidR="0AB9102F" w:rsidRDefault="0AB9102F" w14:noSpellErr="1" w14:paraId="11187AC6" w14:textId="0C9C52B1">
      <w:r>
        <w:drawing>
          <wp:inline wp14:editId="697D2E93" wp14:anchorId="1A8C629C">
            <wp:extent cx="4257675" cy="762000"/>
            <wp:effectExtent l="0" t="0" r="0" b="0"/>
            <wp:docPr id="12197570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752753a81d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RDefault="0AB9102F" w14:noSpellErr="1" w14:paraId="36585D84" w14:textId="0DAD4A96">
      <w:r w:rsidRPr="0AB9102F" w:rsidR="0AB9102F">
        <w:rPr>
          <w:rFonts w:ascii="Verdana" w:hAnsi="Verdana" w:eastAsia="Verdana" w:cs="Verdana"/>
          <w:color w:val="222222"/>
          <w:sz w:val="21"/>
          <w:szCs w:val="21"/>
        </w:rPr>
        <w:t>几何衰减计算在详细的Blinn（1977）中所述。</w:t>
      </w:r>
    </w:p>
    <w:p w:rsidR="0AB9102F" w:rsidP="0AB9102F" w:rsidRDefault="0AB9102F" w14:noSpellErr="1" w14:paraId="3FB4F10E" w14:textId="67C0EE66">
      <w:pPr>
        <w:pStyle w:val="Normal"/>
        <w:rPr>
          <w:rFonts w:ascii="Verdana" w:hAnsi="Verdana" w:eastAsia="Verdana" w:cs="Verdana"/>
          <w:color w:val="222222"/>
          <w:sz w:val="21"/>
          <w:szCs w:val="21"/>
        </w:rPr>
      </w:pPr>
    </w:p>
    <w:p w:rsidR="0AB9102F" w:rsidRDefault="0AB9102F" w14:paraId="28B981A2" w14:textId="2932DB11">
      <w:r>
        <w:drawing>
          <wp:inline wp14:editId="62C59668" wp14:anchorId="4A18064D">
            <wp:extent cx="5724524" cy="4133850"/>
            <wp:effectExtent l="0" t="0" r="0" b="0"/>
            <wp:docPr id="463563608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4df581d65a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9102F" w:rsidP="0AB9102F" w:rsidRDefault="0AB9102F" w14:paraId="2B5526EF" w14:textId="78EFB6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9d8398b5-f3d3-4367-b842-523f2a2b60c6}"/>
  <w:rsids>
    <w:rsidRoot w:val="31FA0C67"/>
    <w:rsid w:val="0AB9102F"/>
    <w:rsid w:val="17C2775C"/>
    <w:rsid w:val="31FA0C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4f6f56b8fc4189" /><Relationship Type="http://schemas.openxmlformats.org/officeDocument/2006/relationships/image" Target="/media/image3.png" Id="R760fb343831c44d1" /><Relationship Type="http://schemas.openxmlformats.org/officeDocument/2006/relationships/image" Target="/media/image4.png" Id="Rad10892a097c41e5" /><Relationship Type="http://schemas.openxmlformats.org/officeDocument/2006/relationships/image" Target="/media/image5.png" Id="Re745baaa64ac4d2e" /><Relationship Type="http://schemas.openxmlformats.org/officeDocument/2006/relationships/image" Target="/media/image6.png" Id="R0d1ca167389e4523" /><Relationship Type="http://schemas.openxmlformats.org/officeDocument/2006/relationships/image" Target="/media/image7.png" Id="R26c2305343184f6e" /><Relationship Type="http://schemas.openxmlformats.org/officeDocument/2006/relationships/image" Target="/media/image8.png" Id="Rf94697acfa334d29" /><Relationship Type="http://schemas.openxmlformats.org/officeDocument/2006/relationships/image" Target="/media/image9.png" Id="Re7752753a81d47fe" /><Relationship Type="http://schemas.openxmlformats.org/officeDocument/2006/relationships/image" Target="/media/imagea.png" Id="R2b4df581d65a4a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2016-11-08T09:55:34.6235378Z</dcterms:created>
  <dcterms:modified xsi:type="dcterms:W3CDTF">2016-11-08T11:14:02.3360077Z</dcterms:modified>
  <dc:creator>peng liujia</dc:creator>
  <lastModifiedBy>peng liujia</lastModifiedBy>
</coreProperties>
</file>