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 w:eastAsia="zh-CN"/>
        </w:rPr>
        <w:t>北京智慧文旅平台建设-北京市文化和旅游局2025年度北京智慧文旅平台建设云计算服务项目--云服务运维月报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bidi w:val="0"/>
        <w:rPr>
          <w:rFonts w:hint="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</w:rPr>
        <w:t>北京金山云网络技术有限公司</w:t>
      </w:r>
    </w:p>
    <w:p>
      <w:pPr>
        <w:pStyle w:val="8"/>
        <w:pageBreakBefore w:val="0"/>
        <w:tabs>
          <w:tab w:val="left" w:pos="960"/>
          <w:tab w:val="right" w:leader="dot" w:pos="8296"/>
        </w:tabs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lang w:val="en-US" w:eastAsia="zh-CN" w:bidi="ar-SA"/>
        </w:rPr>
        <w:t>2025年11月</w:t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bCs/>
          <w:cap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br w:type="page"/>
      </w:r>
    </w:p>
    <w:p>
      <w:pPr>
        <w:pStyle w:val="3"/>
        <w:pageBreakBefore w:val="0"/>
        <w:kinsoku/>
        <w:wordWrap/>
        <w:topLinePunct w:val="0"/>
        <w:autoSpaceDE/>
        <w:autoSpaceDN/>
        <w:bidi w:val="0"/>
        <w:spacing w:line="360" w:lineRule="auto"/>
        <w:ind w:left="-200" w:leftChars="0" w:firstLine="20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  <w:sectPr>
          <w:headerReference r:id="rId3" w:type="default"/>
          <w:footerReference r:id="rId4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目录</w:t>
      </w:r>
      <w:bookmarkStart w:id="46" w:name="_GoBack"/>
      <w:bookmarkEnd w:id="46"/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TOC \o "1-3" \h \z \u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_Toc3747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一、 </w:t>
      </w:r>
      <w:r>
        <w:rPr>
          <w:rFonts w:hint="eastAsia" w:asciiTheme="minorEastAsia" w:hAnsiTheme="minorEastAsia" w:eastAsiaTheme="minorEastAsia" w:cstheme="minorEastAsia"/>
        </w:rPr>
        <w:t>基础资源台账概况</w:t>
      </w:r>
      <w:r>
        <w:tab/>
      </w:r>
      <w:r>
        <w:fldChar w:fldCharType="begin"/>
      </w:r>
      <w:r>
        <w:instrText xml:space="preserve"> PAGEREF _Toc3747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_Toc3640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二、 </w:t>
      </w:r>
      <w:r>
        <w:rPr>
          <w:rFonts w:hint="eastAsia"/>
        </w:rPr>
        <w:t>本月技术支撑统计</w:t>
      </w:r>
      <w:r>
        <w:tab/>
      </w:r>
      <w:r>
        <w:fldChar w:fldCharType="begin"/>
      </w:r>
      <w:r>
        <w:instrText xml:space="preserve"> PAGEREF _Toc3640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_Toc5120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三、 </w:t>
      </w:r>
      <w:r>
        <w:rPr>
          <w:rFonts w:hint="eastAsia"/>
        </w:rPr>
        <w:t>业务系统资源使用情况统计（CPU、内存、存储）</w:t>
      </w:r>
      <w:r>
        <w:tab/>
      </w:r>
      <w:r>
        <w:fldChar w:fldCharType="begin"/>
      </w:r>
      <w:r>
        <w:instrText xml:space="preserve"> PAGEREF _Toc5120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_Toc10052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四、 </w:t>
      </w:r>
      <w:r>
        <w:rPr>
          <w:rFonts w:hint="eastAsia"/>
          <w:lang w:val="en-US" w:eastAsia="zh-CN"/>
        </w:rPr>
        <w:t>政务云基础资源台账</w:t>
      </w:r>
      <w:r>
        <w:tab/>
      </w:r>
      <w:r>
        <w:fldChar w:fldCharType="begin"/>
      </w:r>
      <w:r>
        <w:instrText xml:space="preserve"> PAGEREF _Toc10052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_Toc10517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五、 </w:t>
      </w:r>
      <w:r>
        <w:rPr>
          <w:rFonts w:hint="eastAsia"/>
          <w:lang w:val="en-US" w:eastAsia="zh-CN"/>
        </w:rPr>
        <w:t>计算服务</w:t>
      </w:r>
      <w:r>
        <w:tab/>
      </w:r>
      <w:r>
        <w:fldChar w:fldCharType="begin"/>
      </w:r>
      <w:r>
        <w:instrText xml:space="preserve"> PAGEREF _Toc10517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_Toc13434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</w:rPr>
        <w:t>CPU使用率详情</w:t>
      </w:r>
      <w:r>
        <w:tab/>
      </w:r>
      <w:r>
        <w:fldChar w:fldCharType="begin"/>
      </w:r>
      <w:r>
        <w:instrText xml:space="preserve"> PAGEREF _Toc13434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_Toc21680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</w:rPr>
        <w:t>内存使用率详情</w:t>
      </w:r>
      <w:r>
        <w:tab/>
      </w:r>
      <w:r>
        <w:fldChar w:fldCharType="begin"/>
      </w:r>
      <w:r>
        <w:instrText xml:space="preserve"> PAGEREF _Toc21680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_Toc12408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六、 </w:t>
      </w:r>
      <w:r>
        <w:rPr>
          <w:rFonts w:hint="eastAsia"/>
          <w:lang w:val="en-US" w:eastAsia="zh-CN"/>
        </w:rPr>
        <w:t>存储服务</w:t>
      </w:r>
      <w:r>
        <w:tab/>
      </w:r>
      <w:r>
        <w:fldChar w:fldCharType="begin"/>
      </w:r>
      <w:r>
        <w:instrText xml:space="preserve"> PAGEREF _Toc12408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_Toc18541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</w:rPr>
        <w:t>磁盘使用率详情</w:t>
      </w:r>
      <w:r>
        <w:tab/>
      </w:r>
      <w:r>
        <w:fldChar w:fldCharType="begin"/>
      </w:r>
      <w:r>
        <w:instrText xml:space="preserve"> PAGEREF _Toc18541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_Toc703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本地备份服务</w:t>
      </w:r>
      <w:r>
        <w:tab/>
      </w:r>
      <w:r>
        <w:fldChar w:fldCharType="begin"/>
      </w:r>
      <w:r>
        <w:instrText xml:space="preserve"> PAGEREF _Toc703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_Toc3427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七、 </w:t>
      </w:r>
      <w:r>
        <w:rPr>
          <w:rFonts w:hint="eastAsia"/>
          <w:lang w:val="en-US" w:eastAsia="zh-CN"/>
        </w:rPr>
        <w:t>网络服务</w:t>
      </w:r>
      <w:r>
        <w:tab/>
      </w:r>
      <w:r>
        <w:fldChar w:fldCharType="begin"/>
      </w:r>
      <w:r>
        <w:instrText xml:space="preserve"> PAGEREF _Toc3427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_Toc16414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远程接入服务</w:t>
      </w:r>
      <w:r>
        <w:tab/>
      </w:r>
      <w:r>
        <w:fldChar w:fldCharType="begin"/>
      </w:r>
      <w:r>
        <w:instrText xml:space="preserve"> PAGEREF _Toc16414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_Toc29102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VPN服务</w:t>
      </w:r>
      <w:r>
        <w:tab/>
      </w:r>
      <w:r>
        <w:fldChar w:fldCharType="begin"/>
      </w:r>
      <w:r>
        <w:instrText xml:space="preserve"> PAGEREF _Toc29102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_Toc31399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/>
        </w:rPr>
        <w:t xml:space="preserve">3．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WAF防护服务</w:t>
      </w:r>
      <w:r>
        <w:tab/>
      </w:r>
      <w:r>
        <w:fldChar w:fldCharType="begin"/>
      </w:r>
      <w:r>
        <w:instrText xml:space="preserve"> PAGEREF _Toc31399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_Toc13298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eastAsia="zh-CN"/>
        </w:rPr>
        <w:t xml:space="preserve">4．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云平台巡检记录</w:t>
      </w:r>
      <w:r>
        <w:tab/>
      </w:r>
      <w:r>
        <w:fldChar w:fldCharType="begin"/>
      </w:r>
      <w:r>
        <w:instrText xml:space="preserve"> PAGEREF _Toc13298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_Toc4871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八、 </w:t>
      </w:r>
      <w:r>
        <w:rPr>
          <w:rFonts w:hint="eastAsia"/>
          <w:lang w:val="en-US" w:eastAsia="zh-CN"/>
        </w:rPr>
        <w:t>安全服务报告</w:t>
      </w:r>
      <w:r>
        <w:tab/>
      </w:r>
      <w:r>
        <w:fldChar w:fldCharType="begin"/>
      </w:r>
      <w:r>
        <w:instrText xml:space="preserve"> PAGEREF _Toc4871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_Toc28759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商用操作系统套餐</w:t>
      </w:r>
      <w:r>
        <w:tab/>
      </w:r>
      <w:r>
        <w:fldChar w:fldCharType="begin"/>
      </w:r>
      <w:r>
        <w:instrText xml:space="preserve"> PAGEREF _Toc28759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_Toc30447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主机防护服务</w:t>
      </w:r>
      <w:r>
        <w:tab/>
      </w:r>
      <w:r>
        <w:fldChar w:fldCharType="begin"/>
      </w:r>
      <w:r>
        <w:instrText xml:space="preserve"> PAGEREF _Toc30447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_Toc7426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3．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主机日志分析服务</w:t>
      </w:r>
      <w:r>
        <w:tab/>
      </w:r>
      <w:r>
        <w:fldChar w:fldCharType="begin"/>
      </w:r>
      <w:r>
        <w:instrText xml:space="preserve"> PAGEREF _Toc7426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_Toc31974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4．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数据库审计服务</w:t>
      </w:r>
      <w:r>
        <w:tab/>
      </w:r>
      <w:r>
        <w:fldChar w:fldCharType="begin"/>
      </w:r>
      <w:r>
        <w:instrText xml:space="preserve"> PAGEREF _Toc31974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_Toc10199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5．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密码应用服务</w:t>
      </w:r>
      <w:r>
        <w:tab/>
      </w:r>
      <w:r>
        <w:fldChar w:fldCharType="begin"/>
      </w:r>
      <w:r>
        <w:instrText xml:space="preserve"> PAGEREF _Toc10199 \h </w:instrText>
      </w:r>
      <w:r>
        <w:fldChar w:fldCharType="separate"/>
      </w:r>
      <w:r>
        <w:t>37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_Toc17498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6．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主机漏洞扫描服务</w:t>
      </w:r>
      <w:r>
        <w:tab/>
      </w:r>
      <w:r>
        <w:fldChar w:fldCharType="begin"/>
      </w:r>
      <w:r>
        <w:instrText xml:space="preserve"> PAGEREF _Toc17498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_Toc24378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附件1</w:t>
      </w:r>
      <w:r>
        <w:rPr>
          <w:rFonts w:hint="eastAsia" w:cs="宋体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Cs w:val="24"/>
          <w:lang w:val="en-US" w:eastAsia="zh-CN"/>
        </w:rPr>
        <w:t>等</w:t>
      </w:r>
      <w:r>
        <w:rPr>
          <w:rFonts w:hint="eastAsia" w:cs="宋体"/>
          <w:szCs w:val="24"/>
          <w:lang w:val="en-US" w:eastAsia="zh-CN"/>
        </w:rPr>
        <w:t>保</w:t>
      </w:r>
      <w:r>
        <w:rPr>
          <w:rFonts w:hint="eastAsia" w:ascii="宋体" w:hAnsi="宋体" w:eastAsia="宋体" w:cs="宋体"/>
          <w:szCs w:val="24"/>
          <w:lang w:val="en-US" w:eastAsia="zh-CN"/>
        </w:rPr>
        <w:t>测评</w:t>
      </w:r>
      <w:r>
        <w:rPr>
          <w:rFonts w:hint="eastAsia" w:cs="宋体"/>
          <w:szCs w:val="24"/>
          <w:lang w:val="en-US" w:eastAsia="zh-CN"/>
        </w:rPr>
        <w:t>报告</w:t>
      </w:r>
      <w:r>
        <w:rPr>
          <w:rFonts w:hint="eastAsia" w:ascii="宋体" w:hAnsi="宋体" w:eastAsia="宋体" w:cs="宋体"/>
          <w:szCs w:val="24"/>
          <w:lang w:val="en-US" w:eastAsia="zh-CN"/>
        </w:rPr>
        <w:t>关键页</w:t>
      </w:r>
      <w:r>
        <w:tab/>
      </w:r>
      <w:r>
        <w:fldChar w:fldCharType="begin"/>
      </w:r>
      <w:r>
        <w:instrText xml:space="preserve"> PAGEREF _Toc24378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hyphen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_Toc9229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附件2</w:t>
      </w:r>
      <w:r>
        <w:rPr>
          <w:rFonts w:hint="eastAsia" w:cs="宋体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Cs w:val="24"/>
          <w:lang w:val="en-US" w:eastAsia="zh-CN"/>
        </w:rPr>
        <w:t>密码测评</w:t>
      </w:r>
      <w:r>
        <w:rPr>
          <w:rFonts w:hint="eastAsia" w:cs="宋体"/>
          <w:szCs w:val="24"/>
          <w:lang w:val="en-US" w:eastAsia="zh-CN"/>
        </w:rPr>
        <w:t>报告</w:t>
      </w:r>
      <w:r>
        <w:rPr>
          <w:rFonts w:hint="eastAsia" w:ascii="宋体" w:hAnsi="宋体" w:eastAsia="宋体" w:cs="宋体"/>
          <w:szCs w:val="24"/>
          <w:lang w:val="en-US" w:eastAsia="zh-CN"/>
        </w:rPr>
        <w:t>关键页</w:t>
      </w:r>
      <w:r>
        <w:tab/>
      </w:r>
      <w:r>
        <w:fldChar w:fldCharType="begin"/>
      </w:r>
      <w:r>
        <w:instrText xml:space="preserve"> PAGEREF _Toc9229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spacing w:line="360" w:lineRule="auto"/>
        <w:rPr>
          <w:rFonts w:hint="eastAsia" w:ascii="宋体" w:hAnsi="宋体" w:eastAsia="宋体" w:cs="宋体"/>
        </w:rPr>
        <w:sectPr>
          <w:headerReference r:id="rId5" w:type="default"/>
          <w:footerReference r:id="rId6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sz w:val="28"/>
        </w:rPr>
      </w:pPr>
      <w:bookmarkStart w:id="0" w:name="_Toc3747"/>
      <w:r>
        <w:rPr>
          <w:rFonts w:hint="eastAsia" w:asciiTheme="minorEastAsia" w:hAnsiTheme="minorEastAsia" w:eastAsiaTheme="minorEastAsia" w:cstheme="minorEastAsia"/>
          <w:b w:val="0"/>
          <w:sz w:val="28"/>
        </w:rPr>
        <w:t>基础资源台账概况</w:t>
      </w:r>
      <w:bookmarkEnd w:id="0"/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bookmarkStart w:id="1" w:name="OLE_LINK1"/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北京智慧文旅平台</w:t>
      </w:r>
      <w:bookmarkEnd w:id="1"/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建设-北京市文化和旅游局2025年度北京智慧文旅平台建设云计算服务项目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共有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个业务系统在北京市级政务云金山云平台（以下简称“金山云”）运行,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56台云主机，840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颗CPU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2252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内存，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104888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GB存储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包含31300 GB普通性能存储、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73588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GB高性能存储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）。</w:t>
      </w:r>
    </w:p>
    <w:p>
      <w:pPr>
        <w:pStyle w:val="3"/>
        <w:numPr>
          <w:ilvl w:val="0"/>
          <w:numId w:val="1"/>
        </w:numPr>
        <w:bidi w:val="0"/>
        <w:rPr>
          <w:rFonts w:hint="eastAsia"/>
        </w:rPr>
      </w:pPr>
      <w:bookmarkStart w:id="2" w:name="_Toc3640"/>
      <w:r>
        <w:rPr>
          <w:rFonts w:hint="eastAsia"/>
        </w:rPr>
        <w:t>本月技术支撑统计</w:t>
      </w:r>
      <w:bookmarkEnd w:id="2"/>
    </w:p>
    <w:tbl>
      <w:tblPr>
        <w:tblStyle w:val="1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183"/>
        <w:gridCol w:w="32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工作类型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需求处理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</w:tr>
    </w:tbl>
    <w:p>
      <w:pPr>
        <w:widowControl/>
        <w:spacing w:line="360" w:lineRule="auto"/>
        <w:ind w:firstLine="480" w:firstLineChars="200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hint="eastAsia" w:ascii="黑体" w:hAnsi="黑体" w:eastAsia="宋体"/>
          <w:b/>
          <w:bCs/>
          <w:kern w:val="44"/>
          <w:sz w:val="32"/>
          <w:szCs w:val="32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0"/>
          <w:numId w:val="1"/>
        </w:numPr>
        <w:bidi w:val="0"/>
        <w:rPr>
          <w:rFonts w:hint="eastAsia"/>
        </w:rPr>
      </w:pPr>
      <w:bookmarkStart w:id="3" w:name="_Toc5120"/>
      <w:r>
        <w:rPr>
          <w:rFonts w:hint="eastAsia"/>
        </w:rPr>
        <w:t>业务系统资源使用情况统计（CPU、内存、存储）</w:t>
      </w:r>
      <w:bookmarkEnd w:id="3"/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607"/>
        <w:gridCol w:w="1472"/>
        <w:gridCol w:w="1092"/>
        <w:gridCol w:w="15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tblHeader/>
        </w:trPr>
        <w:tc>
          <w:tcPr>
            <w:tcW w:w="4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8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CPU总量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1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840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13.91 </w:t>
            </w:r>
          </w:p>
        </w:tc>
      </w:tr>
    </w:tbl>
    <w:p>
      <w:pPr>
        <w:spacing w:line="360" w:lineRule="auto"/>
        <w:rPr>
          <w:rFonts w:hint="eastAsia" w:ascii="宋体" w:hAnsi="宋体" w:eastAsia="宋体" w:cs="宋体"/>
        </w:rPr>
      </w:pP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3572"/>
        <w:gridCol w:w="1257"/>
        <w:gridCol w:w="1349"/>
        <w:gridCol w:w="14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tblHeader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tblHeader/>
        </w:trPr>
        <w:tc>
          <w:tcPr>
            <w:tcW w:w="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2252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19.69 </w:t>
            </w:r>
          </w:p>
        </w:tc>
      </w:tr>
    </w:tbl>
    <w:p>
      <w:pPr>
        <w:pStyle w:val="2"/>
        <w:rPr>
          <w:rFonts w:hint="eastAsia" w:ascii="宋体" w:hAnsi="宋体" w:eastAsia="宋体" w:cs="宋体"/>
        </w:rPr>
      </w:pP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572"/>
        <w:gridCol w:w="1257"/>
        <w:gridCol w:w="1349"/>
        <w:gridCol w:w="14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tblHeader/>
        </w:trPr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0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104888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18.78 </w:t>
            </w:r>
          </w:p>
        </w:tc>
      </w:tr>
    </w:tbl>
    <w:p>
      <w:pPr>
        <w:widowControl/>
        <w:spacing w:line="360" w:lineRule="auto"/>
        <w:jc w:val="left"/>
        <w:rPr>
          <w:rFonts w:hint="eastAsia" w:ascii="宋体" w:hAnsi="宋体" w:eastAsia="宋体" w:cs="宋体"/>
          <w:sz w:val="32"/>
          <w:szCs w:val="32"/>
        </w:rPr>
        <w:sectPr>
          <w:footerReference r:id="rId7" w:type="default"/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sz w:val="32"/>
          <w:szCs w:val="32"/>
        </w:rPr>
        <w:br w:type="page"/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4" w:name="_Toc10052"/>
      <w:r>
        <w:rPr>
          <w:rFonts w:hint="eastAsia"/>
          <w:lang w:val="en-US" w:eastAsia="zh-CN"/>
        </w:rPr>
        <w:t>政务云基础资源台账</w:t>
      </w:r>
      <w:bookmarkEnd w:id="4"/>
    </w:p>
    <w:p>
      <w:pPr>
        <w:widowControl/>
        <w:spacing w:line="360" w:lineRule="auto"/>
        <w:ind w:firstLine="482" w:firstLineChars="20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合同要求：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提供12个月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1750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颗CPU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4452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内存，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141688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GB存储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包含31300 GB普通性能存储、110388 GB高性能存储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widowControl/>
        <w:spacing w:line="360" w:lineRule="auto"/>
        <w:ind w:firstLine="482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实现方式：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通过云服务器方式开通云主机资源，分配cpu、内存及存储资源。</w:t>
      </w:r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下表为本月云资源列表，cpu、内存、高性能存储资源分配情况：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1184"/>
        <w:gridCol w:w="2447"/>
        <w:gridCol w:w="1770"/>
        <w:gridCol w:w="825"/>
        <w:gridCol w:w="765"/>
        <w:gridCol w:w="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355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2"/>
                <w:lang w:val="en-US" w:eastAsia="zh-CN" w:bidi="ar"/>
              </w:rPr>
              <w:t>序号</w:t>
            </w:r>
          </w:p>
        </w:tc>
        <w:tc>
          <w:tcPr>
            <w:tcW w:w="695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2"/>
                <w:lang w:val="en-US" w:eastAsia="zh-CN" w:bidi="ar"/>
              </w:rPr>
              <w:t>业务系统名称</w:t>
            </w:r>
          </w:p>
        </w:tc>
        <w:tc>
          <w:tcPr>
            <w:tcW w:w="1436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2"/>
                <w:lang w:val="en-US" w:eastAsia="zh-CN" w:bidi="ar"/>
              </w:rPr>
              <w:t>云主机名称</w:t>
            </w:r>
          </w:p>
        </w:tc>
        <w:tc>
          <w:tcPr>
            <w:tcW w:w="103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2"/>
                <w:lang w:val="en-US" w:eastAsia="zh-CN" w:bidi="ar"/>
              </w:rPr>
              <w:t>IP地址</w:t>
            </w:r>
          </w:p>
        </w:tc>
        <w:tc>
          <w:tcPr>
            <w:tcW w:w="484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2"/>
                <w:lang w:val="en-US" w:eastAsia="zh-CN" w:bidi="ar"/>
              </w:rPr>
              <w:t>CPU</w:t>
            </w:r>
          </w:p>
        </w:tc>
        <w:tc>
          <w:tcPr>
            <w:tcW w:w="44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2"/>
                <w:lang w:val="en-US" w:eastAsia="zh-CN" w:bidi="ar"/>
              </w:rPr>
              <w:t>内存（</w:t>
            </w:r>
            <w:r>
              <w:rPr>
                <w:rStyle w:val="12"/>
                <w:rFonts w:hint="eastAsia"/>
                <w:lang w:val="en-US" w:eastAsia="zh-CN" w:bidi="ar"/>
              </w:rPr>
              <w:t>GB</w:t>
            </w:r>
            <w:r>
              <w:rPr>
                <w:rStyle w:val="12"/>
                <w:lang w:val="en-US" w:eastAsia="zh-CN" w:bidi="ar"/>
              </w:rPr>
              <w:t>）</w:t>
            </w:r>
          </w:p>
        </w:tc>
        <w:tc>
          <w:tcPr>
            <w:tcW w:w="540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12"/>
                <w:lang w:val="en-US" w:eastAsia="zh-CN" w:bidi="ar"/>
              </w:rPr>
              <w:t>存储总量（</w:t>
            </w:r>
            <w:r>
              <w:rPr>
                <w:rStyle w:val="12"/>
                <w:rFonts w:hint="eastAsia"/>
                <w:lang w:val="en-US" w:eastAsia="zh-CN" w:bidi="ar"/>
              </w:rPr>
              <w:t>GB</w:t>
            </w:r>
            <w:r>
              <w:rPr>
                <w:rStyle w:val="12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192.169.206.58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192.169.205.79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192.169.202.152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192.169.202.253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192.169.207.143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192.169.205.186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192.169.207.152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192.169.207.162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市文旅局-科技教育处-北京智慧文旅平台-统一门户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192.169.207.30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市文旅局-科技教育处-北京智慧文旅平台政府监管平台-企业信用管理系统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192.169.204.117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192.169.201.46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192.169.207.187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192.169.206.73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市文旅局-科技教育处-北京智慧文旅平台政府监管平台-调查问卷系统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192.169.207.179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192.169.207.232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192.169.202.76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192.169.203.254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192.169.202.197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192.169.207.50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192.169.206.40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192.169.202.132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192.169.201.28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192.169.202.123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192.169.207.157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市文旅局-科技教育处-北京智慧文旅平台-智能网关4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192.169.225.61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市文旅局-科技教育处-北京智慧文旅平台-智能网关5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192.169.225.33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市文旅局-科技教育处-北京智慧文旅平台-智能网关6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192.169.225.90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192.169.201.98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市文旅局-科技教育处-北京智慧文旅平台-大数据仓库4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192.169.207.87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192.169.206.199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192.169.203.135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市文旅局-科技教育处-北京智慧文旅平台-大数据管理平台4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192.169.200.22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市文旅局-科技教育处-北京智慧文旅平台-大数据管理平台5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市文旅局-科技教育处-北京智慧文旅平台-大数据管理平台6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192.169.207.61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市文旅局-科技教育处-北京智慧文旅平台政府监管平台-运维管理机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192.169.201.97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192.169.200.95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市文旅局-科技教育处-北京智慧文旅平台-智能BI3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192.169.207.146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市文旅局-科技教育处-北京智慧文旅平台文旅数据中心-运维管理机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192.169.207.49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192.169.225.115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市文旅局-科技教育处-北京智慧文旅平台政府监管平台-数据采集填报系统2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6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4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市文旅局-科技教育处-北京智慧文旅平台-密码服务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192.169.201.214</w:t>
            </w:r>
          </w:p>
        </w:tc>
        <w:tc>
          <w:tcPr>
            <w:tcW w:w="4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4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</w:tbl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5" w:name="_Toc10517"/>
      <w:r>
        <w:rPr>
          <w:rFonts w:hint="eastAsia"/>
          <w:lang w:val="en-US" w:eastAsia="zh-CN"/>
        </w:rPr>
        <w:t>计算服务</w:t>
      </w:r>
      <w:bookmarkEnd w:id="5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6" w:name="_Toc34654844"/>
      <w:bookmarkEnd w:id="6"/>
      <w:bookmarkStart w:id="7" w:name="_Toc27974732"/>
      <w:bookmarkEnd w:id="7"/>
      <w:bookmarkStart w:id="8" w:name="_Toc1343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  <w:t>CPU使用率详情</w:t>
      </w:r>
      <w:bookmarkEnd w:id="8"/>
    </w:p>
    <w:p>
      <w:pPr>
        <w:widowControl/>
        <w:spacing w:line="360" w:lineRule="auto"/>
        <w:ind w:firstLine="480" w:firstLineChars="20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下表为本月云主机cpu使用率详情，各主机CPU使用率符合经信局要求：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350"/>
        <w:gridCol w:w="2040"/>
        <w:gridCol w:w="1605"/>
        <w:gridCol w:w="621"/>
        <w:gridCol w:w="1162"/>
        <w:gridCol w:w="1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338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792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97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942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364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</w:t>
            </w:r>
          </w:p>
        </w:tc>
        <w:tc>
          <w:tcPr>
            <w:tcW w:w="682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CPU平均使用率（%）</w:t>
            </w:r>
          </w:p>
        </w:tc>
        <w:tc>
          <w:tcPr>
            <w:tcW w:w="682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10.75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10.73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192.169.206.58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11.07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79.86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3.82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192.169.205.79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13.83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192.169.202.152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15.88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192.169.202.253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12.90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44.12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192.169.207.143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11.36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192.169.205.186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10.78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192.169.207.152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11.07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192.169.207.162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10.82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10.88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市文旅局-科技教育处-北京智慧文旅平台-统一门户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192.169.207.30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25.53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市文旅局-科技教育处-北京智慧文旅平台政府监管平台-企业信用管理系统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192.169.204.117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15.12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63.53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192.169.201.46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11.30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33.66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192.169.207.187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11.89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192.169.206.73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11.93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45.37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市文旅局-科技教育处-北京智慧文旅平台政府监管平台-调查问卷系统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192.169.207.179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11.57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192.169.207.232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10.83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192.169.202.76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10.84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10.75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10.75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192.169.203.254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10.77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192.169.202.197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10.85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10.93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192.169.207.245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12.54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192.169.207.50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10.80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192.169.206.40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11.73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192.169.202.132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10.86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192.169.206.105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12.30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192.169.201.28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51.08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85.32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192.169.202.123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50.95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83.72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192.169.207.157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61.14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86.90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市文旅局-科技教育处-北京智慧文旅平台-智能网关4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192.169.225.61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10.99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市文旅局-科技教育处-北京智慧文旅平台-智能网关5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192.169.225.33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10.99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市文旅局-科技教育处-北京智慧文旅平台-智能网关6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192.169.225.90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11.07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192.169.201.98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12.65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16.02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12.92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市文旅局-科技教育处-北京智慧文旅平台-大数据仓库4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192.169.207.87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11.70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69.34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192.169.206.199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10.52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192.169.203.135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10.50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10.54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市文旅局-科技教育处-北京智慧文旅平台-大数据管理平台4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192.169.200.22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10.47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市文旅局-科技教育处-北京智慧文旅平台-大数据管理平台5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10.53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市文旅局-科技教育处-北京智慧文旅平台-大数据管理平台6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192.169.207.61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10.52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市文旅局-科技教育处-北京智慧文旅平台政府监管平台-运维管理机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192.169.201.97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11.93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8.34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192.169.200.95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16.52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市文旅局-科技教育处-北京智慧文旅平台-智能BI3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192.169.207.146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6.40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市文旅局-科技教育处-北京智慧文旅平台文旅数据中心-运维管理机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11.89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11.02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192.169.207.49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11.94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51.60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市文旅局-科技教育处-北京智慧文旅平台政府监管平台-数据采集填报系统1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192.169.225.115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11.37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市文旅局-科技教育处-北京智慧文旅平台政府监管平台-数据采集填报系统2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10.99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1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市文旅局-科技教育处-北京智慧文旅平台-密码服务</w:t>
            </w:r>
          </w:p>
        </w:tc>
        <w:tc>
          <w:tcPr>
            <w:tcW w:w="94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192.169.201.214</w:t>
            </w:r>
          </w:p>
        </w:tc>
        <w:tc>
          <w:tcPr>
            <w:tcW w:w="36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10.68 </w:t>
            </w:r>
          </w:p>
        </w:tc>
        <w:tc>
          <w:tcPr>
            <w:tcW w:w="6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9" w:name="_Toc2168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  <w:t>内存使用率详情</w:t>
      </w:r>
      <w:bookmarkEnd w:id="9"/>
    </w:p>
    <w:p>
      <w:pPr>
        <w:shd w:val="clear"/>
        <w:spacing w:line="360" w:lineRule="auto"/>
        <w:ind w:firstLine="420" w:firstLineChars="0"/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下表为本月云主机内存使用率详情，各主机内存使用率符合经信局要求：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350"/>
        <w:gridCol w:w="2070"/>
        <w:gridCol w:w="1575"/>
        <w:gridCol w:w="612"/>
        <w:gridCol w:w="1174"/>
        <w:gridCol w:w="1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32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792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15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924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35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</w:t>
            </w:r>
          </w:p>
        </w:tc>
        <w:tc>
          <w:tcPr>
            <w:tcW w:w="68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内存平均使用率（%）</w:t>
            </w:r>
          </w:p>
        </w:tc>
        <w:tc>
          <w:tcPr>
            <w:tcW w:w="68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25.27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22.70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192.169.206.58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14.45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192.169.205.79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10.08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192.169.202.152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25.65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192.169.202.253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17.21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192.169.207.143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24.02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192.169.205.186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192.169.207.152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19.38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192.169.207.162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21.76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20.80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市文旅局-科技教育处-北京智慧文旅平台-统一门户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192.169.207.30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市文旅局-科技教育处-北京智慧文旅平台政府监管平台-企业信用管理系统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192.169.204.117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16.30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192.169.201.46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60.69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62.41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192.169.207.187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192.169.206.73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21.37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市文旅局-科技教育处-北京智慧文旅平台政府监管平台-调查问卷系统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192.169.207.179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19.55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192.169.207.232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8.91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192.169.202.76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9.14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9.67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9.62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192.169.203.254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9.48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192.169.202.197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8.80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13.03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192.169.207.245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23.59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192.169.207.50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12.88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192.169.206.40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25.11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192.169.202.132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12.95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192.169.206.105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25.38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192.169.201.28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25.15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192.169.202.123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24.38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192.169.207.157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26.67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市文旅局-科技教育处-北京智慧文旅平台-智能网关4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192.169.225.61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18.24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市文旅局-科技教育处-北京智慧文旅平台-智能网关5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192.169.225.33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17.82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市文旅局-科技教育处-北京智慧文旅平台-智能网关6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192.169.225.90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17.92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192.169.201.98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4.97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45.03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63.22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3.20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市文旅局-科技教育处-北京智慧文旅平台-大数据仓库4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192.169.207.87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5.42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192.169.206.199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8.27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192.169.203.135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9.40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22.10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市文旅局-科技教育处-北京智慧文旅平台-大数据管理平台4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192.169.200.22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22.11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市文旅局-科技教育处-北京智慧文旅平台-大数据管理平台5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22.11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市文旅局-科技教育处-北京智慧文旅平台-大数据管理平台6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192.169.207.61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3.33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市文旅局-科技教育处-北京智慧文旅平台政府监管平台-运维管理机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192.169.201.97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39.93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19.41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192.169.200.95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14.44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市文旅局-科技教育处-北京智慧文旅平台-智能BI3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192.169.207.146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16.23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市文旅局-科技教育处-北京智慧文旅平台文旅数据中心-运维管理机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52.37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70.57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9.37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192.169.207.49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17.78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192.169.225.115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17.56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市文旅局-科技教育处-北京智慧文旅平台政府监管平台-数据采集填报系统2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16.41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7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2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市文旅局-科技教育处-北京智慧文旅平台-密码服务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192.169.201.214</w:t>
            </w:r>
          </w:p>
        </w:tc>
        <w:tc>
          <w:tcPr>
            <w:tcW w:w="35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71.87 </w:t>
            </w:r>
          </w:p>
        </w:tc>
        <w:tc>
          <w:tcPr>
            <w:tcW w:w="68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74.89 </w:t>
            </w:r>
          </w:p>
        </w:tc>
      </w:tr>
    </w:tbl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0" w:name="_Toc12408"/>
      <w:r>
        <w:rPr>
          <w:rFonts w:hint="eastAsia"/>
          <w:lang w:val="en-US" w:eastAsia="zh-CN"/>
        </w:rPr>
        <w:t>存储服务</w:t>
      </w:r>
      <w:bookmarkEnd w:id="10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11" w:name="_Toc18541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  <w:t>磁盘使用率详情</w:t>
      </w:r>
      <w:bookmarkEnd w:id="11"/>
      <w:bookmarkStart w:id="12" w:name="_Toc21919"/>
    </w:p>
    <w:p>
      <w:pPr>
        <w:shd w:val="clear"/>
        <w:spacing w:line="360" w:lineRule="auto"/>
        <w:ind w:firstLine="420" w:firstLineChars="0"/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下表为本月云主机高性能存储使用率详情，各主机高性能存储使用率符合经信局要求：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1335"/>
        <w:gridCol w:w="2265"/>
        <w:gridCol w:w="1860"/>
        <w:gridCol w:w="1023"/>
        <w:gridCol w:w="1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417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783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2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92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600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76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存储最大使用率（%）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63.44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38.67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192.169.206.58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53.80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40.16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192.169.205.79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53.62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192.169.202.152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58.73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192.169.202.253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55.72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192.169.207.143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73.53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192.169.205.186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46.41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192.169.207.152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192.169.207.162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76.26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48.64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市文旅局-科技教育处-北京智慧文旅平台-统一门户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192.169.207.30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71.19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市文旅局-科技教育处-北京智慧文旅平台政府监管平台-企业信用管理系统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192.169.204.117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61.50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192.169.201.46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50.03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192.169.207.187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36.56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192.169.206.73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47.24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市文旅局-科技教育处-北京智慧文旅平台政府监管平台-调查问卷系统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192.169.207.179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71.79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192.169.207.232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40.67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192.169.202.76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40.28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74.71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69.80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192.169.203.254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74.58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192.169.202.197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53.50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73.08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192.169.207.245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59.74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192.169.207.50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61.85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192.169.206.40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39.10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192.169.202.132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37.75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192.169.206.105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43.18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192.169.201.28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59.91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192.169.202.123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51.97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192.169.207.157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63.22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市文旅局-科技教育处-北京智慧文旅平台-智能网关4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192.169.225.61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74.36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市文旅局-科技教育处-北京智慧文旅平台-智能网关5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192.169.225.33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市文旅局-科技教育处-北京智慧文旅平台-智能网关6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192.169.225.90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72.66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192.169.201.98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73.61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73.47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56.71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市文旅局-科技教育处-北京智慧文旅平台-大数据仓库4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192.169.207.87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36.37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192.169.206.199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55.02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192.169.203.135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68.62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55.71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市文旅局-科技教育处-北京智慧文旅平台-大数据管理平台4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192.169.200.22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62.87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市文旅局-科技教育处-北京智慧文旅平台-大数据管理平台5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46.87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市文旅局-科技教育处-北京智慧文旅平台-大数据管理平台6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192.169.207.61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69.20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市文旅局-科技教育处-北京智慧文旅平台政府监管平台-运维管理机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192.169.201.97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72.15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75.58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192.169.200.95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市文旅局-科技教育处-北京智慧文旅平台-智能BI3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192.169.207.146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53.04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市文旅局-科技教育处-北京智慧文旅平台文旅数据中心-运维管理机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47.65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192.169.207.49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43.56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市文旅局-科技教育处-北京智慧文旅平台政府监管平台-数据采集填报系统1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192.169.225.115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59.59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市文旅局-科技教育处-北京智慧文旅平台政府监管平台-数据采集填报系统2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43.54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1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7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</w:t>
            </w:r>
          </w:p>
        </w:tc>
        <w:tc>
          <w:tcPr>
            <w:tcW w:w="132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市文旅局-科技教育处-北京智慧文旅平台-密码服务</w:t>
            </w:r>
          </w:p>
        </w:tc>
        <w:tc>
          <w:tcPr>
            <w:tcW w:w="109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192.169.201.214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7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66.95 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13" w:name="_Toc703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本地备份服务</w:t>
      </w:r>
      <w:bookmarkEnd w:id="13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：对云主机每月进行一次快照，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由金山云与用户共同分析业务主机备份需求，确定业务重要性与恢复优先级。通过备份策略实现对用户数据（文件、操作系统、数据库）的本地备份。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备份方式：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金山云提供云主机系统的备份，主要采用快照方式进行系统备份。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恢复方式：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对快照进行恢复，覆盖原有主机数据，使数据恢复到备份前的状态。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进行备份与恢复的文档记录，其内容包括备份时间、备份内容、备份操作人、备份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截止时间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</w:p>
    <w:p>
      <w:pPr>
        <w:keepNext w:val="0"/>
        <w:keepLines w:val="0"/>
        <w:widowControl w:val="0"/>
        <w:suppressLineNumbers w:val="0"/>
        <w:shd w:val="clear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下表为本月备份记录：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160"/>
        <w:gridCol w:w="1950"/>
        <w:gridCol w:w="1545"/>
        <w:gridCol w:w="1170"/>
        <w:gridCol w:w="9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42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268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14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浮动IP</w:t>
            </w:r>
          </w:p>
        </w:tc>
        <w:tc>
          <w:tcPr>
            <w:tcW w:w="90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68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56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市文旅局-科技教育处-北京智慧文旅平台文旅数据中心-领导驾驶舱2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192.169.206.58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192.169.205.79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192.169.202.152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市文旅局-科技教育处-北京智慧文旅平台文旅数据中心-数据中台采集引擎2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192.169.202.253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192.169.207.143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192.169.205.186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市文旅局-科技教育处-北京智慧文旅平台文旅数据中心-智能标签平台3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192.169.207.152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192.169.207.162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市文旅局-科技教育处-北京智慧文旅平台文旅数据中心-指标管理平台2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市文旅局-科技教育处-北京智慧文旅平台-统一门户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192.169.207.30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市文旅局-科技教育处-北京智慧文旅平台政府监管平台-企业信用管理系统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192.169.204.117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192.169.201.46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192.169.207.187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市文旅局-科技教育处-北京智慧文旅平台政府监管平台-服务质量应急预警系统3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192.169.206.73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市文旅局-科技教育处-北京智慧文旅平台政府监管平台-调查问卷系统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192.169.207.179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192.169.207.232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192.169.202.76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市文旅局-科技教育处-北京智慧文旅平台-智能网关准入网关3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192.169.203.254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市文旅局-科技教育处-北京智慧文旅平台-智能网关API网关3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192.169.202.197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192.169.207.245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192.169.207.50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192.169.206.40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192.169.202.132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市文旅局-科技教育处-北京智慧文旅平台政府监管平台-数据库3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192.169.206.105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192.169.201.28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192.169.202.123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市文旅局-科技教育处-北京智慧文旅平台-智能网关日志服务器3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192.169.207.157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市文旅局-科技教育处-北京智慧文旅平台-智能网关4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192.169.225.61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市文旅局-科技教育处-北京智慧文旅平台-智能网关5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192.169.225.33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市文旅局-科技教育处-北京智慧文旅平台-智能网关6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192.169.225.90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192.169.201.98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市文旅局-科技教育处-北京智慧文旅平台-大数据仓库4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192.169.207.87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192.169.206.199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192.169.203.135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市文旅局-科技教育处-北京智慧文旅平台-大数据管理平台4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192.169.200.22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市文旅局-科技教育处-北京智慧文旅平台-大数据管理平台5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市文旅局-科技教育处-北京智慧文旅平台-大数据管理平台6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192.169.207.61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市文旅局-科技教育处-北京智慧文旅平台政府监管平台-运维管理机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192.169.201.97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192.169.200.95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市文旅局-科技教育处-北京智慧文旅平台-智能BI3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192.169.207.146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市文旅局-科技教育处-北京智慧文旅平台文旅数据中心-运维管理机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市文旅局-科技教育处-北京智慧文旅平台政府监管平台-艺术资源管理系统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192.169.207.49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市文旅局-科技教育处-北京智慧文旅平台政府监管平台-数据采集填报系统1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192.169.225.115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市文旅局-科技教育处-北京智慧文旅平台政府监管平台-数据采集填报系统2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市文旅局-科技教育处-北京智慧文旅平台-密码服务</w:t>
            </w:r>
          </w:p>
        </w:tc>
        <w:tc>
          <w:tcPr>
            <w:tcW w:w="114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192.169.201.214</w:t>
            </w:r>
          </w:p>
        </w:tc>
        <w:tc>
          <w:tcPr>
            <w:tcW w:w="9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8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快照备份</w:t>
            </w:r>
          </w:p>
        </w:tc>
        <w:tc>
          <w:tcPr>
            <w:tcW w:w="5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3"/>
                <w:sz w:val="20"/>
                <w:szCs w:val="20"/>
                <w:lang w:val="en-US" w:eastAsia="zh-CN" w:bidi="ar"/>
              </w:rPr>
              <w:t>王春光</w:t>
            </w:r>
          </w:p>
        </w:tc>
      </w:tr>
    </w:tbl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4" w:name="_Toc3427"/>
      <w:r>
        <w:rPr>
          <w:rFonts w:hint="eastAsia"/>
          <w:lang w:val="en-US" w:eastAsia="zh-CN"/>
        </w:rPr>
        <w:t>网络服务</w:t>
      </w:r>
      <w:bookmarkEnd w:id="14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15" w:name="_Toc1641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远程接入服务</w:t>
      </w:r>
      <w:bookmarkEnd w:id="15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bookmarkStart w:id="16" w:name="_Hlk490832354"/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每个账号结合身份验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，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通过VPN远程接入堡垒机进行维护，共提供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5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个远程接入账号。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在北京市政务云平台的VPN设备中创建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5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个进行远程访问账号。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根据合同要求，已提供完成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5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个远程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接入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账号提供。下表为已提供远程接入账号列表，图为北京市政务云平台的 VPN设备为本项目提供账号截图。</w:t>
      </w:r>
    </w:p>
    <w:bookmarkEnd w:id="16"/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3061"/>
        <w:gridCol w:w="4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79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9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远程接入账号</w:t>
            </w:r>
          </w:p>
        </w:tc>
        <w:tc>
          <w:tcPr>
            <w:tcW w:w="240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7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zhwl-dsjzx03</w:t>
            </w:r>
          </w:p>
        </w:tc>
        <w:tc>
          <w:tcPr>
            <w:tcW w:w="240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7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zhwl-tc05</w:t>
            </w:r>
          </w:p>
        </w:tc>
        <w:tc>
          <w:tcPr>
            <w:tcW w:w="240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7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zhwl-chenxia</w:t>
            </w:r>
          </w:p>
        </w:tc>
        <w:tc>
          <w:tcPr>
            <w:tcW w:w="240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7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zhwl-dsjzx01</w:t>
            </w:r>
          </w:p>
        </w:tc>
        <w:tc>
          <w:tcPr>
            <w:tcW w:w="240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79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zhwl-xiazhidong</w:t>
            </w:r>
          </w:p>
        </w:tc>
        <w:tc>
          <w:tcPr>
            <w:tcW w:w="240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</w:tbl>
    <w:p>
      <w:pPr>
        <w:bidi w:val="0"/>
        <w:rPr>
          <w:rFonts w:hint="eastAsia"/>
        </w:rPr>
      </w:pPr>
      <w:r>
        <w:drawing>
          <wp:inline distT="0" distB="0" distL="114300" distR="114300">
            <wp:extent cx="5269865" cy="1550670"/>
            <wp:effectExtent l="0" t="0" r="6985" b="1143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/>
        </w:rPr>
      </w:pPr>
      <w:bookmarkStart w:id="17" w:name="_Toc29102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VPN服务</w:t>
      </w:r>
      <w:bookmarkEnd w:id="17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提供5套SSL VPN接入服务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在北京市政务云平台的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 xml:space="preserve">SSL 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VPN设备中创建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5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接入账号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根据合同要求，已提供完成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5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SSL VPN账号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。下表为已提供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SSL VPN账号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列表，图为北京市政务云平台的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SSL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 xml:space="preserve"> VPN设备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账号截图：</w:t>
      </w:r>
    </w:p>
    <w:tbl>
      <w:tblPr>
        <w:tblStyle w:val="10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1867"/>
        <w:gridCol w:w="2567"/>
        <w:gridCol w:w="33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53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213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远程接入账号</w:t>
            </w:r>
          </w:p>
        </w:tc>
        <w:tc>
          <w:tcPr>
            <w:tcW w:w="162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用户姓名</w:t>
            </w:r>
          </w:p>
        </w:tc>
        <w:tc>
          <w:tcPr>
            <w:tcW w:w="162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21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zhwl-dsjzx04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徐永明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21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zhwl-zfjg01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刘于飞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21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zhwl-tc02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马林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21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zhwl-tc01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辛鹏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21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zhwl-tc03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宁纪奎</w:t>
            </w:r>
          </w:p>
        </w:tc>
        <w:tc>
          <w:tcPr>
            <w:tcW w:w="162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-北京智慧文旅平台</w:t>
            </w:r>
          </w:p>
        </w:tc>
      </w:tr>
    </w:tbl>
    <w:p>
      <w:pPr>
        <w:rPr>
          <w:rFonts w:hint="eastAsia"/>
          <w:lang w:val="en-US"/>
        </w:rPr>
      </w:pPr>
      <w:r>
        <w:drawing>
          <wp:inline distT="0" distB="0" distL="114300" distR="114300">
            <wp:extent cx="5265420" cy="1463040"/>
            <wp:effectExtent l="0" t="0" r="11430" b="381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/>
        </w:rPr>
      </w:pPr>
      <w:bookmarkStart w:id="18" w:name="_Toc31399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WAF防护服务</w:t>
      </w:r>
      <w:bookmarkEnd w:id="18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合同要求: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在网站前端架设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1个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WAF防护服务，保证用户网站对已知安全隐患进行防护，实时升级漏洞补丁，配置防护策略，可起到前端防护作用。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Style w:val="14"/>
          <w:rFonts w:hint="eastAsia" w:ascii="宋体" w:hAnsi="宋体" w:eastAsia="宋体" w:cs="宋体"/>
          <w:b/>
          <w:bCs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通过在网站前端部署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1个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WAF防护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ip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服务，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预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启动WAF防护模式，实现用户网站对已知安全隐患进行防护，下图为本项目WAF服务部署上线截图：</w:t>
      </w:r>
    </w:p>
    <w:p>
      <w:pPr>
        <w:pStyle w:val="15"/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7325" cy="323215"/>
            <wp:effectExtent l="0" t="0" r="9525" b="63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rPr>
          <w:rFonts w:hint="eastAsia" w:ascii="宋体" w:hAnsi="宋体" w:eastAsia="宋体" w:cs="宋体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eastAsia="zh-CN"/>
        </w:rPr>
      </w:pPr>
      <w:bookmarkStart w:id="19" w:name="_Toc13298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云平台巡检记录</w:t>
      </w:r>
      <w:bookmarkEnd w:id="19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主机中部署探针深度监测主机运行情况。提供7x24小时运维值守、30分钟内应急响应，不仅限于机房巡检、云平台和硬件监控，同时提供应急问题排查协助、协助处理应用故障等服务。通过每日白天及晚上对云主机性能进行1次监控，判断云主机是否正常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不仅限于机房巡检、云平台和硬件监控。</w:t>
      </w:r>
    </w:p>
    <w:p>
      <w:pPr>
        <w:pStyle w:val="16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主机监控及重要业务升级时限：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30分钟</w:t>
      </w:r>
    </w:p>
    <w:p>
      <w:pPr>
        <w:pStyle w:val="16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通告范围：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运维群，电话通知</w:t>
      </w:r>
    </w:p>
    <w:p>
      <w:pPr>
        <w:pStyle w:val="16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首次通告：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需在故障确认后10分钟内，通告故障基本影响、故障初步分析、故障处理安排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故障处理进展同步：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首次通告后，每20分钟在通告范围指定的群内同步故障处理进展，无进展也要同步，直至故障处理完成。</w:t>
      </w:r>
    </w:p>
    <w:p>
      <w:pPr>
        <w:pStyle w:val="16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本月监控数据如下：</w:t>
      </w:r>
    </w:p>
    <w:tbl>
      <w:tblPr>
        <w:tblStyle w:val="10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4"/>
        <w:gridCol w:w="4547"/>
        <w:gridCol w:w="17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日期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巡检内容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20" w:name="OLE_LINK2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bookmarkEnd w:id="12"/>
      <w:bookmarkEnd w:id="2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21" w:name="_Toc11907"/>
            <w:bookmarkStart w:id="22" w:name="_Toc4871"/>
            <w:bookmarkStart w:id="23" w:name="_Toc14605"/>
            <w:bookmarkStart w:id="24" w:name="_Toc14609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25" w:name="OLE_LINK3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云平台、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机房环境巡检：机柜用电情况，温湿度情况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bookmarkEnd w:id="25"/>
    </w:tbl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安全服务报告</w:t>
      </w:r>
      <w:bookmarkEnd w:id="21"/>
      <w:bookmarkEnd w:id="22"/>
    </w:p>
    <w:bookmarkEnd w:id="23"/>
    <w:bookmarkEnd w:id="24"/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26" w:name="_Toc17388"/>
      <w:bookmarkStart w:id="27" w:name="_Toc28759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商用操作系统套餐</w:t>
      </w:r>
      <w:bookmarkEnd w:id="26"/>
      <w:bookmarkEnd w:id="27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国产Linux套餐：国产Linux操作系统服务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租用、安装及维护。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国产Linux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操作系统镜像，为云主机部署。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下图为192.169.206.105（统信UOS-V20-1060a-X86_64、麒麟v10 ）、192.169.202.222（麒麟v10 Kylin-V10-SP2-x86_64）云主机Linux国产操作系统部署截图，操作系统类型及版本如下图红框处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，其他云主机操作系统配置与之相同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：</w:t>
      </w:r>
    </w:p>
    <w:p>
      <w:pPr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9865" cy="1208405"/>
            <wp:effectExtent l="0" t="0" r="6985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232535"/>
            <wp:effectExtent l="0" t="0" r="12700" b="571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28" w:name="_Toc30447"/>
      <w:bookmarkStart w:id="29" w:name="_Toc29468"/>
      <w:bookmarkStart w:id="30" w:name="_Toc13092"/>
      <w:bookmarkStart w:id="31" w:name="_Toc20717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主机防护服务</w:t>
      </w:r>
      <w:bookmarkEnd w:id="28"/>
      <w:bookmarkEnd w:id="29"/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eastAsia="宋体" w:cs="宋体"/>
          <w:sz w:val="24"/>
          <w:szCs w:val="24"/>
          <w:shd w:val="clear"/>
        </w:rPr>
      </w:pPr>
      <w:r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Style w:val="14"/>
          <w:rFonts w:hint="eastAsia" w:ascii="宋体" w:hAnsi="宋体" w:eastAsia="宋体" w:cs="宋体"/>
          <w:sz w:val="24"/>
          <w:szCs w:val="24"/>
        </w:rPr>
        <w:t>提供符合等保三级要求的主机权限管理及安全防护</w:t>
      </w:r>
      <w:r>
        <w:rPr>
          <w:rStyle w:val="14"/>
          <w:rFonts w:hint="eastAsia" w:ascii="宋体" w:hAnsi="宋体" w:eastAsia="宋体" w:cs="宋体"/>
          <w:sz w:val="24"/>
          <w:szCs w:val="24"/>
          <w:shd w:val="clear"/>
        </w:rPr>
        <w:t>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防护说明：</w:t>
      </w:r>
      <w:r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对服务器系统安全涉及的控制点（如身份鉴别、敏感标记、强制访问控制、安全审计、剩余信息保护、入侵防范、恶意代码防和资源控制等）形成立体防护，解决操作系统层面面临的恶意代码执行、越权访问、数据泄露、破坏数据机密性、完整性等各种攻击行为，以保障数据及业务系统的保密性、完整性、可用性、可靠性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通过在服务器端安装软件，产生实际数据，通过公安部门认证符合等保三级要求，满足合同要求提供符合等保三级要求的主机权限管理及安全防护，等保三级证明见</w:t>
      </w:r>
      <w:r>
        <w:rPr>
          <w:rStyle w:val="14"/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附件1：等保测评报告关键页</w:t>
      </w:r>
      <w:r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14"/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下表为本项目主机防护部署列表，详见主机防护服务报告：</w:t>
      </w:r>
    </w:p>
    <w:tbl>
      <w:tblPr>
        <w:tblStyle w:val="10"/>
        <w:tblW w:w="5865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5516"/>
        <w:gridCol w:w="17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956" w:type="dxa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40" w:type="dxa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主机名称</w:t>
            </w:r>
          </w:p>
        </w:tc>
        <w:tc>
          <w:tcPr>
            <w:tcW w:w="1680" w:type="dxa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北京智慧文旅平台-API网关-1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北京智慧文旅平台-API网关-2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北京智慧文旅平台-API网关-3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北京智慧文旅平台-bi-新-1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北京智慧文旅平台-bi-新-2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北京智慧文旅平台-bi-新-3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北京智慧文旅平台-TCHouse-1-新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北京智慧文旅平台-TCHouse-2-新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北京智慧文旅平台-TCHouse-3-新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北京智慧文旅平台-服务质量监测系统-应急预警监测系统-1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北京智慧文旅平台-服务质量监测系统-应急预警监测系统-2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北京智慧文旅平台-服务质量监测系统-应急预警监测系统-3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北京智慧文旅平台-接入网关-1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北京智慧文旅平台-接入网关-2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北京智慧文旅平台-接入网关-3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北京智慧文旅平台-领导驾驶舱-1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北京智慧文旅平台-领导驾驶舱-2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北京智慧文旅平台-日志服务-1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北京智慧文旅平台-日志服务-2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北京智慧文旅平台-日志服务-3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北京智慧文旅平台-数据采集管理系统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北京智慧文旅平台-数据库-1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北京智慧文旅平台-数据库-2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北京智慧文旅平台-数据库-3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北京智慧文旅平台--台账-非遗-资源-综合填报应用服务器-1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北京智慧文旅平台--台账-非遗-资源-综合填报应用服务器-2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北京智慧文旅平台-政府监管平台数据库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北京智慧文旅平台-政府监管平台应用运维机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北京智慧文旅平台-指标管理平台-1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北京智慧文旅平台-指标管理平台-2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北京智慧文旅平台-智能标签平台-1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北京智慧文旅平台-智能标签平台-2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北京智慧文旅平台-智能标签平台-3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北京智慧文旅平台-准入网关-1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北京智慧文旅平台-准入网关-2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北京智慧文旅平台-准入网关-3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文旅局-智慧文旅平台-数据库服务器-1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文旅局-智慧文旅平台-数据库服务器-2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文旅局-智慧文旅平台-数据库服务器-3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智慧文旅数据可视化平台POC服务器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智慧文旅-艺术资源管理-云主机-1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智慧文旅-艺术资源管理-云主机-1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32" w:name="_Toc7426"/>
      <w:bookmarkStart w:id="33" w:name="_Toc20541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主机日志分析服务</w:t>
      </w:r>
      <w:bookmarkEnd w:id="32"/>
      <w:bookmarkEnd w:id="33"/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针对操作系统进行日志收集，并且进行分析，并将结果反馈给用户，用于了解主机安全情况及资源使用情况。</w:t>
      </w:r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通过在服务器端部署安装日志审计软件，实现对操作系统日志的收集分析。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cs="Times New Roman"/>
          <w:sz w:val="24"/>
          <w:szCs w:val="22"/>
          <w:lang w:val="en-US" w:eastAsia="zh-CN" w:bidi="ar-SA"/>
        </w:rPr>
        <w:t>下表为本项目部署主机日志分析列表，详见主机日志分析服务报告：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5736"/>
        <w:gridCol w:w="17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583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368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主机名称</w:t>
            </w:r>
          </w:p>
        </w:tc>
        <w:tc>
          <w:tcPr>
            <w:tcW w:w="1047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北京智慧文旅平台-API网关-1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北京智慧文旅平台-API网关-2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北京智慧文旅平台-API网关-3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北京智慧文旅平台-bi-新-1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北京智慧文旅平台-bi-新-2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北京智慧文旅平台-bi-新-3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北京智慧文旅平台-TCHouse-1-新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北京智慧文旅平台-TCHouse-2-新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北京智慧文旅平台-TCHouse-3-新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北京智慧文旅平台-服务质量监测系统-应急预警监测系统-1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北京智慧文旅平台-服务质量监测系统-应急预警监测系统-2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北京智慧文旅平台-服务质量监测系统-应急预警监测系统-3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北京智慧文旅平台-接入网关-2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北京智慧文旅平台-接入网关-3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北京智慧文旅平台-领导驾驶舱-1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北京智慧文旅平台-领导驾驶舱-2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北京智慧文旅平台-企业信用监管系统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北京智慧文旅平台-日志服务-1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北京智慧文旅平台-日志服务-2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北京智慧文旅平台-日志服务-3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北京智慧文旅平台-数据采集管理系统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北京智慧文旅平台-数据库-1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北京智慧文旅平台-数据库-2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北京智慧文旅平台-数据库-3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北京智慧文旅平台-数据中台-4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北京智慧文旅平台-数据中台-5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北京智慧文旅平台-数据中台-6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北京智慧文旅平台-数据中台-7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北京智慧文旅平台--台账-非遗-资源-综合填报应用服务器-1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北京智慧文旅平台--台账-非遗-资源-综合填报应用服务器-2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北京智慧文旅平台-政府监管平台应用运维机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北京智慧文旅平台-指标管理平台-1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北京智慧文旅平台-指标管理平台-2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北京智慧文旅平台-智能标签平台-1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北京智慧文旅平台-智能标签平台-2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北京智慧文旅平台-智能标签平台-3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北京智慧文旅平台-准入网关-1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北京智慧文旅平台-准入网关-2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北京智慧文旅平台-准入网关-3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文旅局-智慧文旅平台-数据库服务器-1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文旅局-智慧文旅平台-数据库服务器-2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文旅局-智慧文旅平台-数据库服务器-3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智慧文旅-艺术资源管理-云主机-1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智慧文旅-艺术资源管理-云主机-2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智慧文旅-银联数据对接-云主机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北京智慧文旅平台-TCHouse-4-新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36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北京智慧文旅平台-接入网关-1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192.169.225.61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34" w:name="_Toc8563"/>
      <w:bookmarkStart w:id="35" w:name="_Toc3197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数据库审计服务</w:t>
      </w:r>
      <w:bookmarkEnd w:id="34"/>
      <w:bookmarkEnd w:id="35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  <w:t>实现数据库操作审计，记录每次数据库操作并整理报告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在客户数据库服务器上安装数据库审计软件，一套为1个数据库实例。通过审计数据库服务器操作动作形成数据库审计日志记录。以便出现问题及时定位操作更改数据库信息。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  <w:t>下表为部署数据库审计服务列表，详见数据库审计服务报告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p>
      <w:pPr>
        <w:pStyle w:val="2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5165"/>
        <w:gridCol w:w="23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582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33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主机名称</w:t>
            </w:r>
          </w:p>
        </w:tc>
        <w:tc>
          <w:tcPr>
            <w:tcW w:w="1384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北京智慧文旅平台-政府监管平台数据库</w:t>
            </w:r>
          </w:p>
        </w:tc>
        <w:tc>
          <w:tcPr>
            <w:tcW w:w="13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0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文旅局-智慧文旅平台-数据库服务器-1</w:t>
            </w:r>
          </w:p>
        </w:tc>
        <w:tc>
          <w:tcPr>
            <w:tcW w:w="13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文旅局-智慧文旅平台-数据库服务器-2</w:t>
            </w:r>
          </w:p>
        </w:tc>
        <w:tc>
          <w:tcPr>
            <w:tcW w:w="13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文旅局-智慧文旅平台-数据库服务器-3</w:t>
            </w:r>
          </w:p>
        </w:tc>
        <w:tc>
          <w:tcPr>
            <w:tcW w:w="13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0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北京智慧文旅平台-数据库-1</w:t>
            </w:r>
          </w:p>
        </w:tc>
        <w:tc>
          <w:tcPr>
            <w:tcW w:w="13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0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北京智慧文旅平台-数据库-2</w:t>
            </w:r>
          </w:p>
        </w:tc>
        <w:tc>
          <w:tcPr>
            <w:tcW w:w="13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0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北京智慧文旅平台-数据库-3</w:t>
            </w:r>
          </w:p>
        </w:tc>
        <w:tc>
          <w:tcPr>
            <w:tcW w:w="13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智慧文旅-艺术资源管理-数据库服务器-1</w:t>
            </w:r>
          </w:p>
        </w:tc>
        <w:tc>
          <w:tcPr>
            <w:tcW w:w="13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8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0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智慧文旅-艺术资源管理-数据库服务器-2</w:t>
            </w:r>
          </w:p>
        </w:tc>
        <w:tc>
          <w:tcPr>
            <w:tcW w:w="138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192.169.202.146</w:t>
            </w:r>
          </w:p>
        </w:tc>
      </w:tr>
      <w:bookmarkEnd w:id="30"/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36" w:name="_Toc10199"/>
      <w:bookmarkStart w:id="37" w:name="_Toc3061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密码应用服务</w:t>
      </w:r>
      <w:bookmarkEnd w:id="36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  <w:t>包括统一身份认证服务、SSL 应用网关、密钥管理服务、密码态势分析服务、签名验证服务、加解密服务等</w:t>
      </w:r>
      <w:r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  <w:t>敏感数据自动识别，自定义敏感数据特征和脱敏算法。支持关联应用帐号权限。用于运维脱敏、应用脱敏、API接口脱敏等业务场景</w:t>
      </w:r>
      <w:r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  <w:t>创建和管理密钥，满足多应用多业务的密钥管理需求，符合监管和合规要求</w:t>
      </w:r>
      <w:r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  <w:t>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  <w:t>通过提供云密码机方式实现统一身份认证服务、SSL 应用网关、密钥管理服务、密码态势分析服务、签名验证服务、加解密服务等</w:t>
      </w:r>
      <w:r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  <w:t>，密码服务符合监管和合规要求(监附件2：密码测评报告关键页)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  <w:t>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配置截图</w:t>
      </w:r>
      <w:r>
        <w:rPr>
          <w:rFonts w:hint="eastAsia" w:ascii="宋体" w:hAnsi="宋体" w:cs="宋体"/>
          <w:b/>
          <w:kern w:val="0"/>
          <w:sz w:val="24"/>
          <w:szCs w:val="20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  <w:t>统一身份认证服务、SSL 应用网关、密钥管理服务、密码态势分析服务、签名验证服务、加解密服务</w:t>
      </w:r>
      <w:r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  <w:t>等配置如下图：</w:t>
      </w:r>
    </w:p>
    <w:p>
      <w:pPr>
        <w:pStyle w:val="2"/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</w:pPr>
    </w:p>
    <w:p>
      <w:pPr>
        <w:pStyle w:val="2"/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  <w:sectPr>
          <w:headerReference r:id="rId8" w:type="default"/>
          <w:footerReference r:id="rId9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2"/>
        <w:rPr>
          <w:rFonts w:hint="default"/>
          <w:lang w:val="en-US" w:eastAsia="zh-CN"/>
        </w:rPr>
      </w:pPr>
      <w:r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  <w:t>密码机设备自检：</w:t>
      </w:r>
    </w:p>
    <w:p>
      <w:pPr>
        <w:pStyle w:val="2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1990725"/>
            <wp:effectExtent l="0" t="0" r="9525" b="9525"/>
            <wp:docPr id="23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1476375"/>
            <wp:effectExtent l="0" t="0" r="9525" b="9525"/>
            <wp:docPr id="24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SDK初始化测试：正常</w:t>
      </w:r>
    </w:p>
    <w:p>
      <w:pPr>
        <w:pStyle w:val="2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2190750"/>
            <wp:effectExtent l="0" t="0" r="9525" b="0"/>
            <wp:docPr id="25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加密调用测试：正常</w:t>
      </w:r>
    </w:p>
    <w:p>
      <w:pPr>
        <w:pStyle w:val="2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2038350"/>
            <wp:effectExtent l="0" t="0" r="9525" b="0"/>
            <wp:docPr id="26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2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2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解密调用测试：正常</w:t>
      </w:r>
    </w:p>
    <w:p>
      <w:pPr>
        <w:pStyle w:val="2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1981200"/>
            <wp:effectExtent l="0" t="0" r="0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Hmac获取测试：正常</w:t>
      </w:r>
    </w:p>
    <w:p>
      <w:pPr>
        <w:pStyle w:val="2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962025"/>
            <wp:effectExtent l="0" t="0" r="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秘钥管理：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pacing w:val="4"/>
          <w:sz w:val="23"/>
          <w:szCs w:val="23"/>
          <w:lang w:val="en-US" w:eastAsia="zh-CN"/>
        </w:rPr>
        <w:drawing>
          <wp:inline distT="0" distB="0" distL="114300" distR="114300">
            <wp:extent cx="5320665" cy="2485390"/>
            <wp:effectExtent l="0" t="0" r="13335" b="10160"/>
            <wp:docPr id="13" name="图片 13" descr="img_v2_0c20ca2c-f124-42b7-ad36-a4a456beab3g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v2_0c20ca2c-f124-42b7-ad36-a4a456beab3g 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7"/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38" w:name="_Toc17498"/>
      <w:bookmarkStart w:id="39" w:name="_Toc21448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主机漏洞扫描服务</w:t>
      </w:r>
      <w:bookmarkEnd w:id="38"/>
      <w:bookmarkEnd w:id="39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为用户提供针对主机层面的安全扫描服务，并反馈相关结果。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：通过安全扫描软件对云主机进行安全漏洞扫描。</w:t>
      </w:r>
    </w:p>
    <w:p>
      <w:pPr>
        <w:pStyle w:val="16"/>
        <w:ind w:firstLine="480" w:firstLineChars="200"/>
        <w:rPr>
          <w:rFonts w:hint="eastAsia"/>
          <w:lang w:val="en-US" w:eastAsia="zh-CN"/>
        </w:rPr>
      </w:pPr>
      <w:r>
        <w:rPr>
          <w:rFonts w:hint="eastAsia"/>
        </w:rPr>
        <w:t>本月</w:t>
      </w:r>
      <w:r>
        <w:rPr>
          <w:rFonts w:hint="eastAsia"/>
          <w:lang w:val="en-US" w:eastAsia="zh-CN"/>
        </w:rPr>
        <w:t>进行了</w:t>
      </w:r>
      <w:r>
        <w:rPr>
          <w:rFonts w:hint="eastAsia"/>
        </w:rPr>
        <w:t>主机漏洞扫描。</w:t>
      </w:r>
    </w:p>
    <w:p>
      <w:pPr>
        <w:pStyle w:val="16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Cs w:val="24"/>
          <w:lang w:val="en-US" w:eastAsia="zh-CN"/>
        </w:rPr>
        <w:t>我公司</w:t>
      </w:r>
      <w:r>
        <w:rPr>
          <w:rFonts w:hint="eastAsia" w:ascii="宋体" w:hAnsi="宋体" w:eastAsia="宋体" w:cs="宋体"/>
          <w:szCs w:val="24"/>
        </w:rPr>
        <w:t>对主机进行了漏洞扫描，扫描结果为高危漏洞</w:t>
      </w:r>
      <w:r>
        <w:rPr>
          <w:rFonts w:hint="eastAsia" w:ascii="宋体" w:hAnsi="宋体" w:eastAsia="宋体" w:cs="宋体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Cs w:val="24"/>
        </w:rPr>
        <w:t>个，中危漏</w:t>
      </w:r>
      <w:r>
        <w:rPr>
          <w:rFonts w:hint="eastAsia" w:ascii="宋体" w:hAnsi="宋体" w:eastAsia="宋体" w:cs="宋体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Cs w:val="24"/>
        </w:rPr>
        <w:t>个，低危漏洞</w:t>
      </w:r>
      <w:r>
        <w:rPr>
          <w:rFonts w:hint="eastAsia" w:cs="宋体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Cs w:val="24"/>
        </w:rPr>
        <w:t>个，共计</w:t>
      </w:r>
      <w:r>
        <w:rPr>
          <w:rFonts w:hint="eastAsia" w:cs="宋体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Cs w:val="24"/>
        </w:rPr>
        <w:t>个。</w:t>
      </w:r>
    </w:p>
    <w:bookmarkEnd w:id="31"/>
    <w:p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  <w:szCs w:val="24"/>
          <w:lang w:val="en-US" w:eastAsia="zh-CN"/>
        </w:rPr>
      </w:pPr>
      <w:bookmarkStart w:id="40" w:name="_Toc24378"/>
      <w:bookmarkStart w:id="41" w:name="_Toc22934"/>
      <w:r>
        <w:rPr>
          <w:rFonts w:hint="eastAsia" w:ascii="宋体" w:hAnsi="宋体" w:eastAsia="宋体" w:cs="宋体"/>
          <w:szCs w:val="24"/>
          <w:lang w:val="en-US" w:eastAsia="zh-CN"/>
        </w:rPr>
        <w:t>附件1</w:t>
      </w:r>
      <w:r>
        <w:rPr>
          <w:rFonts w:hint="eastAsia" w:cs="宋体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Cs w:val="24"/>
          <w:lang w:val="en-US" w:eastAsia="zh-CN"/>
        </w:rPr>
        <w:t>等</w:t>
      </w:r>
      <w:r>
        <w:rPr>
          <w:rFonts w:hint="eastAsia" w:cs="宋体"/>
          <w:szCs w:val="24"/>
          <w:lang w:val="en-US" w:eastAsia="zh-CN"/>
        </w:rPr>
        <w:t>保</w:t>
      </w:r>
      <w:r>
        <w:rPr>
          <w:rFonts w:hint="eastAsia" w:ascii="宋体" w:hAnsi="宋体" w:eastAsia="宋体" w:cs="宋体"/>
          <w:szCs w:val="24"/>
          <w:lang w:val="en-US" w:eastAsia="zh-CN"/>
        </w:rPr>
        <w:t>测评</w:t>
      </w:r>
      <w:r>
        <w:rPr>
          <w:rFonts w:hint="eastAsia" w:cs="宋体"/>
          <w:szCs w:val="24"/>
          <w:lang w:val="en-US" w:eastAsia="zh-CN"/>
        </w:rPr>
        <w:t>报告</w:t>
      </w:r>
      <w:r>
        <w:rPr>
          <w:rFonts w:hint="eastAsia" w:ascii="宋体" w:hAnsi="宋体" w:eastAsia="宋体" w:cs="宋体"/>
          <w:szCs w:val="24"/>
          <w:lang w:val="en-US" w:eastAsia="zh-CN"/>
        </w:rPr>
        <w:t>关键页</w:t>
      </w:r>
      <w:bookmarkEnd w:id="40"/>
      <w:bookmarkEnd w:id="4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72405" cy="6732905"/>
            <wp:effectExtent l="0" t="0" r="4445" b="1079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0" w:firstLineChars="200"/>
        <w:jc w:val="both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4324350" cy="8229600"/>
            <wp:effectExtent l="0" t="0" r="0" b="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  <w:szCs w:val="24"/>
          <w:lang w:val="en-US" w:eastAsia="zh-CN"/>
        </w:rPr>
        <w:sectPr>
          <w:footerReference r:id="rId10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  <w:szCs w:val="24"/>
          <w:lang w:val="en-US" w:eastAsia="zh-CN"/>
        </w:rPr>
      </w:pPr>
      <w:bookmarkStart w:id="42" w:name="_Toc11771"/>
      <w:bookmarkStart w:id="43" w:name="_Toc32556"/>
      <w:bookmarkStart w:id="44" w:name="_Toc20555"/>
      <w:bookmarkStart w:id="45" w:name="_Toc9229"/>
      <w:r>
        <w:rPr>
          <w:rFonts w:hint="eastAsia" w:ascii="宋体" w:hAnsi="宋体" w:eastAsia="宋体" w:cs="宋体"/>
          <w:szCs w:val="24"/>
          <w:lang w:val="en-US" w:eastAsia="zh-CN"/>
        </w:rPr>
        <w:t>附件2</w:t>
      </w:r>
      <w:r>
        <w:rPr>
          <w:rFonts w:hint="eastAsia" w:cs="宋体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Cs w:val="24"/>
          <w:lang w:val="en-US" w:eastAsia="zh-CN"/>
        </w:rPr>
        <w:t>密码测评</w:t>
      </w:r>
      <w:r>
        <w:rPr>
          <w:rFonts w:hint="eastAsia" w:cs="宋体"/>
          <w:szCs w:val="24"/>
          <w:lang w:val="en-US" w:eastAsia="zh-CN"/>
        </w:rPr>
        <w:t>报告</w:t>
      </w:r>
      <w:r>
        <w:rPr>
          <w:rFonts w:hint="eastAsia" w:ascii="宋体" w:hAnsi="宋体" w:eastAsia="宋体" w:cs="宋体"/>
          <w:szCs w:val="24"/>
          <w:lang w:val="en-US" w:eastAsia="zh-CN"/>
        </w:rPr>
        <w:t>关键页</w:t>
      </w:r>
      <w:bookmarkEnd w:id="42"/>
      <w:bookmarkEnd w:id="43"/>
      <w:bookmarkEnd w:id="44"/>
      <w:bookmarkEnd w:id="45"/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914900" cy="6210300"/>
            <wp:effectExtent l="0" t="0" r="0" b="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70170" cy="7115175"/>
            <wp:effectExtent l="0" t="0" r="11430" b="952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rPr>
          <w:rFonts w:hint="eastAsia"/>
        </w:rPr>
        <w:drawing>
          <wp:inline distT="0" distB="0" distL="114300" distR="114300">
            <wp:extent cx="4010025" cy="4638675"/>
            <wp:effectExtent l="0" t="0" r="9525" b="9525"/>
            <wp:docPr id="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5875" cy="5714365"/>
            <wp:effectExtent l="0" t="0" r="9525" b="635"/>
            <wp:docPr id="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7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48250" cy="2724150"/>
            <wp:effectExtent l="0" t="0" r="0" b="0"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3" w:bottom="1440" w:left="1803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tabs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1" name="文本框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UJagQ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FCWo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L3o+8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kwpMUyj4pfv3y4/&#10;fl1+fiU4g0C1C3PE7RwiY/PWNmib4TzgMPFuSq/TF4wI/JD3fJVXNJHwdGk2nc3GcHH4hg3ws8fr&#10;zof4TlhNkpFTj/q1srLTNsQudAhJ2YzdSKXaGipDapB4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gvej7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16" w:lineRule="auto"/>
      <w:jc w:val="both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7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192" w:lineRule="auto"/>
      <w:jc w:val="both"/>
      <w:textAlignment w:val="auto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  <w:rPr>
        <w:rFonts w:hint="default"/>
        <w:lang w:val="en-US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BD49F"/>
    <w:multiLevelType w:val="multilevel"/>
    <w:tmpl w:val="181BD49F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 w:ascii="宋体" w:hAnsi="宋体" w:eastAsia="宋体" w:cs="宋体"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27345B1"/>
    <w:rsid w:val="02F92D08"/>
    <w:rsid w:val="042F494D"/>
    <w:rsid w:val="050F6813"/>
    <w:rsid w:val="05F06941"/>
    <w:rsid w:val="0DC14423"/>
    <w:rsid w:val="0E2E33C1"/>
    <w:rsid w:val="0E89334A"/>
    <w:rsid w:val="0EE5603C"/>
    <w:rsid w:val="15415E49"/>
    <w:rsid w:val="159863B1"/>
    <w:rsid w:val="168626AD"/>
    <w:rsid w:val="16CF7BB0"/>
    <w:rsid w:val="1AC07017"/>
    <w:rsid w:val="1B6B3888"/>
    <w:rsid w:val="1C5F3784"/>
    <w:rsid w:val="1FBA01D8"/>
    <w:rsid w:val="20242800"/>
    <w:rsid w:val="226A4226"/>
    <w:rsid w:val="26C22C05"/>
    <w:rsid w:val="2800120A"/>
    <w:rsid w:val="2893069C"/>
    <w:rsid w:val="2976210D"/>
    <w:rsid w:val="2E50117F"/>
    <w:rsid w:val="35683252"/>
    <w:rsid w:val="38657F1D"/>
    <w:rsid w:val="39534219"/>
    <w:rsid w:val="3EBF7C5B"/>
    <w:rsid w:val="420C732E"/>
    <w:rsid w:val="43DF5027"/>
    <w:rsid w:val="458E6DA1"/>
    <w:rsid w:val="49406BE6"/>
    <w:rsid w:val="4DB72B71"/>
    <w:rsid w:val="4F6208BA"/>
    <w:rsid w:val="51DF4444"/>
    <w:rsid w:val="53557501"/>
    <w:rsid w:val="574B60D8"/>
    <w:rsid w:val="5D656145"/>
    <w:rsid w:val="5E17088A"/>
    <w:rsid w:val="6518168F"/>
    <w:rsid w:val="69AB1384"/>
    <w:rsid w:val="69BB533F"/>
    <w:rsid w:val="6C024F41"/>
    <w:rsid w:val="6FE253D4"/>
    <w:rsid w:val="70787AE6"/>
    <w:rsid w:val="713734FD"/>
    <w:rsid w:val="7147510E"/>
    <w:rsid w:val="7375655F"/>
    <w:rsid w:val="74024296"/>
    <w:rsid w:val="760D375A"/>
    <w:rsid w:val="78FF0DA4"/>
    <w:rsid w:val="79D00993"/>
    <w:rsid w:val="7E30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="340" w:after="330" w:line="360" w:lineRule="auto"/>
      <w:jc w:val="left"/>
      <w:outlineLvl w:val="0"/>
    </w:pPr>
    <w:rPr>
      <w:rFonts w:ascii="宋体" w:hAnsi="宋体" w:eastAsia="宋体"/>
      <w:bCs/>
      <w:kern w:val="44"/>
      <w:sz w:val="28"/>
      <w:szCs w:val="44"/>
    </w:rPr>
  </w:style>
  <w:style w:type="paragraph" w:styleId="4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宋体" w:hAnsi="宋体" w:eastAsia="宋体" w:cstheme="majorBidi"/>
      <w:bCs/>
      <w:sz w:val="28"/>
      <w:szCs w:val="32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5">
    <w:name w:val="Normal Indent"/>
    <w:basedOn w:val="1"/>
    <w:autoRedefine/>
    <w:qFormat/>
    <w:uiPriority w:val="0"/>
    <w:pPr>
      <w:snapToGrid/>
      <w:spacing w:line="240" w:lineRule="auto"/>
      <w:ind w:firstLine="420" w:firstLineChars="200"/>
    </w:pPr>
    <w:rPr>
      <w:sz w:val="21"/>
    </w:rPr>
  </w:style>
  <w:style w:type="paragraph" w:styleId="6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8">
    <w:name w:val="toc 1"/>
    <w:basedOn w:val="1"/>
    <w:next w:val="1"/>
    <w:autoRedefine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9">
    <w:name w:val="toc 2"/>
    <w:basedOn w:val="1"/>
    <w:next w:val="1"/>
    <w:autoRedefine/>
    <w:unhideWhenUsed/>
    <w:qFormat/>
    <w:uiPriority w:val="39"/>
    <w:pPr>
      <w:spacing w:line="360" w:lineRule="auto"/>
      <w:ind w:left="200"/>
      <w:jc w:val="left"/>
    </w:pPr>
    <w:rPr>
      <w:rFonts w:ascii="宋体" w:hAnsi="宋体" w:eastAsia="宋体"/>
      <w:smallCaps/>
      <w:sz w:val="24"/>
    </w:rPr>
  </w:style>
  <w:style w:type="character" w:customStyle="1" w:styleId="12">
    <w:name w:val="font11"/>
    <w:basedOn w:val="11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3">
    <w:name w:val="font41"/>
    <w:basedOn w:val="11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4">
    <w:name w:val="special_para"/>
    <w:autoRedefine/>
    <w:qFormat/>
    <w:uiPriority w:val="0"/>
    <w:rPr>
      <w:rFonts w:ascii="宋体" w:hAnsi="宋体" w:eastAsia="宋体"/>
      <w:sz w:val="24"/>
    </w:rPr>
  </w:style>
  <w:style w:type="paragraph" w:styleId="15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16">
    <w:name w:val="normal_para"/>
    <w:autoRedefine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谢艳</cp:lastModifiedBy>
  <dcterms:modified xsi:type="dcterms:W3CDTF">2025-12-23T03:15:52Z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4089926AA0A445D4B9AE55F500D9F1DF_13</vt:lpwstr>
  </property>
</Properties>
</file>