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E77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2FD7B5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54A9070C">
      <w:pPr>
        <w:bidi w:val="0"/>
        <w:ind w:left="0" w:leftChars="0" w:right="0" w:rightChars="0" w:firstLine="0" w:firstLineChars="0"/>
        <w:jc w:val="center"/>
        <w:rPr>
          <w:rFonts w:hint="eastAsia"/>
        </w:rPr>
      </w:pPr>
    </w:p>
    <w:p w14:paraId="7A36A224"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北京画院</w:t>
      </w:r>
    </w:p>
    <w:p w14:paraId="6695312B"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default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政务云服务月报</w:t>
      </w:r>
    </w:p>
    <w:p w14:paraId="60FFD5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4F8509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7060C8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47291C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1286A0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4EADD4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206FA8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6F7242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2A36A9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3D53E6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7D6140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017023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5C7E1A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 w14:paraId="037BF7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0EEB"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北京金山云网络技术有限公司</w:t>
      </w:r>
    </w:p>
    <w:p w14:paraId="45CA04B0"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2025年11月</w:t>
      </w:r>
    </w:p>
    <w:p w14:paraId="00AC8B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sdt>
      <w:sdt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id w:val="14745526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sdtEndPr>
      <w:sdtContent>
        <w:p w14:paraId="5CBCF58D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b/>
              <w:bCs/>
              <w:sz w:val="24"/>
              <w:szCs w:val="24"/>
            </w:rPr>
          </w:pPr>
          <w:r>
            <w:rPr>
              <w:rFonts w:hint="eastAsia" w:ascii="宋体" w:hAnsi="宋体" w:eastAsia="宋体" w:cstheme="minorBidi"/>
              <w:sz w:val="21"/>
              <w:szCs w:val="22"/>
            </w:rPr>
            <w:t>目录</w:t>
          </w:r>
        </w:p>
        <w:p w14:paraId="21EC8021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一、 </w:t>
          </w:r>
          <w:r>
            <w:rPr>
              <w:rFonts w:hint="eastAsia" w:ascii="宋体" w:hAnsi="宋体" w:cs="宋体"/>
              <w:lang w:val="en-US" w:eastAsia="zh-CN"/>
            </w:rPr>
            <w:t>基础资源台账概括</w:t>
          </w:r>
          <w:r>
            <w:tab/>
          </w:r>
          <w:r>
            <w:fldChar w:fldCharType="begin"/>
          </w:r>
          <w:r>
            <w:instrText xml:space="preserve"> PAGEREF _Toc31681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58CB02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二、 </w:t>
          </w:r>
          <w:r>
            <w:rPr>
              <w:rFonts w:hint="eastAsia" w:ascii="宋体" w:hAnsi="宋体" w:cs="宋体"/>
              <w:lang w:val="en-US" w:eastAsia="zh-CN"/>
            </w:rPr>
            <w:t>本月技术支撑统计</w:t>
          </w:r>
          <w:r>
            <w:tab/>
          </w:r>
          <w:r>
            <w:fldChar w:fldCharType="begin"/>
          </w:r>
          <w:r>
            <w:instrText xml:space="preserve"> PAGEREF _Toc28224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1FCD49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三、 </w:t>
          </w:r>
          <w:r>
            <w:rPr>
              <w:rFonts w:hint="eastAsia" w:ascii="宋体" w:hAnsi="宋体" w:cs="宋体"/>
              <w:lang w:val="en-US" w:eastAsia="zh-CN"/>
            </w:rPr>
            <w:t>业务系统资源使用情况统计（cpu、内存、存储）</w:t>
          </w:r>
          <w:r>
            <w:tab/>
          </w:r>
          <w:r>
            <w:fldChar w:fldCharType="begin"/>
          </w:r>
          <w:r>
            <w:instrText xml:space="preserve"> PAGEREF _Toc2829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ED33E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四、 </w:t>
          </w:r>
          <w:r>
            <w:rPr>
              <w:rFonts w:hint="eastAsia" w:ascii="宋体" w:hAnsi="宋体" w:cs="宋体"/>
              <w:lang w:val="en-US" w:eastAsia="zh-CN"/>
            </w:rPr>
            <w:t>政务云基础资源台账</w:t>
          </w:r>
          <w:r>
            <w:tab/>
          </w:r>
          <w:r>
            <w:fldChar w:fldCharType="begin"/>
          </w:r>
          <w:r>
            <w:instrText xml:space="preserve"> PAGEREF _Toc24759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4B692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五、 计算服务</w:t>
          </w:r>
          <w:r>
            <w:tab/>
          </w:r>
          <w:r>
            <w:fldChar w:fldCharType="begin"/>
          </w:r>
          <w:r>
            <w:instrText xml:space="preserve"> PAGEREF _Toc27679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075CF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CPU使用率详情</w:t>
          </w:r>
          <w:r>
            <w:tab/>
          </w:r>
          <w:r>
            <w:fldChar w:fldCharType="begin"/>
          </w:r>
          <w:r>
            <w:instrText xml:space="preserve"> PAGEREF _Toc24385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846FF1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内存使用率详情</w:t>
          </w:r>
          <w:r>
            <w:tab/>
          </w:r>
          <w:r>
            <w:fldChar w:fldCharType="begin"/>
          </w:r>
          <w:r>
            <w:instrText xml:space="preserve"> PAGEREF _Toc24344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2FCB1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六、 存储服务</w:t>
          </w:r>
          <w:r>
            <w:tab/>
          </w:r>
          <w:r>
            <w:fldChar w:fldCharType="begin"/>
          </w:r>
          <w:r>
            <w:instrText xml:space="preserve"> PAGEREF _Toc23378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40B65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磁盘使用率详情</w:t>
          </w:r>
          <w:r>
            <w:tab/>
          </w:r>
          <w:r>
            <w:fldChar w:fldCharType="begin"/>
          </w:r>
          <w:r>
            <w:instrText xml:space="preserve"> PAGEREF _Toc7446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BC7E21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cs="宋体"/>
              <w:lang w:val="en-US" w:eastAsia="zh-CN"/>
            </w:rPr>
            <w:t>本地备份与静态存储服务</w:t>
          </w:r>
          <w:r>
            <w:tab/>
          </w:r>
          <w:r>
            <w:fldChar w:fldCharType="begin"/>
          </w:r>
          <w:r>
            <w:instrText xml:space="preserve"> PAGEREF _Toc30559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2B3FE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七、 网络服务</w:t>
          </w:r>
          <w:r>
            <w:tab/>
          </w:r>
          <w:r>
            <w:fldChar w:fldCharType="begin"/>
          </w:r>
          <w:r>
            <w:instrText xml:space="preserve"> PAGEREF _Toc249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E6F0F1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互联网链路服务</w:t>
          </w:r>
          <w:r>
            <w:tab/>
          </w:r>
          <w:r>
            <w:fldChar w:fldCharType="begin"/>
          </w:r>
          <w:r>
            <w:instrText xml:space="preserve"> PAGEREF _Toc30014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25C1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互联网IP地址租用服务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69C23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cs="宋体"/>
              <w:lang w:val="en-US" w:eastAsia="zh-CN"/>
            </w:rPr>
            <w:t>负载均衡</w:t>
          </w:r>
          <w:r>
            <w:tab/>
          </w:r>
          <w:r>
            <w:fldChar w:fldCharType="begin"/>
          </w:r>
          <w:r>
            <w:instrText xml:space="preserve"> PAGEREF _Toc27022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E715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4． </w:t>
          </w:r>
          <w:r>
            <w:rPr>
              <w:rFonts w:hint="eastAsia" w:ascii="宋体" w:hAnsi="宋体" w:eastAsia="宋体" w:cs="宋体"/>
              <w:lang w:val="en-US" w:eastAsia="zh-CN"/>
            </w:rPr>
            <w:t>远程接入服务</w:t>
          </w:r>
          <w:r>
            <w:tab/>
          </w:r>
          <w:r>
            <w:fldChar w:fldCharType="begin"/>
          </w:r>
          <w:r>
            <w:instrText xml:space="preserve"> PAGEREF _Toc1011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3BA8F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5． </w:t>
          </w:r>
          <w:r>
            <w:rPr>
              <w:rFonts w:hint="eastAsia" w:ascii="宋体" w:hAnsi="宋体" w:eastAsia="宋体" w:cs="宋体"/>
              <w:lang w:val="en-US" w:eastAsia="zh-CN"/>
            </w:rPr>
            <w:t>WAF防护报告</w:t>
          </w:r>
          <w:r>
            <w:tab/>
          </w:r>
          <w:r>
            <w:fldChar w:fldCharType="begin"/>
          </w:r>
          <w:r>
            <w:instrText xml:space="preserve"> PAGEREF _Toc4601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727C4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八、 安全服务</w:t>
          </w:r>
          <w:r>
            <w:tab/>
          </w:r>
          <w:r>
            <w:fldChar w:fldCharType="begin"/>
          </w:r>
          <w:r>
            <w:instrText xml:space="preserve"> PAGEREF _Toc14326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ECD5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主机杀毒服务</w:t>
          </w:r>
          <w:r>
            <w:tab/>
          </w:r>
          <w:r>
            <w:fldChar w:fldCharType="begin"/>
          </w:r>
          <w:r>
            <w:instrText xml:space="preserve"> PAGEREF _Toc24261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1DCF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云端抗ATP防护服务</w:t>
          </w:r>
          <w:r>
            <w:tab/>
          </w:r>
          <w:r>
            <w:fldChar w:fldCharType="begin"/>
          </w:r>
          <w:r>
            <w:instrText xml:space="preserve"> PAGEREF _Toc17714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80ABA4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cs="宋体"/>
              <w:lang w:val="en-US" w:eastAsia="zh-CN"/>
            </w:rPr>
            <w:t>开源操作系统套餐</w:t>
          </w:r>
          <w:r>
            <w:tab/>
          </w:r>
          <w:r>
            <w:fldChar w:fldCharType="begin"/>
          </w:r>
          <w:r>
            <w:instrText xml:space="preserve"> PAGEREF _Toc20943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9E556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九、 云主机深度监控服务</w:t>
          </w:r>
          <w:r>
            <w:tab/>
          </w:r>
          <w:r>
            <w:fldChar w:fldCharType="begin"/>
          </w:r>
          <w:r>
            <w:instrText xml:space="preserve"> PAGEREF _Toc15100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09BA9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7*24小时云主机深度监控服务</w:t>
          </w:r>
          <w:r>
            <w:tab/>
          </w:r>
          <w:r>
            <w:fldChar w:fldCharType="begin"/>
          </w:r>
          <w:r>
            <w:instrText xml:space="preserve"> PAGEREF _Toc9817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F0BEB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rPr>
              <w:rFonts w:hint="eastAsia"/>
            </w:rPr>
            <w:sectPr>
              <w:headerReference r:id="rId5" w:type="default"/>
              <w:pgSz w:w="11906" w:h="16838"/>
              <w:pgMar w:top="1440" w:right="1800" w:bottom="1440" w:left="1800" w:header="851" w:footer="992" w:gutter="0"/>
              <w:pgNumType w:fmt="decimal" w:start="1022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7B4432C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bookmarkStart w:id="0" w:name="_Toc31681"/>
      <w:bookmarkStart w:id="58" w:name="_GoBack"/>
      <w:bookmarkEnd w:id="58"/>
      <w:r>
        <w:rPr>
          <w:rFonts w:hint="eastAsia" w:ascii="宋体" w:hAnsi="宋体" w:cs="宋体"/>
          <w:lang w:val="en-US" w:eastAsia="zh-CN"/>
        </w:rPr>
        <w:t>基础资源台账概括</w:t>
      </w:r>
      <w:bookmarkEnd w:id="0"/>
    </w:p>
    <w:p w14:paraId="67B0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2025年11月，北京画院</w:t>
      </w:r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运行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,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已提供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6台云主机，20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颗CPU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56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内存，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950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GB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普通性能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存储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满足合同中约定的计算资源、存储资源</w:t>
      </w:r>
      <w:r>
        <w:rPr>
          <w:rFonts w:hint="eastAsia"/>
        </w:rPr>
        <w:t>。</w:t>
      </w:r>
    </w:p>
    <w:p w14:paraId="555BBA79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1" w:name="_Toc28224"/>
      <w:bookmarkStart w:id="2" w:name="_Toc5899_WPSOffice_Level2"/>
      <w:bookmarkStart w:id="3" w:name="_Toc12324"/>
      <w:bookmarkStart w:id="4" w:name="_Toc14648_WPSOffice_Level2"/>
      <w:bookmarkStart w:id="5" w:name="_Toc17702_WPSOffice_Level2"/>
      <w:bookmarkStart w:id="6" w:name="_Toc2002_WPSOffice_Level2"/>
      <w:r>
        <w:rPr>
          <w:rFonts w:hint="eastAsia" w:ascii="宋体" w:hAnsi="宋体" w:cs="宋体"/>
          <w:lang w:val="en-US" w:eastAsia="zh-CN"/>
        </w:rPr>
        <w:t>本月技术支撑统计</w:t>
      </w:r>
      <w:bookmarkEnd w:id="1"/>
    </w:p>
    <w:tbl>
      <w:tblPr>
        <w:tblStyle w:val="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 w14:paraId="50F4E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21E7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EA0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B7B8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 w14:paraId="5E961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01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49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CB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</w:tbl>
    <w:p w14:paraId="7F1CD1C7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7" w:name="_Toc2829"/>
      <w:r>
        <w:rPr>
          <w:rFonts w:hint="eastAsia" w:ascii="宋体" w:hAnsi="宋体" w:cs="宋体"/>
          <w:lang w:val="en-US" w:eastAsia="zh-CN"/>
        </w:rPr>
        <w:t>业务系统资源使用情况统计（cpu、内存、存储）</w:t>
      </w:r>
      <w:bookmarkEnd w:id="7"/>
    </w:p>
    <w:tbl>
      <w:tblPr>
        <w:tblStyle w:val="9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 w14:paraId="5C639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6A5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 w14:paraId="7BADB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4E69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09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3E6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E18F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DC28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5387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CD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C3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AD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E4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72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15.91</w:t>
            </w:r>
          </w:p>
        </w:tc>
      </w:tr>
    </w:tbl>
    <w:p w14:paraId="2471809A">
      <w:pPr>
        <w:rPr>
          <w:rFonts w:hint="eastAsia"/>
        </w:rPr>
      </w:pPr>
    </w:p>
    <w:tbl>
      <w:tblPr>
        <w:tblStyle w:val="9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 w14:paraId="575B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48F5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 w14:paraId="2AC06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91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058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532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509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CE5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0FCA9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D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A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1C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B5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0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54.76</w:t>
            </w:r>
          </w:p>
        </w:tc>
      </w:tr>
    </w:tbl>
    <w:p w14:paraId="2EFE7F0D">
      <w:pPr>
        <w:pStyle w:val="2"/>
        <w:rPr>
          <w:rFonts w:hint="eastAsia"/>
        </w:rPr>
      </w:pPr>
    </w:p>
    <w:tbl>
      <w:tblPr>
        <w:tblStyle w:val="9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 w14:paraId="32B53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005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 w14:paraId="51C38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88B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16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4F2C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58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342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7B6E7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4D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9F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73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DC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CD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46.15</w:t>
            </w:r>
          </w:p>
        </w:tc>
      </w:tr>
      <w:bookmarkEnd w:id="2"/>
      <w:bookmarkEnd w:id="3"/>
      <w:bookmarkEnd w:id="4"/>
      <w:bookmarkEnd w:id="5"/>
      <w:bookmarkEnd w:id="6"/>
    </w:tbl>
    <w:p w14:paraId="6B014E34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  <w:sectPr>
          <w:footerReference r:id="rId6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9" w:charSpace="0"/>
        </w:sectPr>
      </w:pPr>
    </w:p>
    <w:p w14:paraId="1958E58D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8" w:name="_Toc24759"/>
      <w:r>
        <w:rPr>
          <w:rFonts w:hint="eastAsia" w:ascii="宋体" w:hAnsi="宋体" w:cs="宋体"/>
          <w:lang w:val="en-US" w:eastAsia="zh-CN"/>
        </w:rPr>
        <w:t>政务云基础资源台账</w:t>
      </w:r>
      <w:bookmarkEnd w:id="8"/>
    </w:p>
    <w:p w14:paraId="2DD4AFB7">
      <w:pPr>
        <w:widowControl/>
        <w:spacing w:line="360" w:lineRule="auto"/>
        <w:ind w:firstLine="482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9" w:name="_Toc500290611"/>
      <w:bookmarkEnd w:id="9"/>
      <w:bookmarkStart w:id="10" w:name="_Toc520181729"/>
      <w:bookmarkEnd w:id="10"/>
      <w:bookmarkStart w:id="11" w:name="_Toc531737562"/>
      <w:bookmarkEnd w:id="11"/>
      <w:bookmarkStart w:id="12" w:name="_Toc26288406"/>
      <w:bookmarkEnd w:id="12"/>
      <w:bookmarkStart w:id="13" w:name="_Toc39933802"/>
      <w:bookmarkEnd w:id="13"/>
      <w:bookmarkStart w:id="14" w:name="_Toc520183625"/>
      <w:bookmarkEnd w:id="14"/>
      <w:bookmarkStart w:id="15" w:name="_Toc26288799"/>
      <w:bookmarkEnd w:id="15"/>
      <w:bookmarkStart w:id="16" w:name="_Toc26287671"/>
      <w:bookmarkEnd w:id="16"/>
      <w:bookmarkStart w:id="17" w:name="_Toc531759013"/>
      <w:bookmarkEnd w:id="17"/>
      <w:bookmarkStart w:id="18" w:name="_Toc26287714"/>
      <w:bookmarkEnd w:id="18"/>
      <w:bookmarkStart w:id="19" w:name="_Toc500197239"/>
      <w:bookmarkEnd w:id="19"/>
      <w:bookmarkStart w:id="20" w:name="_Toc516645164"/>
      <w:bookmarkEnd w:id="20"/>
      <w:bookmarkStart w:id="21" w:name="_Toc26180513"/>
      <w:bookmarkEnd w:id="21"/>
      <w:bookmarkStart w:id="22" w:name="_Toc499655251"/>
      <w:bookmarkEnd w:id="22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CPU服务；提供12个月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56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GB内存服务；提供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12个月500 GB普通性能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存储服务。</w:t>
      </w:r>
    </w:p>
    <w:p w14:paraId="73D69BAA">
      <w:pPr>
        <w:widowControl/>
        <w:spacing w:line="360" w:lineRule="auto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 w14:paraId="202C15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普通性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能存储资源分配情况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9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685"/>
        <w:gridCol w:w="1484"/>
        <w:gridCol w:w="1685"/>
        <w:gridCol w:w="646"/>
        <w:gridCol w:w="820"/>
        <w:gridCol w:w="1470"/>
      </w:tblGrid>
      <w:tr w14:paraId="58182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0DC85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FE57D1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635586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838EB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9E65C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CPU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7F5DC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内存</w:t>
            </w: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（GB）</w:t>
            </w:r>
          </w:p>
        </w:tc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77DCD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普通性能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存储</w:t>
            </w: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（GB）</w:t>
            </w:r>
          </w:p>
        </w:tc>
      </w:tr>
      <w:tr w14:paraId="5F9E2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9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F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AC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北京画院网站及虚拟美术馆应用系统-后台数据库-从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2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192.168.185.94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9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AF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EE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5A830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58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D8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56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北京画院网站及虚拟美术馆应用系统-后台数据库-主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E5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192.168.185.93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51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14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3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D02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A1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AE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B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北京画院网站及虚拟美术馆应用系统-网站服务器集群-2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4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192.168.185.92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47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2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58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022F7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A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84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03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北京画院网站及虚拟美术馆应用系统-网站服务器集群-1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8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192.168.185.91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23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E7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23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07B2B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8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bookmarkStart w:id="23" w:name="_Toc22383"/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E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C1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北京画院官方网站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E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E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C0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7A0EB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98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BC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网站运营及虚拟展厅维护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81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北京画院-齐白石在北京小程序-齐白石小程序主机</w:t>
            </w:r>
          </w:p>
        </w:tc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6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192.169.99.64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83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ED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7A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</w:tbl>
    <w:p w14:paraId="2075ED2F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bookmarkEnd w:id="23"/>
    <w:p w14:paraId="689400A1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24" w:name="_Toc27679"/>
      <w:r>
        <w:rPr>
          <w:rFonts w:hint="eastAsia" w:ascii="宋体" w:hAnsi="宋体" w:cs="宋体"/>
          <w:lang w:val="en-US" w:eastAsia="zh-CN"/>
        </w:rPr>
        <w:t>计算服务</w:t>
      </w:r>
      <w:bookmarkEnd w:id="24"/>
    </w:p>
    <w:p w14:paraId="666E0493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25" w:name="_Toc27974732"/>
      <w:bookmarkEnd w:id="25"/>
      <w:bookmarkStart w:id="26" w:name="_Toc34654844"/>
      <w:bookmarkEnd w:id="26"/>
      <w:bookmarkStart w:id="27" w:name="_Toc25347"/>
      <w:bookmarkStart w:id="28" w:name="_Toc24385"/>
      <w:r>
        <w:rPr>
          <w:rFonts w:hint="eastAsia" w:ascii="宋体" w:hAnsi="宋体" w:eastAsia="宋体" w:cs="宋体"/>
          <w:lang w:val="en-US" w:eastAsia="zh-CN"/>
        </w:rPr>
        <w:t>CPU使用率详情</w:t>
      </w:r>
      <w:bookmarkEnd w:id="27"/>
      <w:bookmarkEnd w:id="28"/>
    </w:p>
    <w:p w14:paraId="5FB27A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9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88"/>
        <w:gridCol w:w="1704"/>
        <w:gridCol w:w="1733"/>
        <w:gridCol w:w="717"/>
        <w:gridCol w:w="1146"/>
        <w:gridCol w:w="925"/>
      </w:tblGrid>
      <w:tr w14:paraId="3D6F2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188AA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5892E1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4F18B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6F21E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0D817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CPU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C58B55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平均使用率(%)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29D06C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最大使用率(%)</w:t>
            </w:r>
          </w:p>
        </w:tc>
      </w:tr>
      <w:tr w14:paraId="287C5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49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F6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B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4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9A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4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17.18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7F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61.78 </w:t>
            </w:r>
          </w:p>
        </w:tc>
      </w:tr>
      <w:tr w14:paraId="057C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93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3A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1E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F8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9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11.68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2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72.46 </w:t>
            </w:r>
          </w:p>
        </w:tc>
      </w:tr>
      <w:tr w14:paraId="587A4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66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2D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6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1B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65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A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8.43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74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38.12 </w:t>
            </w:r>
          </w:p>
        </w:tc>
      </w:tr>
      <w:tr w14:paraId="4322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53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7E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8A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1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22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B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11.83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62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58.21 </w:t>
            </w:r>
          </w:p>
        </w:tc>
      </w:tr>
      <w:tr w14:paraId="6F65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A0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sz w:val="20"/>
                <w:szCs w:val="20"/>
                <w:lang w:val="en-US" w:eastAsia="zh-CN"/>
              </w:rPr>
            </w:pPr>
            <w:bookmarkStart w:id="29" w:name="_Toc9087"/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9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0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6E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6F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CC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26.19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B5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68.30 </w:t>
            </w:r>
          </w:p>
        </w:tc>
      </w:tr>
      <w:tr w14:paraId="1B97E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5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CA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51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E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81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D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20.15 </w:t>
            </w:r>
          </w:p>
        </w:tc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1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37.63 </w:t>
            </w:r>
          </w:p>
        </w:tc>
      </w:tr>
    </w:tbl>
    <w:p w14:paraId="2291DA36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0" w:name="_Toc24344"/>
      <w:r>
        <w:rPr>
          <w:rFonts w:hint="eastAsia" w:ascii="宋体" w:hAnsi="宋体" w:eastAsia="宋体" w:cs="宋体"/>
          <w:lang w:val="en-US" w:eastAsia="zh-CN"/>
        </w:rPr>
        <w:t>内存使用率详情</w:t>
      </w:r>
      <w:bookmarkEnd w:id="29"/>
      <w:bookmarkEnd w:id="30"/>
    </w:p>
    <w:p w14:paraId="72B484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9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1553"/>
        <w:gridCol w:w="1835"/>
        <w:gridCol w:w="1767"/>
        <w:gridCol w:w="732"/>
        <w:gridCol w:w="921"/>
        <w:gridCol w:w="944"/>
      </w:tblGrid>
      <w:tr w14:paraId="19725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8EC28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B443B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0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C9173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DBF76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55854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内存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00C2A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平均使用率(%)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23F40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最大使用率(%)</w:t>
            </w:r>
          </w:p>
        </w:tc>
      </w:tr>
      <w:tr w14:paraId="676AB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D8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5D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BC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8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F0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0F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80.23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75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84.33 </w:t>
            </w:r>
          </w:p>
        </w:tc>
      </w:tr>
      <w:tr w14:paraId="110D9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2E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7E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C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B5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8F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16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85.54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70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87.50 </w:t>
            </w:r>
          </w:p>
        </w:tc>
      </w:tr>
      <w:tr w14:paraId="64B01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E3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59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7B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2D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3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2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45.30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4E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46.58 </w:t>
            </w:r>
          </w:p>
        </w:tc>
      </w:tr>
      <w:tr w14:paraId="2820A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97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6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73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1A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B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0B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19.35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33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42.95 </w:t>
            </w:r>
          </w:p>
        </w:tc>
      </w:tr>
      <w:tr w14:paraId="14B0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6A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</w:pPr>
            <w:bookmarkStart w:id="31" w:name="_Toc15574"/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58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9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FE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9A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D0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50.79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54.16 </w:t>
            </w:r>
          </w:p>
        </w:tc>
      </w:tr>
      <w:tr w14:paraId="730E6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E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48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2A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4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C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1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47.33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7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49.55 </w:t>
            </w:r>
          </w:p>
        </w:tc>
      </w:tr>
    </w:tbl>
    <w:p w14:paraId="2F9942D5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32" w:name="_Toc23378"/>
      <w:r>
        <w:rPr>
          <w:rFonts w:hint="eastAsia" w:ascii="宋体" w:hAnsi="宋体" w:cs="宋体"/>
          <w:lang w:val="en-US" w:eastAsia="zh-CN"/>
        </w:rPr>
        <w:t>存储服务</w:t>
      </w:r>
      <w:bookmarkEnd w:id="32"/>
    </w:p>
    <w:p w14:paraId="19BC1491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3" w:name="_Toc7446"/>
      <w:r>
        <w:rPr>
          <w:rFonts w:hint="eastAsia" w:ascii="宋体" w:hAnsi="宋体" w:eastAsia="宋体" w:cs="宋体"/>
          <w:lang w:val="en-US" w:eastAsia="zh-CN"/>
        </w:rPr>
        <w:t>磁盘使用率详情</w:t>
      </w:r>
      <w:bookmarkEnd w:id="31"/>
      <w:bookmarkEnd w:id="33"/>
    </w:p>
    <w:p w14:paraId="3453D5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下表为本月云主机普普通性能存储使用率详情，各主机高性能存储使用率符合经信局要求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9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451"/>
        <w:gridCol w:w="2150"/>
        <w:gridCol w:w="1834"/>
        <w:gridCol w:w="783"/>
        <w:gridCol w:w="1631"/>
      </w:tblGrid>
      <w:tr w14:paraId="591FD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5C63C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bookmarkStart w:id="34" w:name="_Toc20835"/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6EE0C9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45BE9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CA510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041BF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存储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E8091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当前使用率(%)</w:t>
            </w:r>
          </w:p>
        </w:tc>
      </w:tr>
      <w:tr w14:paraId="30F0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37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A5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FC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22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16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D1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39.17 </w:t>
            </w:r>
          </w:p>
        </w:tc>
      </w:tr>
      <w:tr w14:paraId="60BD1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B9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9C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7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9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2B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150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20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16.32 </w:t>
            </w:r>
          </w:p>
        </w:tc>
      </w:tr>
      <w:tr w14:paraId="4797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5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3A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51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E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F8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250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E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40.14 </w:t>
            </w:r>
          </w:p>
        </w:tc>
      </w:tr>
      <w:tr w14:paraId="25D6D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C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0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FC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7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4D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250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DB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60.38 </w:t>
            </w:r>
          </w:p>
        </w:tc>
      </w:tr>
      <w:tr w14:paraId="5B124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34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C7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5E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C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AE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E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73.20 </w:t>
            </w:r>
          </w:p>
        </w:tc>
      </w:tr>
      <w:tr w14:paraId="72635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C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12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网站运营及虚拟展厅维护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A4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C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63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 xml:space="preserve">47.68 </w:t>
            </w:r>
          </w:p>
        </w:tc>
      </w:tr>
    </w:tbl>
    <w:p w14:paraId="48A1DB37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5" w:name="_Toc30559"/>
      <w:r>
        <w:rPr>
          <w:rFonts w:hint="eastAsia" w:ascii="宋体" w:hAnsi="宋体" w:cs="宋体"/>
          <w:lang w:val="en-US" w:eastAsia="zh-CN"/>
        </w:rPr>
        <w:t>本地备份与静态存储服务</w:t>
      </w:r>
      <w:bookmarkEnd w:id="35"/>
    </w:p>
    <w:p w14:paraId="6B0D605B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快照备份服务包含：本地备份和静态存储两项服务</w:t>
      </w:r>
    </w:p>
    <w:p w14:paraId="5B9758D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合同要求：本地备份：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通过备份策略实现文件、操作系统、数据库的本地备份（不包含备份存储空间费用）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静态存储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：大容量、高可靠的数据存储服务，具备PB级线性扩展能力。</w:t>
      </w:r>
    </w:p>
    <w:p w14:paraId="281D6BE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：对云主机每月进行一次快照，由金山云与用户共同分析业务主机备份需求，确定业务重要性与恢复优先级。通过备份策略实现对用户数据（文件、操作系统、数据库）的本地备份。 备份空间具体包含静态存储大容量、高可靠的数据存储服务，具备PB级线性扩展能力。</w:t>
      </w:r>
    </w:p>
    <w:p w14:paraId="4F38F4F2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备份方式：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金山云提供云主机系统的备份，主要采用快照方式进行系统备份。</w:t>
      </w:r>
    </w:p>
    <w:p w14:paraId="12510DA3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恢复方式：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对快照进行恢复，覆盖原有主机数据，使数据恢复到备份前的状态。</w:t>
      </w:r>
    </w:p>
    <w:p w14:paraId="52FA7E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进行备份与恢复的文档记录，其内容包括备份时间、备份内容、备份操作人、备份截至时间等。</w:t>
      </w:r>
    </w:p>
    <w:p w14:paraId="320A448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本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月备份记录：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000"/>
        <w:gridCol w:w="1684"/>
        <w:gridCol w:w="1544"/>
        <w:gridCol w:w="1211"/>
        <w:gridCol w:w="1319"/>
      </w:tblGrid>
      <w:tr w14:paraId="04AA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3" w:hRule="atLeast"/>
          <w:tblHeader/>
        </w:trPr>
        <w:tc>
          <w:tcPr>
            <w:tcW w:w="445" w:type="pct"/>
            <w:shd w:val="clear" w:color="auto" w:fill="BEBEBE"/>
            <w:noWrap/>
            <w:vAlign w:val="center"/>
          </w:tcPr>
          <w:p w14:paraId="33563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74" w:type="pct"/>
            <w:shd w:val="clear" w:color="auto" w:fill="BEBEBE"/>
            <w:noWrap/>
            <w:vAlign w:val="center"/>
          </w:tcPr>
          <w:p w14:paraId="27F76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88" w:type="pct"/>
            <w:shd w:val="clear" w:color="auto" w:fill="BEBEBE"/>
            <w:noWrap/>
            <w:vAlign w:val="center"/>
          </w:tcPr>
          <w:p w14:paraId="0A933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浮动IP</w:t>
            </w:r>
          </w:p>
        </w:tc>
        <w:tc>
          <w:tcPr>
            <w:tcW w:w="906" w:type="pct"/>
            <w:shd w:val="clear" w:color="auto" w:fill="BEBEBE"/>
            <w:noWrap/>
            <w:vAlign w:val="center"/>
          </w:tcPr>
          <w:p w14:paraId="3DFDA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711" w:type="pct"/>
            <w:shd w:val="clear" w:color="auto" w:fill="BEBEBE"/>
            <w:noWrap/>
            <w:vAlign w:val="center"/>
          </w:tcPr>
          <w:p w14:paraId="49C4C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774" w:type="pct"/>
            <w:shd w:val="clear" w:color="auto" w:fill="BEBEBE"/>
            <w:noWrap/>
            <w:vAlign w:val="center"/>
          </w:tcPr>
          <w:p w14:paraId="27803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 w14:paraId="0347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DDFC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552A2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3284E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436F7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2571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471F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10C5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4480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7682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17919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09E6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315FD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22C42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33B1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2AC48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16046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56311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76E98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5AB87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EB7B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4A11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4E84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402BD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062A6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0BDF0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301F6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0D66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525B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47A20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2A5E5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2E2D0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6B264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0B999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2C6DD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50C5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500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5AAD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2DC7C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6F6B5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2025/11/7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2E600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15F2A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437F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789C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8CC0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5C4CC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4F422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6CD52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1C5D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7EC8D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D13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7E0D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6D6D0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1BC50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59D4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8BB7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2124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AF20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16A3E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097FD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0EF15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7B085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254B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4923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6B067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D1A4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53C60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2CD5B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0F205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4900D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402A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206F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6C8A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25405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5581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C10D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12549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5796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0F85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1D70B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2A0E4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6CF0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2025/11/14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57F45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5A2B3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1072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54FCF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03B17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52E2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1B08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8605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1A554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37B4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346A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510FC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7733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4F27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4D047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77304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1E41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62CED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34F3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247EF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2A442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6CA6E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5474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2124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4EB22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12B98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7EFB7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441E3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5AA8A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36EB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04B0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20DA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775E3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39ED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51D94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2BBF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340B4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0267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24190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5416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36173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54BC9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2025/11/21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C6B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23A94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169C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16063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3819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北京画院网站及虚拟美术馆应用系统-后台数据库-从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5BDD9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2293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3BC27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7EB9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396E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540A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03EC4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北京画院网站及虚拟美术馆应用系统-后台数据库-主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0502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192.168.185.93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1E9F2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7CAC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4F3A7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5B0F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34F5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38E71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北京画院网站及虚拟美术馆应用系统-网站服务器集群-2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6F433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06401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2EC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CB01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58CF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0E215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40E4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北京画院网站及虚拟美术馆应用系统-网站服务器集群-1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7EFD4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192.168.185.91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3EEAC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606FA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AAE0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4405B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3538B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50D4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北京画院官方网站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47FB6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192.169.204.22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010BD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25F97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46478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  <w:tr w14:paraId="1932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8" w:type="dxa"/>
            <w:shd w:val="clear" w:color="auto" w:fill="auto"/>
            <w:noWrap/>
            <w:vAlign w:val="center"/>
          </w:tcPr>
          <w:p w14:paraId="3ECC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 w14:paraId="6A00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北京画院-齐白石在北京小程序-齐白石小程序主机</w:t>
            </w:r>
          </w:p>
        </w:tc>
        <w:tc>
          <w:tcPr>
            <w:tcW w:w="988" w:type="pct"/>
            <w:shd w:val="clear" w:color="auto" w:fill="auto"/>
            <w:noWrap/>
            <w:vAlign w:val="center"/>
          </w:tcPr>
          <w:p w14:paraId="4B41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192.169.99.64</w:t>
            </w:r>
          </w:p>
        </w:tc>
        <w:tc>
          <w:tcPr>
            <w:tcW w:w="906" w:type="pct"/>
            <w:shd w:val="clear" w:color="auto" w:fill="auto"/>
            <w:noWrap/>
            <w:vAlign w:val="bottom"/>
          </w:tcPr>
          <w:p w14:paraId="67EB6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2025/11/28 22:00</w:t>
            </w: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1D36F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5F383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</w:tr>
    </w:tbl>
    <w:p w14:paraId="43030652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36" w:name="_Toc249"/>
      <w:r>
        <w:rPr>
          <w:rFonts w:hint="eastAsia" w:ascii="宋体" w:hAnsi="宋体" w:cs="宋体"/>
          <w:lang w:val="en-US" w:eastAsia="zh-CN"/>
        </w:rPr>
        <w:t>网络服务</w:t>
      </w:r>
      <w:bookmarkEnd w:id="36"/>
    </w:p>
    <w:p w14:paraId="76EB4538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7" w:name="_Toc30014"/>
      <w:r>
        <w:rPr>
          <w:rFonts w:hint="eastAsia" w:ascii="宋体" w:hAnsi="宋体" w:eastAsia="宋体" w:cs="宋体"/>
          <w:lang w:val="en-US" w:eastAsia="zh-CN"/>
        </w:rPr>
        <w:t>互联网链路服务</w:t>
      </w:r>
      <w:bookmarkEnd w:id="34"/>
      <w:bookmarkEnd w:id="37"/>
    </w:p>
    <w:p w14:paraId="34B0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须提供多线运营商接入服务，保证稳定可靠。提供互联网链路带宽服务10Mb/月。</w:t>
      </w:r>
    </w:p>
    <w:p w14:paraId="63BB1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通过在控制台配置互联网地址流量带宽方式实现10Mb/月流量带宽。</w:t>
      </w:r>
    </w:p>
    <w:p w14:paraId="31510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已完成合同约定提供10Mb/月流量带宽内容，如</w:t>
      </w:r>
      <w:r>
        <w:rPr>
          <w:rFonts w:hint="eastAsia" w:ascii="宋体" w:hAnsi="宋体" w:eastAsia="宋体" w:cs="宋体"/>
          <w:lang w:val="en-US" w:eastAsia="zh-CN"/>
        </w:rPr>
        <w:t>下图：</w:t>
      </w:r>
    </w:p>
    <w:p w14:paraId="282ED451"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690" cy="1479550"/>
            <wp:effectExtent l="0" t="0" r="10160" b="635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FEB8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8" w:name="_Toc5602"/>
      <w:r>
        <w:rPr>
          <w:rFonts w:hint="eastAsia" w:ascii="宋体" w:hAnsi="宋体" w:eastAsia="宋体" w:cs="宋体"/>
          <w:lang w:val="en-US" w:eastAsia="zh-CN"/>
        </w:rPr>
        <w:t>互联网IP地址租用服务</w:t>
      </w:r>
      <w:bookmarkEnd w:id="38"/>
    </w:p>
    <w:p w14:paraId="75F273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 w14:paraId="228C8E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 w14:paraId="711AE3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根据合同要求，已完成合同约定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个互联网地址提供。下表为已提供互联网地址列表，图为控制台映射关系截图：</w:t>
      </w:r>
    </w:p>
    <w:tbl>
      <w:tblPr>
        <w:tblStyle w:val="9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3220"/>
        <w:gridCol w:w="4528"/>
      </w:tblGrid>
      <w:tr w14:paraId="7759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27BB9B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8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FB54A5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互联网IP地址</w:t>
            </w:r>
          </w:p>
        </w:tc>
        <w:tc>
          <w:tcPr>
            <w:tcW w:w="2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859D97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使用单位名称</w:t>
            </w:r>
          </w:p>
        </w:tc>
      </w:tr>
      <w:tr w14:paraId="0F4AA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04D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4B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120.52.191.143</w:t>
            </w:r>
          </w:p>
        </w:tc>
        <w:tc>
          <w:tcPr>
            <w:tcW w:w="2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28EA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北京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画院</w:t>
            </w:r>
          </w:p>
        </w:tc>
      </w:tr>
    </w:tbl>
    <w:p w14:paraId="66806D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64150" cy="453390"/>
            <wp:effectExtent l="0" t="0" r="1270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FDEC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9" w:name="_Toc27022"/>
      <w:bookmarkStart w:id="40" w:name="_Toc59220314"/>
      <w:bookmarkStart w:id="41" w:name="_Toc941"/>
      <w:bookmarkStart w:id="42" w:name="_Toc32441"/>
      <w:bookmarkStart w:id="43" w:name="_Toc9930"/>
      <w:bookmarkStart w:id="44" w:name="_Toc21919"/>
      <w:r>
        <w:rPr>
          <w:rFonts w:hint="eastAsia" w:ascii="宋体" w:hAnsi="宋体" w:cs="宋体"/>
          <w:lang w:val="en-US" w:eastAsia="zh-CN"/>
        </w:rPr>
        <w:t>负载均衡</w:t>
      </w:r>
      <w:bookmarkEnd w:id="39"/>
    </w:p>
    <w:p w14:paraId="2C27BE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主机负载均衡服务，提供2个IP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 w14:paraId="7A7E42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负载均衡服务器上配置后端节点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 w14:paraId="6F4A8E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以下为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负载均衡列表：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413"/>
        <w:gridCol w:w="2129"/>
        <w:gridCol w:w="2129"/>
      </w:tblGrid>
      <w:tr w14:paraId="0A54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shd w:val="clear" w:color="auto" w:fill="BEBEBE" w:themeFill="background1" w:themeFillShade="BF"/>
          </w:tcPr>
          <w:p w14:paraId="51C7EB19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417" w:type="pct"/>
            <w:shd w:val="clear" w:color="auto" w:fill="BEBEBE" w:themeFill="background1" w:themeFillShade="BF"/>
          </w:tcPr>
          <w:p w14:paraId="44FB3EE5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负载地址</w:t>
            </w:r>
          </w:p>
        </w:tc>
        <w:tc>
          <w:tcPr>
            <w:tcW w:w="1250" w:type="pct"/>
            <w:shd w:val="clear" w:color="auto" w:fill="BEBEBE" w:themeFill="background1" w:themeFillShade="BF"/>
          </w:tcPr>
          <w:p w14:paraId="04EE2C3D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后端节点</w:t>
            </w:r>
          </w:p>
        </w:tc>
        <w:tc>
          <w:tcPr>
            <w:tcW w:w="1250" w:type="pct"/>
            <w:shd w:val="clear" w:color="auto" w:fill="BEBEBE" w:themeFill="background1" w:themeFillShade="BF"/>
          </w:tcPr>
          <w:p w14:paraId="482FF360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算法</w:t>
            </w:r>
          </w:p>
        </w:tc>
      </w:tr>
      <w:tr w14:paraId="05D1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</w:tcPr>
          <w:p w14:paraId="33066EAC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17" w:type="pct"/>
            <w:vMerge w:val="restart"/>
          </w:tcPr>
          <w:p w14:paraId="0E2712A5">
            <w:pPr>
              <w:spacing w:line="72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192.168.151.188</w:t>
            </w:r>
          </w:p>
        </w:tc>
        <w:tc>
          <w:tcPr>
            <w:tcW w:w="1250" w:type="pct"/>
          </w:tcPr>
          <w:p w14:paraId="2F245EA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192.168.185.93</w:t>
            </w:r>
          </w:p>
        </w:tc>
        <w:tc>
          <w:tcPr>
            <w:tcW w:w="1250" w:type="pct"/>
          </w:tcPr>
          <w:p w14:paraId="5C13BF15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轮询</w:t>
            </w:r>
          </w:p>
        </w:tc>
      </w:tr>
      <w:tr w14:paraId="26F7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</w:tcPr>
          <w:p w14:paraId="0149E67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17" w:type="pct"/>
            <w:vMerge w:val="continue"/>
          </w:tcPr>
          <w:p w14:paraId="08C8543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  <w:tc>
          <w:tcPr>
            <w:tcW w:w="1250" w:type="pct"/>
          </w:tcPr>
          <w:p w14:paraId="4429A6CD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192.168.185.9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50" w:type="pct"/>
          </w:tcPr>
          <w:p w14:paraId="41EA00B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轮询</w:t>
            </w:r>
          </w:p>
        </w:tc>
      </w:tr>
    </w:tbl>
    <w:p w14:paraId="1B9227D4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45" w:name="_Toc1011"/>
      <w:r>
        <w:rPr>
          <w:rFonts w:hint="eastAsia" w:ascii="宋体" w:hAnsi="宋体" w:eastAsia="宋体" w:cs="宋体"/>
          <w:lang w:val="en-US" w:eastAsia="zh-CN"/>
        </w:rPr>
        <w:t>远程接入服务</w:t>
      </w:r>
      <w:bookmarkEnd w:id="40"/>
      <w:bookmarkEnd w:id="41"/>
      <w:bookmarkEnd w:id="42"/>
      <w:bookmarkEnd w:id="43"/>
      <w:bookmarkEnd w:id="45"/>
    </w:p>
    <w:p w14:paraId="742969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bookmarkStart w:id="46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每个账号结合身份验通过VPN远程接入堡垒机进行维护，共提供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个远程接入账号。</w:t>
      </w:r>
    </w:p>
    <w:p w14:paraId="352640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个进行远程访问账号</w:t>
      </w:r>
      <w:bookmarkEnd w:id="46"/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 w14:paraId="74984E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个远程介入账号提供。下表为已提供远程接入账号列表，图为北京市政务云平台的SSL VPN设备为本项目提供账号截图。</w:t>
      </w:r>
    </w:p>
    <w:bookmarkEnd w:id="44"/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2568"/>
        <w:gridCol w:w="3377"/>
      </w:tblGrid>
      <w:tr w14:paraId="7347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8" w:type="pct"/>
            <w:shd w:val="clear" w:color="auto" w:fill="BEBEBE" w:themeFill="background1" w:themeFillShade="BF"/>
            <w:noWrap/>
            <w:vAlign w:val="center"/>
          </w:tcPr>
          <w:p w14:paraId="0CF12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47" w:name="_Toc24487"/>
            <w:bookmarkStart w:id="48" w:name="_Toc59220318"/>
            <w:bookmarkStart w:id="49" w:name="_Toc527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08" w:type="pct"/>
            <w:shd w:val="clear" w:color="auto" w:fill="BEBEBE" w:themeFill="background1" w:themeFillShade="BF"/>
            <w:noWrap/>
            <w:vAlign w:val="center"/>
          </w:tcPr>
          <w:p w14:paraId="4E80F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远程接入账号</w:t>
            </w:r>
          </w:p>
        </w:tc>
        <w:tc>
          <w:tcPr>
            <w:tcW w:w="1983" w:type="pct"/>
            <w:shd w:val="clear" w:color="auto" w:fill="BEBEBE" w:themeFill="background1" w:themeFillShade="BF"/>
            <w:noWrap/>
            <w:vAlign w:val="center"/>
          </w:tcPr>
          <w:p w14:paraId="72F21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使用单位</w:t>
            </w:r>
          </w:p>
        </w:tc>
      </w:tr>
      <w:tr w14:paraId="3A4F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8" w:type="pct"/>
            <w:shd w:val="clear" w:color="auto" w:fill="auto"/>
            <w:noWrap/>
            <w:vAlign w:val="center"/>
          </w:tcPr>
          <w:p w14:paraId="43E1A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08" w:type="pct"/>
            <w:shd w:val="clear" w:color="auto" w:fill="auto"/>
            <w:noWrap/>
            <w:vAlign w:val="center"/>
          </w:tcPr>
          <w:p w14:paraId="1D760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bjhyls-2</w:t>
            </w:r>
          </w:p>
        </w:tc>
        <w:tc>
          <w:tcPr>
            <w:tcW w:w="1983" w:type="pct"/>
            <w:shd w:val="clear" w:color="auto" w:fill="auto"/>
            <w:noWrap/>
            <w:vAlign w:val="center"/>
          </w:tcPr>
          <w:p w14:paraId="5150E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北京画院</w:t>
            </w:r>
          </w:p>
        </w:tc>
      </w:tr>
    </w:tbl>
    <w:p w14:paraId="08F160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055" cy="471170"/>
            <wp:effectExtent l="0" t="0" r="10795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C55C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0" w:name="_Toc19189"/>
      <w:bookmarkStart w:id="51" w:name="_Toc4601"/>
      <w:r>
        <w:rPr>
          <w:rFonts w:hint="eastAsia" w:ascii="宋体" w:hAnsi="宋体" w:eastAsia="宋体" w:cs="宋体"/>
          <w:lang w:val="en-US" w:eastAsia="zh-CN"/>
        </w:rPr>
        <w:t>WAF防护报告</w:t>
      </w:r>
      <w:bookmarkEnd w:id="50"/>
      <w:bookmarkEnd w:id="51"/>
    </w:p>
    <w:p w14:paraId="4E48CC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在网站前端架设WAF防护服务，保证用户网站对已知安全隐患进行防护，实时升级漏洞补丁，配置防护策略，可起到前端防护作用。</w:t>
      </w:r>
    </w:p>
    <w:p w14:paraId="2F9F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3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通过在网站前端部署WAF防护服务，启动WAF防护模式，实现用户网站对已知安全隐患进行防护，下图为本项目WAF服务部署上线截图。</w:t>
      </w:r>
    </w:p>
    <w:p w14:paraId="5F8CC9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08270" cy="771525"/>
            <wp:effectExtent l="0" t="0" r="1143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4D7F">
      <w:pPr>
        <w:pStyle w:val="2"/>
        <w:rPr>
          <w:rFonts w:hint="eastAsia"/>
          <w:lang w:val="en-US" w:eastAsia="zh-CN"/>
        </w:rPr>
      </w:pPr>
    </w:p>
    <w:bookmarkEnd w:id="47"/>
    <w:bookmarkEnd w:id="48"/>
    <w:bookmarkEnd w:id="49"/>
    <w:p w14:paraId="7AA853E8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52" w:name="_Toc14326"/>
      <w:r>
        <w:rPr>
          <w:rFonts w:hint="eastAsia" w:ascii="宋体" w:hAnsi="宋体" w:cs="宋体"/>
          <w:lang w:val="en-US" w:eastAsia="zh-CN"/>
        </w:rPr>
        <w:t>安全服务</w:t>
      </w:r>
      <w:bookmarkEnd w:id="52"/>
    </w:p>
    <w:p w14:paraId="5677FDDC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3" w:name="_Toc24261"/>
      <w:r>
        <w:rPr>
          <w:rFonts w:hint="eastAsia" w:ascii="宋体" w:hAnsi="宋体" w:eastAsia="宋体" w:cs="宋体"/>
          <w:lang w:val="en-US" w:eastAsia="zh-CN"/>
        </w:rPr>
        <w:t>主机杀毒服务</w:t>
      </w:r>
      <w:bookmarkEnd w:id="53"/>
    </w:p>
    <w:p w14:paraId="3D134D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对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台云主机进行定期的病毒查杀，杀毒软件集中控制，对网络性能无影响。</w:t>
      </w:r>
    </w:p>
    <w:p w14:paraId="3956A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 w14:paraId="119AFE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Style w:val="13"/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下图为本项目杀毒部署截图，包含杀毒版本，资产地址等信息。</w:t>
      </w:r>
    </w:p>
    <w:p w14:paraId="6993A2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Style w:val="13"/>
          <w:rFonts w:hint="eastAsia" w:ascii="宋体" w:hAnsi="宋体" w:eastAsia="宋体" w:cs="宋体"/>
          <w:sz w:val="24"/>
          <w:lang w:val="en-US" w:eastAsia="zh-CN"/>
        </w:rPr>
      </w:pPr>
      <w:r>
        <w:drawing>
          <wp:inline distT="0" distB="0" distL="114300" distR="114300">
            <wp:extent cx="5265420" cy="1285875"/>
            <wp:effectExtent l="0" t="0" r="11430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CA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本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月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对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4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台云主机每月进行1次杀毒查杀工作，杀毒未发现病毒</w:t>
      </w:r>
    </w:p>
    <w:p w14:paraId="4FDC44D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lang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5265420" cy="4839970"/>
            <wp:effectExtent l="0" t="0" r="1143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1526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4" w:name="_Toc17714"/>
      <w:r>
        <w:rPr>
          <w:rFonts w:hint="eastAsia" w:ascii="宋体" w:hAnsi="宋体" w:eastAsia="宋体" w:cs="宋体"/>
          <w:lang w:val="en-US" w:eastAsia="zh-CN"/>
        </w:rPr>
        <w:t>云端抗ATP防护服务</w:t>
      </w:r>
      <w:bookmarkEnd w:id="54"/>
    </w:p>
    <w:p w14:paraId="32B387F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360" w:lineRule="auto"/>
        <w:ind w:firstLine="482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提供一套云端ATP防护服务，对未知攻击威胁进行检测和防护，发现隐蔽威胁、木马后门等异常威胁。</w:t>
      </w:r>
    </w:p>
    <w:p w14:paraId="5AE10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通过在服务器安装云端ATP防护软件实现对服务器攻击威胁的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检测和防护，发现隐蔽威胁、木马后门等异常威胁。生成本防护报告。</w:t>
      </w:r>
    </w:p>
    <w:p w14:paraId="71959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下图为本项目云主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机部署截图，如下图红框位置：</w:t>
      </w:r>
    </w:p>
    <w:p w14:paraId="7F5AC2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31130" cy="1848485"/>
            <wp:effectExtent l="0" t="0" r="7620" b="1841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56A4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5" w:name="_Toc20943"/>
      <w:r>
        <w:rPr>
          <w:rFonts w:hint="eastAsia" w:ascii="宋体" w:hAnsi="宋体" w:cs="宋体"/>
          <w:lang w:val="en-US" w:eastAsia="zh-CN"/>
        </w:rPr>
        <w:t>开源操作系统套餐</w:t>
      </w:r>
      <w:bookmarkEnd w:id="55"/>
    </w:p>
    <w:p w14:paraId="07DD48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default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开源操作系统租用、安装及维护。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提供4台云主机开源操作系统套餐。</w:t>
      </w:r>
    </w:p>
    <w:p w14:paraId="5F89B7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：通过提供开源操作系统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，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台云主机部署。</w:t>
      </w:r>
    </w:p>
    <w:p w14:paraId="241AA2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下图为192.168.185.93云主机国产操作系统部署截图，操作系统类型及版本如下图红框处，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台云主机部署方式相同：</w:t>
      </w:r>
    </w:p>
    <w:p w14:paraId="4DBE20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2245" cy="1558925"/>
            <wp:effectExtent l="0" t="0" r="14605" b="317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AF7E"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56" w:name="_Toc15100"/>
      <w:r>
        <w:rPr>
          <w:rFonts w:hint="eastAsia" w:ascii="宋体" w:hAnsi="宋体" w:cs="宋体"/>
          <w:lang w:val="en-US" w:eastAsia="zh-CN"/>
        </w:rPr>
        <w:t>云主机深度监控服务</w:t>
      </w:r>
      <w:bookmarkEnd w:id="56"/>
    </w:p>
    <w:p w14:paraId="15A98FE6"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7" w:name="_Toc9817"/>
      <w:r>
        <w:rPr>
          <w:rFonts w:hint="eastAsia" w:ascii="宋体" w:hAnsi="宋体" w:eastAsia="宋体" w:cs="宋体"/>
          <w:lang w:val="en-US" w:eastAsia="zh-CN"/>
        </w:rPr>
        <w:t>7*24小时云主机深度监控服务</w:t>
      </w:r>
      <w:bookmarkEnd w:id="57"/>
    </w:p>
    <w:p w14:paraId="380DE4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在主机中部署探针深度监测主机运行情况。提供7x24小时运维值守、30分钟内应急响应，不仅限于机房巡检、云平台和硬件监控，同时提供应急问题排查协助、协助处理应用故障等服务，并提供相关报告。每月提供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台云主机深度监控服务。</w:t>
      </w:r>
    </w:p>
    <w:p w14:paraId="0E23F8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 w14:paraId="1261B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 w14:paraId="77150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 w14:paraId="11487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。</w:t>
      </w:r>
    </w:p>
    <w:p w14:paraId="70714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 w14:paraId="0EF7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lang w:val="en-US" w:eastAsia="zh-CN"/>
        </w:rPr>
        <w:t>下表为</w:t>
      </w:r>
      <w:r>
        <w:rPr>
          <w:rFonts w:hint="eastAsia" w:ascii="宋体" w:hAnsi="宋体" w:cs="宋体"/>
          <w:lang w:val="en-US" w:eastAsia="zh-CN"/>
        </w:rPr>
        <w:t>本</w:t>
      </w:r>
      <w:r>
        <w:rPr>
          <w:rFonts w:hint="eastAsia" w:ascii="宋体" w:hAnsi="宋体" w:eastAsia="宋体" w:cs="宋体"/>
          <w:lang w:val="en-US" w:eastAsia="zh-CN"/>
        </w:rPr>
        <w:t>月云主机7*24小时值</w:t>
      </w:r>
      <w:r>
        <w:rPr>
          <w:rFonts w:hint="eastAsia"/>
          <w:lang w:val="en-US" w:eastAsia="zh-CN"/>
        </w:rPr>
        <w:t>班监控表：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004"/>
        <w:gridCol w:w="2164"/>
        <w:gridCol w:w="2218"/>
      </w:tblGrid>
      <w:tr w14:paraId="43D28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79B6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A667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1AA98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12C95A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是否正常</w:t>
            </w:r>
          </w:p>
        </w:tc>
      </w:tr>
      <w:tr w14:paraId="08BC8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533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D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47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E3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AA0F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7C4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A2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E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54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C4D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46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E9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91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C0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0A9B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1F7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46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8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15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4D82F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C22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9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85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89D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93B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EE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2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8C12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7D8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A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05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C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BDA9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4A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8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AB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3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E0A9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6F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36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BD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D0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CBE3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A3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6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5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AD7A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1C0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E4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5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F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F2F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AB6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4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7D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BA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17B7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999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06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C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F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47640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496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9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16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2C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C29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B72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C2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5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A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B2F6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31E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58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1E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F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4DA6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5D1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D0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A6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F6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BDDD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988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D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04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94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3829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849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AB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09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93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90C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C9A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43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77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0D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DC16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9C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1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66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9F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A75F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7C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5B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D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B1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9253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A82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2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21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F0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20E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441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73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04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4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47C2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DB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A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6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0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7DAD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D1F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41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22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7A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2DD1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657C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4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F5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4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5781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0C7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B9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7A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03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C28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C47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B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39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F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886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3F4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A0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84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7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B37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EDD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云主机深度监控：正常</w:t>
            </w:r>
          </w:p>
        </w:tc>
      </w:tr>
    </w:tbl>
    <w:p w14:paraId="121B3D77"/>
    <w:p w14:paraId="1E071DE8"/>
    <w:p w14:paraId="1FDE6F1F"/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CA12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C7D2E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C7D2E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BCED9">
    <w:pPr>
      <w:pStyle w:val="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0F380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0F380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76B7C">
    <w:pPr>
      <w:pStyle w:val="6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408" w:lineRule="auto"/>
      <w:ind w:firstLine="420"/>
      <w:jc w:val="right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-77470</wp:posOffset>
          </wp:positionV>
          <wp:extent cx="736600" cy="211455"/>
          <wp:effectExtent l="0" t="0" r="6350" b="1714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E83E46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CA0E4"/>
    <w:multiLevelType w:val="multilevel"/>
    <w:tmpl w:val="925CA0E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C5AAA25F"/>
    <w:multiLevelType w:val="multilevel"/>
    <w:tmpl w:val="C5AAA25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55505571"/>
    <w:multiLevelType w:val="multilevel"/>
    <w:tmpl w:val="55505571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yYTE2MGE1OGI4Y2ViMDUwZDNjOGQyYmY2NmU3MWUifQ=="/>
  </w:docVars>
  <w:rsids>
    <w:rsidRoot w:val="00000000"/>
    <w:rsid w:val="074055F9"/>
    <w:rsid w:val="127B1E1C"/>
    <w:rsid w:val="15B7178D"/>
    <w:rsid w:val="1B6B3888"/>
    <w:rsid w:val="25555965"/>
    <w:rsid w:val="26F0333C"/>
    <w:rsid w:val="29B56EC8"/>
    <w:rsid w:val="367B2212"/>
    <w:rsid w:val="3745665C"/>
    <w:rsid w:val="3B042A36"/>
    <w:rsid w:val="3C9A5DA1"/>
    <w:rsid w:val="41310920"/>
    <w:rsid w:val="41864AA4"/>
    <w:rsid w:val="4338412B"/>
    <w:rsid w:val="43DD2242"/>
    <w:rsid w:val="4D2B4542"/>
    <w:rsid w:val="4F85699A"/>
    <w:rsid w:val="538D395E"/>
    <w:rsid w:val="56533865"/>
    <w:rsid w:val="5C612A7E"/>
    <w:rsid w:val="5DBA6697"/>
    <w:rsid w:val="5F2A1C9F"/>
    <w:rsid w:val="69574B58"/>
    <w:rsid w:val="70917772"/>
    <w:rsid w:val="75DC370D"/>
    <w:rsid w:val="7DAB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ind w:left="403" w:hanging="403"/>
      <w:jc w:val="left"/>
      <w:outlineLvl w:val="0"/>
    </w:pPr>
    <w:rPr>
      <w:rFonts w:ascii="Arial" w:hAnsi="Arial" w:cs="Arial"/>
      <w:bCs/>
      <w:kern w:val="44"/>
      <w:sz w:val="28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2"/>
      </w:numPr>
      <w:spacing w:before="120" w:after="120" w:line="360" w:lineRule="auto"/>
      <w:ind w:left="425" w:firstLine="403"/>
      <w:jc w:val="left"/>
      <w:outlineLvl w:val="1"/>
    </w:pPr>
    <w:rPr>
      <w:rFonts w:ascii="微软雅黑" w:hAnsi="微软雅黑" w:cs="微软雅黑"/>
      <w:sz w:val="28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unhideWhenUsed/>
    <w:qFormat/>
    <w:uiPriority w:val="39"/>
    <w:pPr>
      <w:ind w:left="98" w:leftChars="41"/>
    </w:pPr>
    <w:rPr>
      <w:rFonts w:ascii="宋体" w:hAnsi="宋体" w:eastAsia="宋体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normal_para"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3">
    <w:name w:val="special_para"/>
    <w:qFormat/>
    <w:uiPriority w:val="0"/>
    <w:rPr>
      <w:rFonts w:ascii="宋体" w:hAnsi="宋体" w:eastAsia="宋体"/>
      <w:sz w:val="24"/>
    </w:rPr>
  </w:style>
  <w:style w:type="character" w:customStyle="1" w:styleId="14">
    <w:name w:val="font11"/>
    <w:basedOn w:val="11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5">
    <w:name w:val="font31"/>
    <w:basedOn w:val="1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6">
    <w:name w:val="font21"/>
    <w:basedOn w:val="1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898</Words>
  <Characters>1072</Characters>
  <Lines>0</Lines>
  <Paragraphs>0</Paragraphs>
  <TotalTime>5</TotalTime>
  <ScaleCrop>false</ScaleCrop>
  <LinksUpToDate>false</LinksUpToDate>
  <CharactersWithSpaces>1161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鲁翩翩</cp:lastModifiedBy>
  <dcterms:modified xsi:type="dcterms:W3CDTF">2025-12-11T02:56:49Z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E41255D9E8B945E4AFAD60E64027FC06_13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