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宋体" w:hAnsi="宋体" w:eastAsia="宋体" w:cs="宋体"/>
          <w:sz w:val="36"/>
          <w:szCs w:val="36"/>
          <w:lang w:val="en-US" w:eastAsia="zh"/>
        </w:rPr>
      </w:pPr>
      <w:r>
        <w:rPr>
          <w:rFonts w:hint="eastAsia" w:ascii="宋体" w:hAnsi="宋体" w:eastAsia="宋体" w:cs="宋体"/>
          <w:sz w:val="36"/>
          <w:szCs w:val="36"/>
          <w:lang w:val="en-US" w:eastAsia="zh"/>
        </w:rPr>
        <w:t xml:space="preserve"> 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lang w:val="en-US"/>
        </w:rPr>
      </w:pPr>
      <w:r>
        <w:rPr>
          <w:rFonts w:hint="eastAsia" w:ascii="宋体" w:hAnsi="宋体" w:cs="宋体"/>
          <w:b/>
          <w:sz w:val="36"/>
          <w:szCs w:val="36"/>
          <w:lang w:val="en-US" w:eastAsia="zh-CN"/>
        </w:rPr>
        <w:t>2025年北京市</w:t>
      </w:r>
      <w:bookmarkStart w:id="0" w:name="OLE_LINK5"/>
      <w:r>
        <w:rPr>
          <w:rFonts w:hint="eastAsia" w:ascii="宋体" w:hAnsi="宋体" w:cs="宋体"/>
          <w:b/>
          <w:sz w:val="36"/>
          <w:szCs w:val="36"/>
          <w:lang w:val="en-US" w:eastAsia="zh-CN"/>
        </w:rPr>
        <w:t>大数据</w:t>
      </w:r>
      <w:bookmarkEnd w:id="0"/>
      <w:r>
        <w:rPr>
          <w:rFonts w:hint="eastAsia" w:ascii="宋体" w:hAnsi="宋体" w:cs="宋体"/>
          <w:b/>
          <w:sz w:val="36"/>
          <w:szCs w:val="36"/>
          <w:lang w:val="en-US" w:eastAsia="zh-CN"/>
        </w:rPr>
        <w:t>平台运行服务项目政务云服务合同--</w:t>
      </w:r>
      <w:r>
        <w:rPr>
          <w:rFonts w:hint="eastAsia" w:ascii="宋体" w:hAnsi="宋体" w:eastAsia="宋体" w:cs="宋体"/>
          <w:b/>
          <w:sz w:val="36"/>
          <w:szCs w:val="36"/>
          <w:lang w:val="en-US" w:eastAsia="zh-CN"/>
        </w:rPr>
        <w:t>政务云月度运维报告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</w:p>
    <w:p>
      <w:pPr>
        <w:bidi w:val="0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北京金山云网络技术有限公司</w:t>
      </w:r>
    </w:p>
    <w:p>
      <w:pPr>
        <w:pStyle w:val="7"/>
        <w:pageBreakBefore w:val="0"/>
        <w:tabs>
          <w:tab w:val="left" w:pos="960"/>
          <w:tab w:val="right" w:leader="dot" w:pos="8296"/>
        </w:tabs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="宋体" w:hAnsi="宋体" w:eastAsia="宋体" w:cs="宋体"/>
          <w:b/>
          <w:bCs w:val="0"/>
          <w:caps w:val="0"/>
          <w:sz w:val="36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aps w:val="0"/>
          <w:sz w:val="36"/>
          <w:szCs w:val="36"/>
          <w:lang w:val="en-US" w:eastAsia="zh-CN" w:bidi="ar-SA"/>
        </w:rPr>
        <w:t>202</w:t>
      </w:r>
      <w:r>
        <w:rPr>
          <w:rFonts w:hint="eastAsia" w:cs="宋体"/>
          <w:b/>
          <w:bCs w:val="0"/>
          <w:caps w:val="0"/>
          <w:sz w:val="36"/>
          <w:szCs w:val="36"/>
          <w:lang w:val="en-US" w:eastAsia="zh-CN" w:bidi="ar-SA"/>
        </w:rPr>
        <w:t>5</w:t>
      </w:r>
      <w:r>
        <w:rPr>
          <w:rFonts w:hint="eastAsia" w:ascii="宋体" w:hAnsi="宋体" w:eastAsia="宋体" w:cs="宋体"/>
          <w:b/>
          <w:bCs w:val="0"/>
          <w:caps w:val="0"/>
          <w:sz w:val="36"/>
          <w:szCs w:val="36"/>
          <w:lang w:val="en-US" w:eastAsia="zh-CN" w:bidi="ar-SA"/>
        </w:rPr>
        <w:t>年</w:t>
      </w:r>
      <w:r>
        <w:rPr>
          <w:rFonts w:hint="eastAsia" w:cs="宋体"/>
          <w:b/>
          <w:bCs w:val="0"/>
          <w:caps w:val="0"/>
          <w:sz w:val="36"/>
          <w:szCs w:val="36"/>
          <w:lang w:val="en-US" w:eastAsia="zh-CN" w:bidi="ar-SA"/>
        </w:rPr>
        <w:t>11</w:t>
      </w:r>
      <w:r>
        <w:rPr>
          <w:rFonts w:hint="eastAsia" w:ascii="宋体" w:hAnsi="宋体" w:eastAsia="宋体" w:cs="宋体"/>
          <w:b/>
          <w:bCs w:val="0"/>
          <w:caps w:val="0"/>
          <w:sz w:val="36"/>
          <w:szCs w:val="36"/>
          <w:lang w:val="en-US" w:eastAsia="zh-CN" w:bidi="ar-SA"/>
        </w:rPr>
        <w:t>月</w:t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="宋体" w:hAnsi="宋体" w:eastAsia="宋体" w:cs="宋体"/>
          <w:b/>
          <w:bCs/>
          <w:caps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br w:type="page"/>
      </w:r>
    </w:p>
    <w:p>
      <w:pPr>
        <w:pStyle w:val="3"/>
        <w:pageBreakBefore w:val="0"/>
        <w:kinsoku/>
        <w:wordWrap/>
        <w:topLinePunct w:val="0"/>
        <w:autoSpaceDE/>
        <w:autoSpaceDN/>
        <w:bidi w:val="0"/>
        <w:spacing w:line="360" w:lineRule="auto"/>
        <w:ind w:left="-200" w:leftChars="0" w:firstLine="200" w:firstLineChars="0"/>
        <w:jc w:val="center"/>
        <w:rPr>
          <w:rFonts w:hint="eastAsia" w:ascii="宋体" w:hAnsi="宋体" w:eastAsia="宋体" w:cs="宋体"/>
          <w:sz w:val="36"/>
          <w:szCs w:val="36"/>
        </w:rPr>
        <w:sectPr>
          <w:headerReference r:id="rId5" w:type="default"/>
          <w:footerReference r:id="rId6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</w:pPr>
      <w:bookmarkStart w:id="19" w:name="_GoBack"/>
      <w:bookmarkEnd w:id="19"/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目录</w:t>
      </w:r>
    </w:p>
    <w:p>
      <w:pPr>
        <w:pStyle w:val="7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TOC \o "1-3" \h \z \u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_Toc19849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一、 </w:t>
      </w:r>
      <w:r>
        <w:rPr>
          <w:rFonts w:hint="eastAsia" w:ascii="宋体" w:hAnsi="宋体" w:eastAsia="宋体" w:cs="宋体"/>
        </w:rPr>
        <w:t>基础资源台账概况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_Toc19849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_Toc8350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二、 </w:t>
      </w:r>
      <w:r>
        <w:rPr>
          <w:rFonts w:hint="eastAsia" w:ascii="宋体" w:hAnsi="宋体" w:eastAsia="宋体" w:cs="宋体"/>
        </w:rPr>
        <w:t>本月技术支撑统计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_Toc8350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_Toc32320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三、 </w:t>
      </w:r>
      <w:r>
        <w:rPr>
          <w:rFonts w:hint="eastAsia" w:ascii="宋体" w:hAnsi="宋体" w:eastAsia="宋体" w:cs="宋体"/>
        </w:rPr>
        <w:t>业务系统资源使用情况统计（CPU、内存、存储）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_Toc32320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_Toc26516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四、 </w:t>
      </w:r>
      <w:r>
        <w:rPr>
          <w:rFonts w:hint="eastAsia" w:ascii="宋体" w:hAnsi="宋体" w:eastAsia="宋体" w:cs="宋体"/>
          <w:lang w:val="en-US" w:eastAsia="zh-CN"/>
        </w:rPr>
        <w:t>计算服务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_Toc26516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_Toc4993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bCs w:val="0"/>
          <w:kern w:val="2"/>
          <w:szCs w:val="28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</w:rPr>
        <w:t>CPU使用率详情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_Toc4993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_Toc14702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bCs w:val="0"/>
          <w:kern w:val="2"/>
          <w:szCs w:val="28"/>
        </w:rPr>
        <w:t xml:space="preserve">2． </w:t>
      </w:r>
      <w:r>
        <w:rPr>
          <w:rFonts w:hint="eastAsia" w:ascii="宋体" w:hAnsi="宋体" w:eastAsia="宋体" w:cs="宋体"/>
          <w:bCs w:val="0"/>
          <w:kern w:val="2"/>
          <w:szCs w:val="22"/>
        </w:rPr>
        <w:t>内存使用率详情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_Toc14702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_Toc28926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五、 </w:t>
      </w:r>
      <w:r>
        <w:rPr>
          <w:rFonts w:hint="eastAsia" w:ascii="宋体" w:hAnsi="宋体" w:eastAsia="宋体" w:cs="宋体"/>
          <w:lang w:val="en-US" w:eastAsia="zh-CN"/>
        </w:rPr>
        <w:t>存储服务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_Toc28926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_Toc5732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</w:rPr>
        <w:t>磁盘使用率详情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_Toc5732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_Toc10658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六、 </w:t>
      </w:r>
      <w:r>
        <w:rPr>
          <w:rFonts w:hint="eastAsia" w:ascii="宋体" w:hAnsi="宋体" w:eastAsia="宋体" w:cs="宋体"/>
          <w:lang w:val="en-US" w:eastAsia="zh-CN"/>
        </w:rPr>
        <w:t>远程接入服务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_Toc10658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_Toc10310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七、 </w:t>
      </w:r>
      <w:r>
        <w:rPr>
          <w:rFonts w:hint="eastAsia" w:ascii="宋体" w:hAnsi="宋体" w:eastAsia="宋体" w:cs="宋体"/>
          <w:lang w:val="en-US" w:eastAsia="zh-CN"/>
        </w:rPr>
        <w:t>云主机深度监控服务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_Toc10310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_Toc31537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bCs w:val="0"/>
          <w:kern w:val="2"/>
          <w:szCs w:val="28"/>
          <w:lang w:eastAsia="zh-CN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7*24小时云主机深度监控服务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_Toc31537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spacing w:line="360" w:lineRule="auto"/>
        <w:rPr>
          <w:rFonts w:hint="eastAsia" w:ascii="宋体" w:hAnsi="宋体" w:eastAsia="宋体" w:cs="宋体"/>
        </w:rPr>
        <w:sectPr>
          <w:headerReference r:id="rId7" w:type="default"/>
          <w:footerReference r:id="rId8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sz w:val="28"/>
        </w:rPr>
      </w:pPr>
      <w:bookmarkStart w:id="1" w:name="_Toc19849"/>
      <w:r>
        <w:rPr>
          <w:rFonts w:hint="eastAsia" w:ascii="宋体" w:hAnsi="宋体" w:eastAsia="宋体" w:cs="宋体"/>
          <w:b w:val="0"/>
          <w:sz w:val="28"/>
        </w:rPr>
        <w:t>基础资源台账概况</w:t>
      </w:r>
      <w:bookmarkEnd w:id="1"/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bookmarkStart w:id="2" w:name="OLE_LINK1"/>
      <w:bookmarkStart w:id="3" w:name="OLE_LINK3"/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北京市大数据</w:t>
      </w:r>
      <w:bookmarkEnd w:id="2"/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平台</w:t>
      </w:r>
      <w:bookmarkEnd w:id="3"/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运行服务项目政务云服务合同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共有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个业务系统在北京市级政务云金山云平台（以下简称“金山云”）运行,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台云主机，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184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颗CPU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736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GB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内存，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8850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GB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普通性能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存储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tbl>
      <w:tblPr>
        <w:tblStyle w:val="9"/>
        <w:tblW w:w="493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615"/>
        <w:gridCol w:w="1792"/>
        <w:gridCol w:w="953"/>
        <w:gridCol w:w="1082"/>
        <w:gridCol w:w="12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446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4" w:name="_Toc8350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555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名称</w:t>
            </w:r>
          </w:p>
        </w:tc>
        <w:tc>
          <w:tcPr>
            <w:tcW w:w="1066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浮动IP</w:t>
            </w:r>
          </w:p>
        </w:tc>
        <w:tc>
          <w:tcPr>
            <w:tcW w:w="566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643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内存(GB)</w:t>
            </w:r>
          </w:p>
        </w:tc>
        <w:tc>
          <w:tcPr>
            <w:tcW w:w="720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普通性能存储（GB）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4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北京市大数据中心-帆软应用服务器</w:t>
            </w:r>
          </w:p>
        </w:tc>
        <w:tc>
          <w:tcPr>
            <w:tcW w:w="10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192.169.206.168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4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2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4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北京市大数据中心-帆软运维服务器</w:t>
            </w:r>
          </w:p>
        </w:tc>
        <w:tc>
          <w:tcPr>
            <w:tcW w:w="10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192.169.206.101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4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2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4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北京市大数据中心-集约化应用服务器-1</w:t>
            </w:r>
          </w:p>
        </w:tc>
        <w:tc>
          <w:tcPr>
            <w:tcW w:w="10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192.169.206.53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4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72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4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北京市大数据中心-集约化应用服务器-2</w:t>
            </w:r>
          </w:p>
        </w:tc>
        <w:tc>
          <w:tcPr>
            <w:tcW w:w="10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192.169.201.27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4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72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4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5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北京市大数据中心-集约化应用服务器-3</w:t>
            </w:r>
          </w:p>
        </w:tc>
        <w:tc>
          <w:tcPr>
            <w:tcW w:w="10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4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72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4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5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北京市大数据中心-集约化应用服务器-4</w:t>
            </w:r>
          </w:p>
        </w:tc>
        <w:tc>
          <w:tcPr>
            <w:tcW w:w="10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192.169.206.60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4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72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4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5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北京市大数据中心-集约化应用服务器-5</w:t>
            </w:r>
          </w:p>
        </w:tc>
        <w:tc>
          <w:tcPr>
            <w:tcW w:w="10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192.169.206.74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4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72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068" w:type="pct"/>
            <w:gridSpan w:val="3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合计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</w:t>
            </w:r>
          </w:p>
        </w:tc>
        <w:tc>
          <w:tcPr>
            <w:tcW w:w="64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736</w:t>
            </w:r>
          </w:p>
        </w:tc>
        <w:tc>
          <w:tcPr>
            <w:tcW w:w="72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8850</w:t>
            </w:r>
          </w:p>
        </w:tc>
      </w:tr>
    </w:tbl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本月技术支撑统计</w:t>
      </w:r>
      <w:bookmarkEnd w:id="4"/>
    </w:p>
    <w:tbl>
      <w:tblPr>
        <w:tblStyle w:val="9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3183"/>
        <w:gridCol w:w="3254"/>
      </w:tblGrid>
      <w:tr>
        <w:trPr>
          <w:trHeight w:val="359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工作类型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需求处理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</w:tbl>
    <w:p>
      <w:pPr>
        <w:pStyle w:val="2"/>
        <w:rPr>
          <w:rFonts w:hint="eastAsia" w:ascii="宋体" w:hAnsi="宋体" w:eastAsia="宋体" w:cs="宋体"/>
        </w:rPr>
      </w:pPr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44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</w:rPr>
        <w:sectPr>
          <w:footerReference r:id="rId9" w:type="default"/>
          <w:pgSz w:w="11906" w:h="16838"/>
          <w:pgMar w:top="1440" w:right="1803" w:bottom="1440" w:left="1803" w:header="851" w:footer="992" w:gutter="0"/>
          <w:pgNumType w:fmt="decimal" w:start="1"/>
          <w:cols w:space="0" w:num="1"/>
          <w:rtlGutter w:val="0"/>
          <w:docGrid w:type="lines" w:linePitch="317" w:charSpace="0"/>
        </w:sectPr>
      </w:pPr>
    </w:p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</w:rPr>
      </w:pPr>
      <w:bookmarkStart w:id="5" w:name="_Toc32320"/>
      <w:r>
        <w:rPr>
          <w:rFonts w:hint="eastAsia" w:ascii="宋体" w:hAnsi="宋体" w:eastAsia="宋体" w:cs="宋体"/>
        </w:rPr>
        <w:t>业务系统资源使用情况统计（CPU、内存、存储）</w:t>
      </w:r>
      <w:bookmarkEnd w:id="5"/>
    </w:p>
    <w:tbl>
      <w:tblPr>
        <w:tblStyle w:val="9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6" w:name="OLE_LINK2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  <w:bookmarkEnd w:id="6"/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10.13 </w:t>
            </w:r>
          </w:p>
        </w:tc>
      </w:tr>
    </w:tbl>
    <w:p>
      <w:pPr>
        <w:spacing w:line="360" w:lineRule="auto"/>
        <w:rPr>
          <w:rFonts w:hint="eastAsia" w:ascii="宋体" w:hAnsi="宋体" w:eastAsia="宋体" w:cs="宋体"/>
        </w:rPr>
      </w:pPr>
    </w:p>
    <w:tbl>
      <w:tblPr>
        <w:tblStyle w:val="9"/>
        <w:tblW w:w="827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tblHeader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736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44.72 </w:t>
            </w:r>
          </w:p>
        </w:tc>
      </w:tr>
    </w:tbl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</w:p>
    <w:tbl>
      <w:tblPr>
        <w:tblStyle w:val="9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7" w:name="OLE_LINK4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  <w:bookmarkEnd w:id="7"/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8850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19.06 </w:t>
            </w:r>
          </w:p>
        </w:tc>
      </w:tr>
    </w:tbl>
    <w:p>
      <w:pPr>
        <w:widowControl/>
        <w:spacing w:line="360" w:lineRule="auto"/>
        <w:jc w:val="left"/>
        <w:rPr>
          <w:rFonts w:hint="eastAsia" w:ascii="宋体" w:hAnsi="宋体" w:eastAsia="宋体" w:cs="宋体"/>
          <w:sz w:val="32"/>
          <w:szCs w:val="32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  <w:r>
        <w:rPr>
          <w:rFonts w:hint="eastAsia" w:ascii="宋体" w:hAnsi="宋体" w:eastAsia="宋体" w:cs="宋体"/>
          <w:sz w:val="32"/>
          <w:szCs w:val="32"/>
        </w:rPr>
        <w:br w:type="page"/>
      </w:r>
    </w:p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  <w:lang w:val="en-US" w:eastAsia="zh-CN"/>
        </w:rPr>
      </w:pPr>
      <w:bookmarkStart w:id="8" w:name="_Toc26516"/>
      <w:r>
        <w:rPr>
          <w:rFonts w:hint="eastAsia" w:ascii="宋体" w:hAnsi="宋体" w:eastAsia="宋体" w:cs="宋体"/>
          <w:lang w:val="en-US" w:eastAsia="zh-CN"/>
        </w:rPr>
        <w:t>计算服务</w:t>
      </w:r>
      <w:bookmarkEnd w:id="8"/>
    </w:p>
    <w:p>
      <w:pPr>
        <w:pStyle w:val="4"/>
        <w:keepNext/>
        <w:keepLines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bookmarkStart w:id="9" w:name="_Toc27974732"/>
      <w:bookmarkEnd w:id="9"/>
      <w:bookmarkStart w:id="10" w:name="_Toc34654844"/>
      <w:bookmarkEnd w:id="10"/>
      <w:bookmarkStart w:id="11" w:name="_Toc4993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  <w:t>CPU使用率详情</w:t>
      </w:r>
      <w:bookmarkEnd w:id="11"/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下表为本月云主机cpu使用率详情，各主机CPU使用率符合经信局要求：</w:t>
      </w:r>
    </w:p>
    <w:tbl>
      <w:tblPr>
        <w:tblStyle w:val="9"/>
        <w:tblW w:w="51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555"/>
        <w:gridCol w:w="2204"/>
        <w:gridCol w:w="1800"/>
        <w:gridCol w:w="540"/>
        <w:gridCol w:w="1009"/>
        <w:gridCol w:w="1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414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878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45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16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主机地址</w:t>
            </w:r>
          </w:p>
        </w:tc>
        <w:tc>
          <w:tcPr>
            <w:tcW w:w="305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569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CPU平均使用率（%）</w:t>
            </w:r>
          </w:p>
        </w:tc>
        <w:tc>
          <w:tcPr>
            <w:tcW w:w="570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7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2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北京市大数据中心-帆软应用服务器</w:t>
            </w:r>
          </w:p>
        </w:tc>
        <w:tc>
          <w:tcPr>
            <w:tcW w:w="10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192.169.206.168</w:t>
            </w:r>
          </w:p>
        </w:tc>
        <w:tc>
          <w:tcPr>
            <w:tcW w:w="30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6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12.74 </w:t>
            </w:r>
          </w:p>
        </w:tc>
        <w:tc>
          <w:tcPr>
            <w:tcW w:w="5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7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2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北京市大数据中心-帆软运维服务器</w:t>
            </w:r>
          </w:p>
        </w:tc>
        <w:tc>
          <w:tcPr>
            <w:tcW w:w="10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192.169.206.101</w:t>
            </w:r>
          </w:p>
        </w:tc>
        <w:tc>
          <w:tcPr>
            <w:tcW w:w="30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6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3.06 </w:t>
            </w:r>
          </w:p>
        </w:tc>
        <w:tc>
          <w:tcPr>
            <w:tcW w:w="5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87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2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北京市大数据中心-集约化应用服务器-1</w:t>
            </w:r>
          </w:p>
        </w:tc>
        <w:tc>
          <w:tcPr>
            <w:tcW w:w="10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192.169.206.53</w:t>
            </w:r>
          </w:p>
        </w:tc>
        <w:tc>
          <w:tcPr>
            <w:tcW w:w="30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6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11.11 </w:t>
            </w:r>
          </w:p>
        </w:tc>
        <w:tc>
          <w:tcPr>
            <w:tcW w:w="5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2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北京市大数据中心-集约化应用服务器-2</w:t>
            </w:r>
          </w:p>
        </w:tc>
        <w:tc>
          <w:tcPr>
            <w:tcW w:w="10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192.169.201.27</w:t>
            </w:r>
          </w:p>
        </w:tc>
        <w:tc>
          <w:tcPr>
            <w:tcW w:w="30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6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10.80 </w:t>
            </w:r>
          </w:p>
        </w:tc>
        <w:tc>
          <w:tcPr>
            <w:tcW w:w="5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87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2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北京市大数据中心-集约化应用服务器-3</w:t>
            </w:r>
          </w:p>
        </w:tc>
        <w:tc>
          <w:tcPr>
            <w:tcW w:w="10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</w:t>
            </w:r>
          </w:p>
        </w:tc>
        <w:tc>
          <w:tcPr>
            <w:tcW w:w="30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6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11.02 </w:t>
            </w:r>
          </w:p>
        </w:tc>
        <w:tc>
          <w:tcPr>
            <w:tcW w:w="5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87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2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北京市大数据中心-集约化应用服务器-4</w:t>
            </w:r>
          </w:p>
        </w:tc>
        <w:tc>
          <w:tcPr>
            <w:tcW w:w="10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192.169.206.60</w:t>
            </w:r>
          </w:p>
        </w:tc>
        <w:tc>
          <w:tcPr>
            <w:tcW w:w="30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6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11.02 </w:t>
            </w:r>
          </w:p>
        </w:tc>
        <w:tc>
          <w:tcPr>
            <w:tcW w:w="5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87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2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北京市大数据中心-集约化应用服务器-5</w:t>
            </w:r>
          </w:p>
        </w:tc>
        <w:tc>
          <w:tcPr>
            <w:tcW w:w="10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192.169.206.74</w:t>
            </w:r>
          </w:p>
        </w:tc>
        <w:tc>
          <w:tcPr>
            <w:tcW w:w="30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6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11.14 </w:t>
            </w:r>
          </w:p>
        </w:tc>
        <w:tc>
          <w:tcPr>
            <w:tcW w:w="5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bookmarkStart w:id="12" w:name="_Toc14702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  <w:t>内存使用率详情</w:t>
      </w:r>
      <w:bookmarkEnd w:id="12"/>
    </w:p>
    <w:p>
      <w:pPr>
        <w:shd w:val="clear"/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下表为本月云主机内存使用率详情，各主机内存使用率符合经信局要求：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"/>
        <w:gridCol w:w="1454"/>
        <w:gridCol w:w="1996"/>
        <w:gridCol w:w="1801"/>
        <w:gridCol w:w="736"/>
        <w:gridCol w:w="976"/>
        <w:gridCol w:w="11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259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853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71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56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主机地址</w:t>
            </w:r>
          </w:p>
        </w:tc>
        <w:tc>
          <w:tcPr>
            <w:tcW w:w="431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内存(GB)</w:t>
            </w:r>
          </w:p>
        </w:tc>
        <w:tc>
          <w:tcPr>
            <w:tcW w:w="572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内存平均使用率（%）</w:t>
            </w:r>
          </w:p>
        </w:tc>
        <w:tc>
          <w:tcPr>
            <w:tcW w:w="654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17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北京市大数据中心-帆软应用服务器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192.169.206.168</w:t>
            </w:r>
          </w:p>
        </w:tc>
        <w:tc>
          <w:tcPr>
            <w:tcW w:w="4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7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45.77 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55.82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17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北京市大数据中心-帆软运维服务器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192.169.206.101</w:t>
            </w:r>
          </w:p>
        </w:tc>
        <w:tc>
          <w:tcPr>
            <w:tcW w:w="4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7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7.47 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17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北京市大数据中心-集约化应用服务器-1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192.169.206.53</w:t>
            </w:r>
          </w:p>
        </w:tc>
        <w:tc>
          <w:tcPr>
            <w:tcW w:w="4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7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61.96 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62.55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17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北京市大数据中心-集约化应用服务器-2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192.169.201.27</w:t>
            </w:r>
          </w:p>
        </w:tc>
        <w:tc>
          <w:tcPr>
            <w:tcW w:w="4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7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6.61 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17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北京市大数据中心-集约化应用服务器-3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</w:t>
            </w:r>
          </w:p>
        </w:tc>
        <w:tc>
          <w:tcPr>
            <w:tcW w:w="4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7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68.64 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70.05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17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北京市大数据中心-集约化应用服务器-4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192.169.206.60</w:t>
            </w:r>
          </w:p>
        </w:tc>
        <w:tc>
          <w:tcPr>
            <w:tcW w:w="4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7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60.19 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17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北京市大数据中心-集约化应用服务器-5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192.169.206.74</w:t>
            </w:r>
          </w:p>
        </w:tc>
        <w:tc>
          <w:tcPr>
            <w:tcW w:w="4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7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62.39 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63.13 </w:t>
            </w:r>
          </w:p>
        </w:tc>
      </w:tr>
    </w:tbl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  <w:lang w:val="en-US" w:eastAsia="zh-CN"/>
        </w:rPr>
      </w:pPr>
      <w:bookmarkStart w:id="13" w:name="_Toc28926"/>
      <w:r>
        <w:rPr>
          <w:rFonts w:hint="eastAsia" w:ascii="宋体" w:hAnsi="宋体" w:eastAsia="宋体" w:cs="宋体"/>
          <w:lang w:val="en-US" w:eastAsia="zh-CN"/>
        </w:rPr>
        <w:t>存储服务</w:t>
      </w:r>
      <w:bookmarkEnd w:id="13"/>
    </w:p>
    <w:p>
      <w:pPr>
        <w:pStyle w:val="4"/>
        <w:keepNext/>
        <w:keepLines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bookmarkStart w:id="14" w:name="_Toc5732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  <w:t>磁盘使用率详情</w:t>
      </w:r>
      <w:bookmarkEnd w:id="14"/>
      <w:bookmarkStart w:id="15" w:name="_Toc21919"/>
    </w:p>
    <w:p>
      <w:pPr>
        <w:shd w:val="clear"/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下表为本月云主机高性能存储使用率详情，各主机高性能存储使用率符合经信局要求：</w:t>
      </w:r>
    </w:p>
    <w:tbl>
      <w:tblPr>
        <w:tblStyle w:val="9"/>
        <w:tblW w:w="517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759"/>
        <w:gridCol w:w="2513"/>
        <w:gridCol w:w="1854"/>
        <w:gridCol w:w="969"/>
        <w:gridCol w:w="11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353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996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424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50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主机地址</w:t>
            </w:r>
          </w:p>
        </w:tc>
        <w:tc>
          <w:tcPr>
            <w:tcW w:w="549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普通性能存储（GB）</w:t>
            </w:r>
          </w:p>
        </w:tc>
        <w:tc>
          <w:tcPr>
            <w:tcW w:w="625" w:type="pct"/>
            <w:shd w:val="clear" w:color="auto" w:fill="BEBEBE" w:themeFill="background1" w:themeFillShade="B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9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4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北京市大数据中心-帆软应用服务器</w:t>
            </w:r>
          </w:p>
        </w:tc>
        <w:tc>
          <w:tcPr>
            <w:tcW w:w="105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192.169.206.168</w:t>
            </w:r>
          </w:p>
        </w:tc>
        <w:tc>
          <w:tcPr>
            <w:tcW w:w="5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62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62.40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9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4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北京市大数据中心-帆软运维服务器</w:t>
            </w:r>
          </w:p>
        </w:tc>
        <w:tc>
          <w:tcPr>
            <w:tcW w:w="105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192.169.206.101</w:t>
            </w:r>
          </w:p>
        </w:tc>
        <w:tc>
          <w:tcPr>
            <w:tcW w:w="5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62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59.54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9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4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北京市大数据中心-集约化应用服务器-1</w:t>
            </w:r>
          </w:p>
        </w:tc>
        <w:tc>
          <w:tcPr>
            <w:tcW w:w="105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192.169.206.53</w:t>
            </w:r>
          </w:p>
        </w:tc>
        <w:tc>
          <w:tcPr>
            <w:tcW w:w="5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62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9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4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北京市大数据中心-集约化应用服务器-2</w:t>
            </w:r>
          </w:p>
        </w:tc>
        <w:tc>
          <w:tcPr>
            <w:tcW w:w="105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192.169.201.27</w:t>
            </w:r>
          </w:p>
        </w:tc>
        <w:tc>
          <w:tcPr>
            <w:tcW w:w="5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62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37.20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99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4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北京市大数据中心-集约化应用服务器-3</w:t>
            </w:r>
          </w:p>
        </w:tc>
        <w:tc>
          <w:tcPr>
            <w:tcW w:w="105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</w:t>
            </w:r>
          </w:p>
        </w:tc>
        <w:tc>
          <w:tcPr>
            <w:tcW w:w="5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62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63.27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99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4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北京市大数据中心-集约化应用服务器-4</w:t>
            </w:r>
          </w:p>
        </w:tc>
        <w:tc>
          <w:tcPr>
            <w:tcW w:w="105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192.169.206.60</w:t>
            </w:r>
          </w:p>
        </w:tc>
        <w:tc>
          <w:tcPr>
            <w:tcW w:w="5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62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51.96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99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大数据平台共性组件服务</w:t>
            </w:r>
          </w:p>
        </w:tc>
        <w:tc>
          <w:tcPr>
            <w:tcW w:w="14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北京市大数据中心-集约化应用服务器-5</w:t>
            </w:r>
          </w:p>
        </w:tc>
        <w:tc>
          <w:tcPr>
            <w:tcW w:w="105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192.169.206.74</w:t>
            </w:r>
          </w:p>
        </w:tc>
        <w:tc>
          <w:tcPr>
            <w:tcW w:w="5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62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36.37 </w:t>
            </w:r>
          </w:p>
        </w:tc>
      </w:tr>
    </w:tbl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</w:rPr>
      </w:pPr>
      <w:bookmarkStart w:id="16" w:name="_Toc10658"/>
      <w:r>
        <w:rPr>
          <w:rFonts w:hint="eastAsia" w:ascii="宋体" w:hAnsi="宋体" w:eastAsia="宋体" w:cs="宋体"/>
          <w:lang w:val="en-US" w:eastAsia="zh-CN"/>
        </w:rPr>
        <w:t>远程接入服务</w:t>
      </w:r>
      <w:bookmarkEnd w:id="16"/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每个账号结合身份认证通过VPN远程接入堡垒机进行维护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通过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金山云控制台创建VPN堡垒机远程接入账号远程维护本项目云主机。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下表为本月提供云主机远程接入账号：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远程接入账号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jxj-dsj-renhengnan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北京市大数据中心</w:t>
            </w:r>
          </w:p>
        </w:tc>
      </w:tr>
    </w:tbl>
    <w:p>
      <w:pPr>
        <w:pStyle w:val="2"/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</w:rPr>
      </w:pPr>
      <w:bookmarkStart w:id="17" w:name="_Toc10310"/>
      <w:r>
        <w:rPr>
          <w:rFonts w:hint="eastAsia" w:ascii="宋体" w:hAnsi="宋体" w:eastAsia="宋体" w:cs="宋体"/>
          <w:lang w:val="en-US" w:eastAsia="zh-CN"/>
        </w:rPr>
        <w:t>云主机深度监控服务</w:t>
      </w:r>
      <w:bookmarkEnd w:id="17"/>
    </w:p>
    <w:p>
      <w:pPr>
        <w:pStyle w:val="4"/>
        <w:keepNext/>
        <w:keepLines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eastAsia="zh-CN"/>
        </w:rPr>
      </w:pPr>
      <w:bookmarkStart w:id="18" w:name="_Toc31537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7*24小时云主机深度监控服务</w:t>
      </w:r>
      <w:bookmarkEnd w:id="18"/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在主机中部署探针深度监测主机运行情况。提供7x24小时运维值守、30分钟内应急响应，不仅限于机房巡检、云平台和硬件监控，同时提供应急问题排查协助、协助处理应用故障等服务，并提供相关报告。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：通过每日白天及晚上对云主机性能进行1次监控，判断云主机是否正常。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提供7x24小时运维值守、30分钟内应急响应，不仅限于机房巡检、云平台和硬件监控，同时提供应急问题排查协助、协助处理应用故障等服务，并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根据实际场景按客户要求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提供相关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月报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。</w:t>
      </w:r>
    </w:p>
    <w:p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主机监控及重要业务升级时限：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30分钟</w:t>
      </w:r>
    </w:p>
    <w:p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通告范围：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运维群，电话通知</w:t>
      </w:r>
    </w:p>
    <w:p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首次通告：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需在故障确认后10分钟内，通告故障基本影响、故障初步分析、故障处理安排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故障处理进展同步：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首次通告后，每20分钟在通告范围指定的群内同步故障处理进展，无进展也要同步，直至故障处理完成。</w:t>
      </w:r>
    </w:p>
    <w:p>
      <w:pPr>
        <w:pStyle w:val="12"/>
        <w:spacing w:line="360" w:lineRule="auto"/>
        <w:ind w:firstLine="480" w:firstLine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本月监控数据如下：</w:t>
      </w:r>
    </w:p>
    <w:tbl>
      <w:tblPr>
        <w:tblStyle w:val="9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1992"/>
        <w:gridCol w:w="2172"/>
        <w:gridCol w:w="21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白班负责人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夜班负责人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是否正常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bookmarkEnd w:id="15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</w:tbl>
    <w:p>
      <w:pPr>
        <w:rPr>
          <w:rFonts w:hint="eastAsia" w:ascii="宋体" w:hAnsi="宋体" w:eastAsia="宋体" w:cs="宋体"/>
        </w:rPr>
      </w:pPr>
    </w:p>
    <w:p/>
    <w:p/>
    <w:sectPr>
      <w:headerReference r:id="rId10" w:type="default"/>
      <w:footerReference r:id="rId11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16" w:lineRule="auto"/>
      <w:jc w:val="both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6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192" w:lineRule="auto"/>
      <w:jc w:val="both"/>
      <w:textAlignment w:val="auto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  <w:rPr>
        <w:rFonts w:hint="default"/>
        <w:lang w:val="en-US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spacing w:line="408" w:lineRule="auto"/>
      <w:ind w:firstLine="420"/>
      <w:jc w:val="right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-77470</wp:posOffset>
          </wp:positionV>
          <wp:extent cx="736600" cy="211455"/>
          <wp:effectExtent l="0" t="0" r="6350" b="17145"/>
          <wp:wrapNone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AAA25F"/>
    <w:multiLevelType w:val="multilevel"/>
    <w:tmpl w:val="C5AAA25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181BD49F"/>
    <w:multiLevelType w:val="multilevel"/>
    <w:tmpl w:val="181BD49F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 w:ascii="宋体" w:hAnsi="宋体" w:eastAsia="宋体" w:cs="宋体"/>
        <w:sz w:val="28"/>
        <w:szCs w:val="28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2">
    <w:nsid w:val="55505571"/>
    <w:multiLevelType w:val="multilevel"/>
    <w:tmpl w:val="55505571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00273CC"/>
    <w:rsid w:val="00B52690"/>
    <w:rsid w:val="012F5DE8"/>
    <w:rsid w:val="01357F39"/>
    <w:rsid w:val="028B4EF6"/>
    <w:rsid w:val="04BA64C7"/>
    <w:rsid w:val="07F618D6"/>
    <w:rsid w:val="090D306A"/>
    <w:rsid w:val="09524F20"/>
    <w:rsid w:val="0B490C57"/>
    <w:rsid w:val="0FF54858"/>
    <w:rsid w:val="0FFE370C"/>
    <w:rsid w:val="13BA2040"/>
    <w:rsid w:val="13CE7899"/>
    <w:rsid w:val="15C245AC"/>
    <w:rsid w:val="18DE057F"/>
    <w:rsid w:val="1B2A7AAB"/>
    <w:rsid w:val="1B6B3888"/>
    <w:rsid w:val="1C346708"/>
    <w:rsid w:val="227E692E"/>
    <w:rsid w:val="22A42B78"/>
    <w:rsid w:val="233A0AA7"/>
    <w:rsid w:val="24F829C8"/>
    <w:rsid w:val="267047E0"/>
    <w:rsid w:val="29356BD8"/>
    <w:rsid w:val="303625F7"/>
    <w:rsid w:val="30894E1C"/>
    <w:rsid w:val="31803E07"/>
    <w:rsid w:val="334119DE"/>
    <w:rsid w:val="34C75F13"/>
    <w:rsid w:val="356B6FE1"/>
    <w:rsid w:val="370B50A8"/>
    <w:rsid w:val="390858DA"/>
    <w:rsid w:val="3AC52EF5"/>
    <w:rsid w:val="3F7942AE"/>
    <w:rsid w:val="430622FC"/>
    <w:rsid w:val="43A76D04"/>
    <w:rsid w:val="46A165C4"/>
    <w:rsid w:val="48853CC3"/>
    <w:rsid w:val="489F4D85"/>
    <w:rsid w:val="497A134E"/>
    <w:rsid w:val="4A802994"/>
    <w:rsid w:val="4B2D3C82"/>
    <w:rsid w:val="4C002E76"/>
    <w:rsid w:val="4C1E2465"/>
    <w:rsid w:val="4E197388"/>
    <w:rsid w:val="4E620DE5"/>
    <w:rsid w:val="4F2D553C"/>
    <w:rsid w:val="4FBD1F95"/>
    <w:rsid w:val="4FC43323"/>
    <w:rsid w:val="56992D43"/>
    <w:rsid w:val="581806B0"/>
    <w:rsid w:val="58E16CF4"/>
    <w:rsid w:val="593257A1"/>
    <w:rsid w:val="596B2ED5"/>
    <w:rsid w:val="59DF6DBB"/>
    <w:rsid w:val="5A405C9C"/>
    <w:rsid w:val="5B5A2D8E"/>
    <w:rsid w:val="5BE01AA8"/>
    <w:rsid w:val="5CA72002"/>
    <w:rsid w:val="5D3675DC"/>
    <w:rsid w:val="5DA12EF6"/>
    <w:rsid w:val="5F3039D2"/>
    <w:rsid w:val="5F9155D1"/>
    <w:rsid w:val="60161979"/>
    <w:rsid w:val="63F57AF7"/>
    <w:rsid w:val="648A1AF3"/>
    <w:rsid w:val="6703252B"/>
    <w:rsid w:val="6C861C34"/>
    <w:rsid w:val="6CB71DEE"/>
    <w:rsid w:val="6D8F2D6B"/>
    <w:rsid w:val="6DA06D26"/>
    <w:rsid w:val="6E7066F8"/>
    <w:rsid w:val="701878AD"/>
    <w:rsid w:val="70763D6E"/>
    <w:rsid w:val="78BA3A1C"/>
    <w:rsid w:val="790132C2"/>
    <w:rsid w:val="7B007056"/>
    <w:rsid w:val="7B292A3F"/>
    <w:rsid w:val="7B2C7E4B"/>
    <w:rsid w:val="7D9A7978"/>
    <w:rsid w:val="7FE7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120" w:after="120" w:line="360" w:lineRule="auto"/>
      <w:ind w:left="403" w:hanging="403"/>
      <w:jc w:val="left"/>
      <w:outlineLvl w:val="0"/>
    </w:pPr>
    <w:rPr>
      <w:rFonts w:ascii="Arial" w:hAnsi="Arial" w:cs="Arial"/>
      <w:bCs/>
      <w:kern w:val="44"/>
      <w:sz w:val="28"/>
      <w:szCs w:val="44"/>
    </w:rPr>
  </w:style>
  <w:style w:type="paragraph" w:styleId="4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2"/>
      </w:numPr>
      <w:spacing w:before="120" w:after="120" w:line="360" w:lineRule="auto"/>
      <w:ind w:left="425" w:firstLine="403"/>
      <w:jc w:val="left"/>
      <w:outlineLvl w:val="1"/>
    </w:pPr>
    <w:rPr>
      <w:rFonts w:ascii="微软雅黑" w:hAnsi="微软雅黑" w:cs="微软雅黑"/>
      <w:sz w:val="28"/>
      <w:szCs w:val="22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autoRedefine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5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8">
    <w:name w:val="toc 2"/>
    <w:basedOn w:val="1"/>
    <w:next w:val="1"/>
    <w:autoRedefine/>
    <w:unhideWhenUsed/>
    <w:qFormat/>
    <w:uiPriority w:val="39"/>
    <w:pPr>
      <w:ind w:left="98" w:leftChars="41" w:firstLine="720" w:firstLineChars="200"/>
    </w:pPr>
    <w:rPr>
      <w:rFonts w:ascii="宋体" w:hAnsi="宋体" w:eastAsia="宋体"/>
    </w:r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normal_para"/>
    <w:autoRedefine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谢艳</cp:lastModifiedBy>
  <dcterms:modified xsi:type="dcterms:W3CDTF">2025-12-22T09:02:49Z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A1CD8F4DDF614029A97587600188DA37_13</vt:lpwstr>
  </property>
</Properties>
</file>