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default" w:asciiTheme="majorEastAsia" w:hAnsiTheme="majorEastAsia" w:eastAsiaTheme="majorEastAsia" w:cstheme="majorEastAsia"/>
          <w:b/>
          <w:sz w:val="36"/>
          <w:szCs w:val="36"/>
          <w:highlight w:val="none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  <w:lang w:val="en-US" w:eastAsia="zh-CN"/>
        </w:rPr>
        <w:t>市农业农村局2025年信息系统政务云租赁项目（扩展服务）（政务云扩展服务1）--扩展服务运维月报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both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bidi w:val="0"/>
        <w:rPr>
          <w:rFonts w:hint="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  <w:t>北京金山云网络技术有限公司</w:t>
      </w:r>
    </w:p>
    <w:p>
      <w:pPr>
        <w:pStyle w:val="7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highlight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highlight w:val="none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aps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br w:type="page"/>
      </w:r>
    </w:p>
    <w:p>
      <w:pPr>
        <w:pStyle w:val="2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  <w:t>目录</w:t>
      </w:r>
    </w:p>
    <w:p>
      <w:pPr>
        <w:pStyle w:val="7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highlight w:val="none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_Toc24556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highlight w:val="none"/>
        </w:rPr>
        <w:t xml:space="preserve">一、 </w:t>
      </w:r>
      <w:r>
        <w:rPr>
          <w:rFonts w:hint="eastAsia" w:asciiTheme="minorEastAsia" w:hAnsiTheme="minorEastAsia" w:eastAsiaTheme="minorEastAsia" w:cstheme="minorEastAsia"/>
          <w:highlight w:val="none"/>
        </w:rPr>
        <w:t>基础资源台账概况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_Toc24556 \h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_Toc8562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highlight w:val="none"/>
          <w:lang w:val="en-US" w:eastAsia="zh-CN"/>
        </w:rPr>
        <w:t xml:space="preserve">二、 </w:t>
      </w:r>
      <w:r>
        <w:rPr>
          <w:rFonts w:hint="eastAsia"/>
          <w:highlight w:val="none"/>
          <w:lang w:val="en-US" w:eastAsia="zh-CN"/>
        </w:rPr>
        <w:t>建设目标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_Toc8562 \h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_Toc30160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业务目标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_Toc30160 \h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_Toc7440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highlight w:val="none"/>
          <w:lang w:val="en-US" w:eastAsia="zh-CN"/>
        </w:rPr>
        <w:t xml:space="preserve">三、 </w:t>
      </w:r>
      <w:r>
        <w:rPr>
          <w:rFonts w:hint="eastAsia"/>
          <w:highlight w:val="none"/>
          <w:lang w:val="en-US" w:eastAsia="zh-CN"/>
        </w:rPr>
        <w:t>云安全服务报告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_Toc7440 \h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_Toc11444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云端APT防护服务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_Toc11444 \h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_Toc21973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  <w:lang w:val="en-US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云端抗DDOS服务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_Toc21973 \h </w:instrText>
      </w:r>
      <w:r>
        <w:rPr>
          <w:highlight w:val="none"/>
        </w:rPr>
        <w:fldChar w:fldCharType="separate"/>
      </w:r>
      <w:r>
        <w:rPr>
          <w:highlight w:val="none"/>
        </w:rPr>
        <w:t>2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_Toc4210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  <w:lang w:val="en-US" w:eastAsia="zh-CN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主机杀毒服务报告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_Toc4210 \h </w:instrText>
      </w:r>
      <w:r>
        <w:rPr>
          <w:highlight w:val="none"/>
        </w:rPr>
        <w:fldChar w:fldCharType="separate"/>
      </w:r>
      <w:r>
        <w:rPr>
          <w:highlight w:val="none"/>
        </w:rPr>
        <w:t>2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_Toc27263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主机防护服务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_Toc27263 \h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_Toc24155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5．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主机安全加固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_Toc24155 \h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_Toc23982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6．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网页防篡改服务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_Toc23982 \h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_Toc27700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7．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虚拟密码机（VSM）服务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_Toc27700 \h </w:instrText>
      </w:r>
      <w:r>
        <w:rPr>
          <w:highlight w:val="none"/>
        </w:rPr>
        <w:fldChar w:fldCharType="separate"/>
      </w:r>
      <w:r>
        <w:rPr>
          <w:highlight w:val="none"/>
        </w:rPr>
        <w:t>7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_Toc915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8．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</w:rPr>
        <w:t>密码态势分析服务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_Toc915 \h </w:instrText>
      </w:r>
      <w:r>
        <w:rPr>
          <w:highlight w:val="none"/>
        </w:rPr>
        <w:fldChar w:fldCharType="separate"/>
      </w:r>
      <w:r>
        <w:rPr>
          <w:highlight w:val="none"/>
        </w:rPr>
        <w:t>7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_Toc31569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9．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数据加密服务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_Toc31569 \h </w:instrText>
      </w:r>
      <w:r>
        <w:rPr>
          <w:highlight w:val="none"/>
        </w:rPr>
        <w:fldChar w:fldCharType="separate"/>
      </w:r>
      <w:r>
        <w:rPr>
          <w:highlight w:val="none"/>
        </w:rPr>
        <w:t>8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_Toc1657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10．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密钥管理服务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_Toc1657 \h </w:instrText>
      </w:r>
      <w:r>
        <w:rPr>
          <w:highlight w:val="none"/>
        </w:rPr>
        <w:fldChar w:fldCharType="separate"/>
      </w:r>
      <w:r>
        <w:rPr>
          <w:highlight w:val="none"/>
        </w:rPr>
        <w:t>9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_Toc18956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签名验签服务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_Toc18956 \h </w:instrText>
      </w:r>
      <w:r>
        <w:rPr>
          <w:highlight w:val="none"/>
        </w:rPr>
        <w:fldChar w:fldCharType="separate"/>
      </w:r>
      <w:r>
        <w:rPr>
          <w:highlight w:val="none"/>
        </w:rPr>
        <w:t>10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_Toc23454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基于国密算法的远程接入服务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_Toc23454 \h </w:instrText>
      </w:r>
      <w:r>
        <w:rPr>
          <w:highlight w:val="none"/>
        </w:rPr>
        <w:fldChar w:fldCharType="separate"/>
      </w:r>
      <w:r>
        <w:rPr>
          <w:highlight w:val="none"/>
        </w:rPr>
        <w:t>10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_Toc12214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</w:rPr>
        <w:t>国密浏览器服务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_Toc12214 \h </w:instrText>
      </w:r>
      <w:r>
        <w:rPr>
          <w:highlight w:val="none"/>
        </w:rPr>
        <w:fldChar w:fldCharType="separate"/>
      </w:r>
      <w:r>
        <w:rPr>
          <w:highlight w:val="none"/>
        </w:rPr>
        <w:t>11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_Toc32758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SSL证书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_Toc32758 \h </w:instrText>
      </w:r>
      <w:r>
        <w:rPr>
          <w:highlight w:val="none"/>
        </w:rPr>
        <w:fldChar w:fldCharType="separate"/>
      </w:r>
      <w:r>
        <w:rPr>
          <w:highlight w:val="none"/>
        </w:rPr>
        <w:t>12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_Toc13517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15．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SSL应用网关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_Toc13517 \h </w:instrText>
      </w:r>
      <w:r>
        <w:rPr>
          <w:highlight w:val="none"/>
        </w:rPr>
        <w:fldChar w:fldCharType="separate"/>
      </w:r>
      <w:r>
        <w:rPr>
          <w:highlight w:val="none"/>
        </w:rPr>
        <w:t>15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_Toc17401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highlight w:val="none"/>
          <w:lang w:val="en-US" w:eastAsia="zh-CN"/>
        </w:rPr>
        <w:t xml:space="preserve">四、 </w:t>
      </w:r>
      <w:r>
        <w:rPr>
          <w:rFonts w:hint="eastAsia"/>
          <w:highlight w:val="none"/>
          <w:lang w:val="en-US" w:eastAsia="zh-CN"/>
        </w:rPr>
        <w:t>云安全检测、监测、审计服务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_Toc17401 \h </w:instrText>
      </w:r>
      <w:r>
        <w:rPr>
          <w:highlight w:val="none"/>
        </w:rPr>
        <w:fldChar w:fldCharType="separate"/>
      </w:r>
      <w:r>
        <w:rPr>
          <w:highlight w:val="none"/>
        </w:rPr>
        <w:t>16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_Toc29200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安全态势感知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_Toc29200 \h </w:instrText>
      </w:r>
      <w:r>
        <w:rPr>
          <w:highlight w:val="none"/>
        </w:rPr>
        <w:fldChar w:fldCharType="separate"/>
      </w:r>
      <w:r>
        <w:rPr>
          <w:highlight w:val="none"/>
        </w:rPr>
        <w:t>16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_Toc26344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主机漏洞扫描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_Toc26344 \h </w:instrText>
      </w:r>
      <w:r>
        <w:rPr>
          <w:highlight w:val="none"/>
        </w:rPr>
        <w:fldChar w:fldCharType="separate"/>
      </w:r>
      <w:r>
        <w:rPr>
          <w:highlight w:val="none"/>
        </w:rPr>
        <w:t>17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_Toc5432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主机日志分析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_Toc5432 \h </w:instrText>
      </w:r>
      <w:r>
        <w:rPr>
          <w:highlight w:val="none"/>
        </w:rPr>
        <w:fldChar w:fldCharType="separate"/>
      </w:r>
      <w:r>
        <w:rPr>
          <w:highlight w:val="none"/>
        </w:rPr>
        <w:t>17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_Toc1325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数据库审计服务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_Toc1325 \h </w:instrText>
      </w:r>
      <w:r>
        <w:rPr>
          <w:highlight w:val="none"/>
        </w:rPr>
        <w:fldChar w:fldCharType="separate"/>
      </w:r>
      <w:r>
        <w:rPr>
          <w:highlight w:val="none"/>
        </w:rPr>
        <w:t>18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_Toc8275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  <w:highlight w:val="none"/>
          <w:lang w:val="en-US" w:eastAsia="zh-CN"/>
        </w:rPr>
        <w:t xml:space="preserve">五、 </w:t>
      </w:r>
      <w:r>
        <w:rPr>
          <w:rFonts w:hint="eastAsia"/>
          <w:highlight w:val="none"/>
          <w:lang w:val="en-US" w:eastAsia="zh-CN"/>
        </w:rPr>
        <w:t>云操作系统服务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_Toc8275 \h </w:instrText>
      </w:r>
      <w:r>
        <w:rPr>
          <w:highlight w:val="none"/>
        </w:rPr>
        <w:fldChar w:fldCharType="separate"/>
      </w:r>
      <w:r>
        <w:rPr>
          <w:highlight w:val="none"/>
        </w:rPr>
        <w:t>19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_Toc15039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商用操作系统套餐1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_Toc15039 \h </w:instrText>
      </w:r>
      <w:r>
        <w:rPr>
          <w:highlight w:val="none"/>
        </w:rPr>
        <w:fldChar w:fldCharType="separate"/>
      </w:r>
      <w:r>
        <w:rPr>
          <w:highlight w:val="none"/>
        </w:rPr>
        <w:t>19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8"/>
        <w:tabs>
          <w:tab w:val="right" w:leader="dot" w:pos="8300"/>
        </w:tabs>
        <w:rPr>
          <w:highlight w:val="none"/>
        </w:rPr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_Toc24852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highlight w:val="none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商用操作系统套餐2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_Toc24852 \h </w:instrText>
      </w:r>
      <w:r>
        <w:rPr>
          <w:highlight w:val="none"/>
        </w:rPr>
        <w:fldChar w:fldCharType="separate"/>
      </w:r>
      <w:r>
        <w:rPr>
          <w:highlight w:val="none"/>
        </w:rPr>
        <w:t>19</w:t>
      </w:r>
      <w:r>
        <w:rPr>
          <w:highlight w:val="none"/>
        </w:rP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  <w:highlight w:val="none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sz w:val="28"/>
          <w:highlight w:val="none"/>
        </w:rPr>
      </w:pPr>
      <w:bookmarkStart w:id="0" w:name="_Toc24556"/>
      <w:bookmarkStart w:id="58" w:name="_GoBack"/>
      <w:bookmarkEnd w:id="58"/>
      <w:r>
        <w:rPr>
          <w:rFonts w:hint="eastAsia" w:asciiTheme="minorEastAsia" w:hAnsiTheme="minorEastAsia" w:eastAsiaTheme="minorEastAsia" w:cstheme="minorEastAsia"/>
          <w:b w:val="0"/>
          <w:sz w:val="28"/>
          <w:highlight w:val="none"/>
        </w:rPr>
        <w:t>基础资源台账概况</w:t>
      </w:r>
      <w:bookmarkEnd w:id="0"/>
    </w:p>
    <w:p>
      <w:pPr>
        <w:pStyle w:val="13"/>
        <w:ind w:firstLine="480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北京金山云网络技术有限公司对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年信息系统政务云租赁项目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扩展服务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政务云扩展服务1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提供政务云</w:t>
      </w:r>
      <w:r>
        <w:rPr>
          <w:rFonts w:hint="eastAsia" w:cs="宋体"/>
          <w:kern w:val="0"/>
          <w:sz w:val="24"/>
          <w:szCs w:val="20"/>
          <w:highlight w:val="none"/>
          <w:lang w:val="en-US" w:eastAsia="zh-CN" w:bidi="ar-SA"/>
        </w:rPr>
        <w:t>扩展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服务，提供相关的扩展安全服务，以提升系统的服务保障能力，全方位满足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年信息系统政务云租赁项目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扩展服务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政务云扩展服务1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的业务要求。</w:t>
      </w:r>
      <w:r>
        <w:rPr>
          <w:rFonts w:hint="eastAsia" w:cs="宋体"/>
          <w:kern w:val="0"/>
          <w:sz w:val="24"/>
          <w:szCs w:val="20"/>
          <w:highlight w:val="none"/>
          <w:lang w:val="en-US" w:eastAsia="zh-CN" w:bidi="ar-SA"/>
        </w:rPr>
        <w:t>2025年11月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年信息系统政务云租赁项目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扩展服务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政务云扩展服务1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业务系统在政务云平台稳定运行，金山云按照各项服务的</w:t>
      </w:r>
      <w:r>
        <w:rPr>
          <w:rFonts w:hint="eastAsia" w:cs="宋体"/>
          <w:kern w:val="0"/>
          <w:sz w:val="24"/>
          <w:szCs w:val="20"/>
          <w:highlight w:val="none"/>
          <w:lang w:val="en-US" w:eastAsia="zh-CN" w:bidi="ar-SA"/>
        </w:rPr>
        <w:t>合同要求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实施计划如期完成了</w:t>
      </w:r>
      <w:r>
        <w:rPr>
          <w:rFonts w:hint="eastAsia" w:cs="宋体"/>
          <w:kern w:val="0"/>
          <w:sz w:val="24"/>
          <w:szCs w:val="20"/>
          <w:highlight w:val="none"/>
          <w:lang w:val="en-US" w:eastAsia="zh-CN" w:bidi="ar-SA"/>
        </w:rPr>
        <w:t>本月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相关</w:t>
      </w:r>
      <w:r>
        <w:rPr>
          <w:rFonts w:hint="eastAsia" w:cs="宋体"/>
          <w:kern w:val="0"/>
          <w:sz w:val="24"/>
          <w:szCs w:val="20"/>
          <w:highlight w:val="none"/>
          <w:lang w:val="en-US" w:eastAsia="zh-CN" w:bidi="ar-SA"/>
        </w:rPr>
        <w:t>扩展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服务和保障工作，无异常事件和安全事件发生。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1" w:name="_Toc5842"/>
      <w:bookmarkStart w:id="2" w:name="_Toc8562"/>
      <w:r>
        <w:rPr>
          <w:rFonts w:hint="eastAsia"/>
          <w:highlight w:val="none"/>
          <w:lang w:val="en-US" w:eastAsia="zh-CN"/>
        </w:rPr>
        <w:t>建设目标</w:t>
      </w:r>
      <w:bookmarkEnd w:id="1"/>
      <w:bookmarkEnd w:id="2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3" w:name="_Toc30160"/>
      <w:bookmarkStart w:id="4" w:name="_Toc11236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业务目标</w:t>
      </w:r>
      <w:bookmarkEnd w:id="3"/>
      <w:bookmarkEnd w:id="4"/>
    </w:p>
    <w:p>
      <w:pPr>
        <w:pStyle w:val="13"/>
        <w:ind w:firstLine="480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为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年信息系统政务云租赁项目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扩展服务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政务云扩展服务1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业务系统提供市级政务云扩展服务，保障业务系统的运行稳定性和安全性。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5" w:name="_Toc11907"/>
      <w:bookmarkStart w:id="6" w:name="_Toc7440"/>
      <w:bookmarkStart w:id="7" w:name="_Toc14609"/>
      <w:bookmarkStart w:id="8" w:name="_Toc14605"/>
      <w:r>
        <w:rPr>
          <w:rFonts w:hint="eastAsia"/>
          <w:highlight w:val="none"/>
          <w:lang w:val="en-US" w:eastAsia="zh-CN"/>
        </w:rPr>
        <w:t>云安全服务报告</w:t>
      </w:r>
      <w:bookmarkEnd w:id="5"/>
      <w:bookmarkEnd w:id="6"/>
    </w:p>
    <w:bookmarkEnd w:id="7"/>
    <w:bookmarkEnd w:id="8"/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9" w:name="_Toc2773"/>
      <w:bookmarkStart w:id="10" w:name="_Toc11444"/>
      <w:bookmarkStart w:id="11" w:name="_Toc1738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云端APT防护服务</w:t>
      </w:r>
      <w:bookmarkEnd w:id="9"/>
      <w:bookmarkEnd w:id="10"/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2" w:firstLineChars="200"/>
        <w:jc w:val="both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"/>
        </w:rPr>
        <w:t>合同要求：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对未知攻击威胁进行检测和防护，发现隐蔽威胁、木马后门等异常威胁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通过在服务器安装云端ATP防护软件实现对服务器攻击威胁的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检测和防护，发现隐蔽威胁、木马后门等异常威胁。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 w:bidi="ar"/>
        </w:rPr>
        <w:t>生产成本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防护报告。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highlight w:val="none"/>
        </w:rPr>
      </w:pPr>
      <w:bookmarkStart w:id="12" w:name="_Toc1715"/>
      <w:bookmarkStart w:id="13" w:name="_Toc1962"/>
      <w:bookmarkStart w:id="14" w:name="_Toc4398"/>
      <w:bookmarkStart w:id="15" w:name="_Toc30500"/>
      <w:bookmarkStart w:id="16" w:name="_Toc27172"/>
      <w:bookmarkStart w:id="17" w:name="_Toc6849"/>
      <w:bookmarkStart w:id="18" w:name="_Toc29652"/>
      <w:bookmarkStart w:id="19" w:name="_Toc25580"/>
      <w:bookmarkStart w:id="20" w:name="_Toc21700"/>
      <w:bookmarkStart w:id="21" w:name="exploitNameDistribution"/>
      <w:bookmarkStart w:id="22" w:name="_Toc20139"/>
      <w:bookmarkStart w:id="23" w:name="_Toc19616"/>
      <w:bookmarkStart w:id="24" w:name="_Toc7726"/>
      <w:bookmarkStart w:id="25" w:name="_Toc27967"/>
      <w:bookmarkStart w:id="26" w:name="_Toc6305"/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本月提供云端ATP防护服务，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下图为本月云主机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攻击详情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：</w:t>
      </w:r>
    </w:p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p>
      <w:pPr>
        <w:widowControl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/>
        </w:rPr>
        <w:sectPr>
          <w:headerReference r:id="rId7" w:type="default"/>
          <w:footerReference r:id="rId8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  <w:r>
        <w:drawing>
          <wp:inline distT="0" distB="0" distL="114300" distR="114300">
            <wp:extent cx="5263515" cy="848360"/>
            <wp:effectExtent l="0" t="0" r="1333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/>
        </w:rPr>
      </w:pPr>
      <w:bookmarkStart w:id="27" w:name="_Toc21973"/>
      <w:bookmarkStart w:id="28" w:name="_Toc1309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云端抗DDOS服务</w:t>
      </w:r>
      <w:bookmarkEnd w:id="27"/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根据流量提供云端抗DDOS服务，避免业务遭受拒绝服务攻击（攻击流量在10G以内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）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。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提供全年共4站点云端抗DDOS服务。</w:t>
      </w:r>
    </w:p>
    <w:p>
      <w:pPr>
        <w:spacing w:line="360" w:lineRule="auto"/>
        <w:ind w:firstLine="420" w:firstLineChars="0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：根据网络流量提供云端抗DDOS服务，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各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站点配置相同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避免业务遭受拒绝服务攻击（攻击流量在10G以内）。截图如下：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none"/>
          <w:lang w:val="en-US" w:eastAsia="zh-CN"/>
        </w:rPr>
        <w:t>设备配置：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通过内置防病毒检测引擎对HTTP协议流量进行文件还原。提取文件类型及特征码信息进行病毒分析检测，实时发现网络僵尸、蠕虫、木马、勒索、挖矿等恶意软件传播，支持对常见文件格式分析和检测，包括不限于docx、PDF、压缩文件等。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设备稳定详情如下：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val="en-US"/>
        </w:rPr>
      </w:pPr>
      <w:r>
        <w:rPr>
          <w:highlight w:val="none"/>
        </w:rPr>
        <w:drawing>
          <wp:inline distT="0" distB="0" distL="114300" distR="114300">
            <wp:extent cx="5260340" cy="1224915"/>
            <wp:effectExtent l="0" t="0" r="16510" b="13335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/>
        </w:rPr>
      </w:pPr>
      <w:bookmarkStart w:id="29" w:name="_Toc421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主机杀毒服务报告</w:t>
      </w:r>
      <w:bookmarkEnd w:id="28"/>
      <w:bookmarkEnd w:id="2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 xml:space="preserve">  </w:t>
      </w:r>
    </w:p>
    <w:p>
      <w:pPr>
        <w:spacing w:line="360" w:lineRule="auto"/>
        <w:ind w:firstLine="482" w:firstLineChars="200"/>
        <w:rPr>
          <w:rFonts w:hint="default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对云主机进行定期的病毒查杀，杀毒软件集中控制，对网络性能无影响。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提供全年共137台主机杀毒报告。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>
      <w:pPr>
        <w:pStyle w:val="14"/>
        <w:spacing w:line="360" w:lineRule="auto"/>
        <w:ind w:firstLine="420" w:firstLineChars="0"/>
        <w:rPr>
          <w:rFonts w:hint="eastAsia" w:ascii="宋体" w:hAnsi="宋体" w:eastAsia="宋体" w:cs="宋体"/>
          <w:highlight w:val="none"/>
          <w:lang w:val="en-US"/>
        </w:rPr>
      </w:pPr>
      <w:r>
        <w:rPr>
          <w:rStyle w:val="15"/>
          <w:rFonts w:hint="eastAsia" w:ascii="宋体" w:hAnsi="宋体" w:eastAsia="宋体" w:cs="宋体"/>
          <w:sz w:val="24"/>
          <w:highlight w:val="none"/>
          <w:lang w:val="en-US" w:eastAsia="zh-CN"/>
        </w:rPr>
        <w:t>本月对</w:t>
      </w:r>
      <w:r>
        <w:rPr>
          <w:rStyle w:val="15"/>
          <w:rFonts w:hint="eastAsia" w:ascii="宋体" w:hAnsi="宋体" w:cs="宋体"/>
          <w:sz w:val="24"/>
          <w:highlight w:val="none"/>
          <w:lang w:val="en-US" w:eastAsia="zh-CN"/>
        </w:rPr>
        <w:t>171台</w:t>
      </w:r>
      <w:r>
        <w:rPr>
          <w:rStyle w:val="15"/>
          <w:rFonts w:hint="eastAsia" w:ascii="宋体" w:hAnsi="宋体" w:eastAsia="宋体" w:cs="宋体"/>
          <w:sz w:val="24"/>
          <w:highlight w:val="none"/>
          <w:lang w:val="en-US" w:eastAsia="zh-CN"/>
        </w:rPr>
        <w:t>云主机进行1次杀毒查杀工作，杀毒未发现病毒，如下图：</w:t>
      </w:r>
    </w:p>
    <w:p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drawing>
          <wp:inline distT="0" distB="0" distL="114300" distR="114300">
            <wp:extent cx="5263515" cy="4866005"/>
            <wp:effectExtent l="0" t="0" r="13335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30" w:name="_Toc27263"/>
      <w:bookmarkStart w:id="31" w:name="_Toc2946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主机防护服务</w:t>
      </w:r>
      <w:bookmarkEnd w:id="30"/>
      <w:bookmarkEnd w:id="31"/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5"/>
          <w:rFonts w:hint="default" w:ascii="宋体" w:hAnsi="宋体" w:eastAsia="宋体" w:cs="宋体"/>
          <w:sz w:val="24"/>
          <w:szCs w:val="24"/>
          <w:highlight w:val="none"/>
          <w:shd w:val="clear"/>
          <w:lang w:val="en-US" w:eastAsia="zh-CN"/>
        </w:rPr>
      </w:pPr>
      <w:r>
        <w:rPr>
          <w:rStyle w:val="15"/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Style w:val="15"/>
          <w:rFonts w:hint="eastAsia" w:ascii="宋体" w:hAnsi="宋体" w:eastAsia="宋体" w:cs="宋体"/>
          <w:sz w:val="24"/>
          <w:szCs w:val="24"/>
          <w:highlight w:val="none"/>
        </w:rPr>
        <w:t>提供符合等保三级要求的主机权限管理及安全防护</w:t>
      </w:r>
      <w:r>
        <w:rPr>
          <w:rStyle w:val="15"/>
          <w:rFonts w:hint="eastAsia" w:ascii="宋体" w:hAnsi="宋体" w:eastAsia="宋体" w:cs="宋体"/>
          <w:sz w:val="24"/>
          <w:szCs w:val="24"/>
          <w:highlight w:val="none"/>
          <w:shd w:val="clear"/>
        </w:rPr>
        <w:t>。</w:t>
      </w:r>
      <w:r>
        <w:rPr>
          <w:rStyle w:val="15"/>
          <w:rFonts w:hint="eastAsia" w:ascii="宋体" w:hAnsi="宋体" w:cs="宋体"/>
          <w:sz w:val="24"/>
          <w:szCs w:val="24"/>
          <w:highlight w:val="none"/>
          <w:shd w:val="clear"/>
          <w:lang w:val="en-US" w:eastAsia="zh-CN"/>
        </w:rPr>
        <w:t>提供全年共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137</w:t>
      </w:r>
      <w:r>
        <w:rPr>
          <w:rStyle w:val="15"/>
          <w:rFonts w:hint="eastAsia" w:ascii="宋体" w:hAnsi="宋体" w:cs="宋体"/>
          <w:sz w:val="24"/>
          <w:szCs w:val="24"/>
          <w:highlight w:val="none"/>
          <w:shd w:val="clear"/>
          <w:lang w:val="en-US" w:eastAsia="zh-CN"/>
        </w:rPr>
        <w:t>台主机防护服务。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5"/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Style w:val="15"/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防护说明：</w:t>
      </w:r>
      <w:r>
        <w:rPr>
          <w:rStyle w:val="15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可对服务器系统安全涉及的控制点（如身份鉴别、敏感标记、强制访问控制、安全审计、剩余信息保护、入侵防范、恶意代码</w:t>
      </w:r>
      <w:r>
        <w:rPr>
          <w:rStyle w:val="15"/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防控</w:t>
      </w:r>
      <w:r>
        <w:rPr>
          <w:rStyle w:val="15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和资源控制等）形成立体防护，解决操作系统层面面临的恶意代码执行、越权访问、数据泄露、破坏数据机密性、完整性等各种攻击行为，以保障数据及业务系统的保密性、完整性、可用性、可靠性。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5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15"/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Style w:val="15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通过在服务器端安装软件，产生实际数据，通过公安部门认证符合等保三级要求，满足合同要求提供符合等保三级要求的主机权限管理及安全防护，等保三级证明见</w:t>
      </w:r>
      <w:r>
        <w:rPr>
          <w:rStyle w:val="15"/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附件</w:t>
      </w:r>
      <w:r>
        <w:rPr>
          <w:rStyle w:val="15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5"/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15"/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下图为本项目云主机部署截图，其他主机与之配置相同：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rPr>
          <w:rStyle w:val="15"/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Style w:val="15"/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493385" cy="2819400"/>
            <wp:effectExtent l="0" t="0" r="5715" b="0"/>
            <wp:docPr id="1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32" w:name="_Toc24155"/>
      <w:bookmarkStart w:id="33" w:name="_Toc3061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主机安全加固</w:t>
      </w:r>
      <w:bookmarkEnd w:id="32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针对漏扫或等级测评结果对操作系统进行安全加固，用以解决等级测评结果中所显示的漏洞。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提供137台主机安全加固服务。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通过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漏洞扫描结果对主机进行安装补丁包等方式进行主机加固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本月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加固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主机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0台，加固0个高危漏洞，加固0个中危漏洞，加固0个低危漏洞，共计加固0个漏洞。</w:t>
      </w:r>
    </w:p>
    <w:p>
      <w:pPr>
        <w:snapToGrid/>
        <w:spacing w:line="360" w:lineRule="auto"/>
        <w:ind w:firstLine="480" w:firstLineChars="200"/>
        <w:jc w:val="both"/>
        <w:rPr>
          <w:rFonts w:hint="default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备注：主机漏洞扫描及主机安全加固根据合同内容及甲方需求进行，详见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市农业农村局2025年信息系统政务云租赁项目（扩展服务）（政务云扩展服务1）--主机安全加固报告。</w:t>
      </w:r>
    </w:p>
    <w:bookmarkEnd w:id="33"/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34" w:name="_Toc23982"/>
      <w:bookmarkStart w:id="35" w:name="_Toc2054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网页防篡改服务</w:t>
      </w:r>
      <w:bookmarkEnd w:id="34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提供网页防篡改服务。通过防篡改软件对用户页面进行实时防护，减少用户页面被恶意篡改的可能性。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提供全年12个月19个监控点网页防篡改服务。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Times New Roman" w:hAnsi="Times New Roman" w:cs="宋体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 w:bidi="ar-SA"/>
        </w:rPr>
        <w:t>部署实现方式：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通过在服务器上安装软件，监控防护端服务器网页被修改信息。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金山云配合网站群客户新增防篡改的部署工作和日常运维服务工作，以保障网站的安全运行尽我司应有的职责，我司（金山云）设有专门的金山运维小组，定期给防篡改系统做系统巡检及系统维护工作，与技术管理人员及其他维护单位及时沟通，了解系统运行状况，查看系统运行状态并记录；及时修正及解决各类网页防篡改系统告警、故障信息；同时会做以下几方面的功能测试，以保证系统相应模块的正常运行:访问正常页面；访问篡改页面；访问篡改页面后产生报警；访问篡改页面后的自动恢复；正常添加文件的自动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同步。</w:t>
      </w:r>
      <w:r>
        <w:rPr>
          <w:rFonts w:hint="eastAsia" w:ascii="Times New Roman" w:hAnsi="Times New Roman" w:eastAsia="宋体" w:cs="宋体"/>
          <w:sz w:val="24"/>
          <w:szCs w:val="24"/>
          <w:highlight w:val="none"/>
        </w:rPr>
        <w:t>正常修改文件自动同步；正常删除文件自动同步；手动同步（上传）文件等功能测试</w:t>
      </w:r>
      <w:r>
        <w:rPr>
          <w:rFonts w:hint="eastAsia" w:ascii="Times New Roman" w:hAnsi="Times New Roman" w:cs="宋体"/>
          <w:sz w:val="24"/>
          <w:szCs w:val="24"/>
          <w:highlight w:val="none"/>
          <w:lang w:eastAsia="zh-CN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部署实现方式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：通过在服务器上安装软件，监控防护端服务器网页被修改信息，生成防篡改日志。下图为网页防篡改服务防护端192.169.4.223，发布端192.169.4.129配置截图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，其他主机与之配置相同。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--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网页防篡改服务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报告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bidi w:val="0"/>
        <w:rPr>
          <w:rFonts w:hint="default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483860" cy="2769870"/>
            <wp:effectExtent l="0" t="0" r="2540" b="1143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T="0" distB="0" distL="114300" distR="114300">
            <wp:extent cx="5481955" cy="2367280"/>
            <wp:effectExtent l="0" t="0" r="4445" b="7620"/>
            <wp:docPr id="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firstLine="420" w:firstLineChars="0"/>
        <w:rPr>
          <w:rFonts w:hint="eastAsia" w:eastAsia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</w:rPr>
        <w:t>本月未发生网页篡改事件，防篡改服务运行记录如下表所示</w:t>
      </w:r>
      <w:r>
        <w:rPr>
          <w:rFonts w:hint="eastAsia" w:ascii="宋体" w:hAnsi="宋体" w:cs="宋体"/>
          <w:sz w:val="24"/>
          <w:highlight w:val="none"/>
          <w:lang w:eastAsia="zh-CN"/>
        </w:rPr>
        <w:t>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3026"/>
        <w:gridCol w:w="29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日期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bookmarkStart w:id="36" w:name="OLE_LINK1" w:colFirst="1" w:colLast="2"/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36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bookmarkStart w:id="37" w:name="OLE_LINK2" w:colFirst="1" w:colLast="2"/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37"/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38" w:name="_Toc2770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虚拟密码机（VSM）服务</w:t>
      </w:r>
      <w:bookmarkEnd w:id="38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基于符合国密要求的密码算法和密钥安全管理机制，提供密钥产生、使用以及基础密码运算服务功能。提供全年共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VSM服务。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通过云服务器密码机方式提供服务。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本月虚拟密码机（VSM）提供如下表：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117"/>
        <w:gridCol w:w="4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资产类型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设备ip</w:t>
            </w:r>
          </w:p>
        </w:tc>
        <w:tc>
          <w:tcPr>
            <w:tcW w:w="4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  <w:jc w:val="center"/>
        </w:trPr>
        <w:tc>
          <w:tcPr>
            <w:tcW w:w="155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云服务器密码机（虚拟机）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192.169.205.230</w:t>
            </w:r>
          </w:p>
        </w:tc>
        <w:tc>
          <w:tcPr>
            <w:tcW w:w="48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包括数据和数据库加密系统密码模块和协同签名服务端密码模块。提供调用密码机提供数据加解密和完整性保护服务，实现数据库加解密、文件加解密。支持数据库字段级或表级加密与完整性保护，支持“一字段一密钥”；支持文件数据加密与完整性保护，支持“一文件一密钥”细粒度数据加密控制；支持虚拟化镜像部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192.169.200.116</w:t>
            </w:r>
          </w:p>
        </w:tc>
        <w:tc>
          <w:tcPr>
            <w:tcW w:w="48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39" w:name="_Toc915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  <w:t>密码态势分析服务</w:t>
      </w:r>
      <w:bookmarkEnd w:id="39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对业务系统加解密密码进行7*24小时监测，每月提供密码态势分析报告，包括合规性、有效性等。</w:t>
      </w:r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</w:t>
      </w:r>
      <w:r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密码态势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分析</w:t>
      </w:r>
      <w:r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对业务系统实施全天候密码操作追踪（如算法调用、协议协商），实时感知风险（弱加密、合规偏离）；同时对接密钥管理系统，动态关联密钥生命周期（生成、轮换、销毁）与使用场景，确保加密基础可信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；</w:t>
      </w:r>
      <w:r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依托VSM的密码运算能力与密钥管理的策略引擎，在保障私钥不可导出的前提下，完成身份认证、数据完整性校验及抗抵赖签名，并实时输出签名日志至态势分析平台。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密码应用到底层密钥的全链路可控可审。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备注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：定期</w:t>
      </w:r>
      <w:r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采集VSM密码事件、密钥调用频率、签名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日志</w:t>
      </w:r>
      <w:r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等数据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--密码态势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分析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报告。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0" w:name="_Toc3156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数据加密服务</w:t>
      </w:r>
      <w:bookmarkEnd w:id="40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数据加解密和完整性保护服务，实现数据库加解密、文件加解密。支持数据库字段级或表级加密与完整性保护，支持“一字段一密钥”；支持文件数据加密与完整性保护，支持“一文件一密钥”细粒度数据加密控制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通过密码服务加密后台服务器方式提供服务，并配置密钥管理服务策略。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配置截图如下：</w:t>
      </w:r>
    </w:p>
    <w:p>
      <w:pPr>
        <w:snapToGrid/>
        <w:spacing w:line="360" w:lineRule="auto"/>
        <w:jc w:val="both"/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267325" cy="2038350"/>
            <wp:effectExtent l="0" t="0" r="9525" b="0"/>
            <wp:docPr id="26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257800" cy="198120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密钥管理服务策略：</w:t>
      </w:r>
    </w:p>
    <w:tbl>
      <w:tblPr>
        <w:tblStyle w:val="10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109"/>
        <w:gridCol w:w="1216"/>
        <w:gridCol w:w="1216"/>
        <w:gridCol w:w="1075"/>
        <w:gridCol w:w="1357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应用名称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密钥名称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密钥索引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密钥算法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状态</w:t>
            </w:r>
          </w:p>
        </w:tc>
        <w:tc>
          <w:tcPr>
            <w:tcW w:w="7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密钥策略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是否配置密码机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农业农村局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NYNC01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Sm4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正常</w:t>
            </w:r>
          </w:p>
        </w:tc>
        <w:tc>
          <w:tcPr>
            <w:tcW w:w="7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固定密钥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已配置</w:t>
            </w:r>
          </w:p>
        </w:tc>
      </w:tr>
    </w:tbl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本月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加密后台服务器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提供如下表：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117"/>
        <w:gridCol w:w="4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资产类型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设备ip</w:t>
            </w:r>
          </w:p>
        </w:tc>
        <w:tc>
          <w:tcPr>
            <w:tcW w:w="4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  <w:jc w:val="center"/>
        </w:trPr>
        <w:tc>
          <w:tcPr>
            <w:tcW w:w="155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云服务器密码机（虚拟机）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192.169.205.230</w:t>
            </w:r>
          </w:p>
        </w:tc>
        <w:tc>
          <w:tcPr>
            <w:tcW w:w="48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包括数据和数据库加密系统密码模块和协同签名服务端密码模块。提供调用密码机提供数据加解密和完整性保护服务，实现数据库加解密、文件加解密。支持数据库字段级或表级加密与完整性保护，支持“一字段一密钥”；支持文件数据加密与完整性保护，支持“一文件一密钥”细粒度数据加密控制；支持虚拟化镜像部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192.169.200.116</w:t>
            </w:r>
          </w:p>
        </w:tc>
        <w:tc>
          <w:tcPr>
            <w:tcW w:w="48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1" w:name="_Toc165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密钥管理服务</w:t>
      </w:r>
      <w:bookmarkEnd w:id="41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提供密钥生成、密钥更新、密钥备份与恢复、密钥归档、密钥销毁等密钥全生命周期管理。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通过密码服务加密后台服务器方式提供服务。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配置截图如下：</w:t>
      </w:r>
    </w:p>
    <w:p>
      <w:pPr>
        <w:snapToGrid/>
        <w:spacing w:line="360" w:lineRule="auto"/>
        <w:jc w:val="both"/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4"/>
          <w:sz w:val="23"/>
          <w:szCs w:val="23"/>
          <w:highlight w:val="none"/>
          <w:lang w:val="en-US" w:eastAsia="zh-CN"/>
        </w:rPr>
        <w:drawing>
          <wp:inline distT="0" distB="0" distL="114300" distR="114300">
            <wp:extent cx="5261610" cy="2696845"/>
            <wp:effectExtent l="0" t="0" r="15240" b="8255"/>
            <wp:docPr id="4" name="图片 4" descr="img_v2_0c20ca2c-f124-42b7-ad36-a4a456beab3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2_0c20ca2c-f124-42b7-ad36-a4a456beab3g (1)"/>
                    <pic:cNvPicPr>
                      <a:picLocks noChangeAspect="1"/>
                    </pic:cNvPicPr>
                  </pic:nvPicPr>
                  <pic:blipFill>
                    <a:blip r:embed="rId21"/>
                    <a:srcRect l="10550" t="18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本月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加密后台服务器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提供如下表：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117"/>
        <w:gridCol w:w="4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资产类型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设备ip</w:t>
            </w:r>
          </w:p>
        </w:tc>
        <w:tc>
          <w:tcPr>
            <w:tcW w:w="4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  <w:jc w:val="center"/>
        </w:trPr>
        <w:tc>
          <w:tcPr>
            <w:tcW w:w="155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云服务器密码机（虚拟机）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192.169.205.230</w:t>
            </w:r>
          </w:p>
        </w:tc>
        <w:tc>
          <w:tcPr>
            <w:tcW w:w="48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包括数据和数据库加密系统密码模块和协同签名服务端密码模块。提供调用密码机提供数据加解密和完整性保护服务，实现数据库加解密、文件加解密。支持数据库字段级或表级加密与完整性保护，支持“一字段一密钥”；支持文件数据加密与完整性保护，支持“一文件一密钥”细粒度数据加密控制；支持虚拟化镜像部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192.169.200.116</w:t>
            </w:r>
          </w:p>
        </w:tc>
        <w:tc>
          <w:tcPr>
            <w:tcW w:w="48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2" w:name="_Toc18956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签名验签服务</w:t>
      </w:r>
      <w:bookmarkEnd w:id="42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提供数字签名与签名验证服务功能，用于身份认证时签名数据验证，基于数字签名技术实现数据的完整性保护。</w:t>
      </w:r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通过密码服务加密后台服务器方式提供服务。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left"/>
        <w:textAlignment w:val="baseline"/>
        <w:rPr>
          <w:rFonts w:hint="eastAsia" w:ascii="宋体" w:hAnsi="宋体" w:eastAsia="宋体" w:cs="宋体"/>
          <w:color w:val="080F17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080F17"/>
          <w:kern w:val="0"/>
          <w:sz w:val="24"/>
          <w:szCs w:val="24"/>
          <w:highlight w:val="none"/>
          <w:lang w:val="en-US" w:eastAsia="zh-CN" w:bidi="ar"/>
        </w:rPr>
        <w:t>签名证书详情：</w:t>
      </w:r>
    </w:p>
    <w:tbl>
      <w:tblPr>
        <w:tblStyle w:val="10"/>
        <w:tblW w:w="9178" w:type="dxa"/>
        <w:tblInd w:w="-3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353"/>
        <w:gridCol w:w="1164"/>
        <w:gridCol w:w="1823"/>
        <w:gridCol w:w="1311"/>
        <w:gridCol w:w="1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917" w:type="dxa"/>
            <w:shd w:val="clear" w:color="auto" w:fill="BEBEBE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服务器证书名称</w:t>
            </w:r>
          </w:p>
        </w:tc>
        <w:tc>
          <w:tcPr>
            <w:tcW w:w="1353" w:type="dxa"/>
            <w:shd w:val="clear" w:color="auto" w:fill="BEBEBE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颁发者</w:t>
            </w:r>
          </w:p>
        </w:tc>
        <w:tc>
          <w:tcPr>
            <w:tcW w:w="1164" w:type="dxa"/>
            <w:shd w:val="clear" w:color="auto" w:fill="BEBEBE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应用名称</w:t>
            </w:r>
          </w:p>
        </w:tc>
        <w:tc>
          <w:tcPr>
            <w:tcW w:w="1823" w:type="dxa"/>
            <w:shd w:val="clear" w:color="auto" w:fill="BEBEBE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证书验证策略</w:t>
            </w:r>
          </w:p>
        </w:tc>
        <w:tc>
          <w:tcPr>
            <w:tcW w:w="1311" w:type="dxa"/>
            <w:shd w:val="clear" w:color="auto" w:fill="BEBEBE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算法类型</w:t>
            </w:r>
          </w:p>
        </w:tc>
        <w:tc>
          <w:tcPr>
            <w:tcW w:w="1610" w:type="dxa"/>
            <w:shd w:val="clear" w:color="auto" w:fill="BEBEBE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证书序列号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</w:trPr>
        <w:tc>
          <w:tcPr>
            <w:tcW w:w="1917" w:type="dxa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北京金山云网络技术有限公司</w:t>
            </w:r>
          </w:p>
        </w:tc>
        <w:tc>
          <w:tcPr>
            <w:tcW w:w="1353" w:type="dxa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Beijing SM2 CA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SVSDefault</w:t>
            </w:r>
          </w:p>
        </w:tc>
        <w:tc>
          <w:tcPr>
            <w:tcW w:w="1823" w:type="dxa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验证有效期和CRL</w:t>
            </w:r>
          </w:p>
        </w:tc>
        <w:tc>
          <w:tcPr>
            <w:tcW w:w="1311" w:type="dxa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SM2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lang w:val="en-US" w:eastAsia="zh-CN" w:bidi="ar"/>
              </w:rPr>
              <w:t>1a1000000000051175ec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left"/>
        <w:textAlignment w:val="baseline"/>
        <w:rPr>
          <w:rFonts w:hint="eastAsia" w:ascii="宋体" w:hAnsi="宋体" w:eastAsia="宋体" w:cs="宋体"/>
          <w:color w:val="080F17"/>
          <w:kern w:val="0"/>
          <w:sz w:val="24"/>
          <w:szCs w:val="24"/>
          <w:highlight w:val="none"/>
          <w:lang w:val="en-US" w:eastAsia="zh-CN" w:bidi="ar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3" w:name="_Toc2345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基于国密算法的远程接入服务</w:t>
      </w:r>
      <w:bookmarkEnd w:id="43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支持在终端与平台之间建立SSL VPN安全通道，支持对接入网络的终端设备进行安全认证，支持客户端与服务端之间数据加密传输，支持对终端设备的权限控制；支持与安全浏览器建立合规的HTTPS安全通道。提供全年7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账号基于国密算法的远程接入服务。</w:t>
      </w:r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通过提供基于国密算法的远程接入账号（USB-key）实现。</w:t>
      </w:r>
    </w:p>
    <w:p>
      <w:pPr>
        <w:snapToGrid/>
        <w:spacing w:line="360" w:lineRule="auto"/>
        <w:ind w:firstLine="480" w:firstLineChars="200"/>
        <w:jc w:val="both"/>
        <w:rPr>
          <w:rFonts w:hint="default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本月提供7个基于国密算法的远程接入账号（USB-key），如下表：</w:t>
      </w:r>
    </w:p>
    <w:tbl>
      <w:tblPr>
        <w:tblStyle w:val="9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436"/>
        <w:gridCol w:w="1719"/>
        <w:gridCol w:w="1158"/>
        <w:gridCol w:w="1158"/>
        <w:gridCol w:w="16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资产名称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资产类别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使用团队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管理人员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BEBEBE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序列号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张春鹏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胡轶鹏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王一罡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李建峰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王明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穆</w:t>
            </w: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百川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21116503</w:t>
            </w: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19" w:type="pct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USB-KEY</w:t>
            </w:r>
          </w:p>
        </w:tc>
        <w:tc>
          <w:tcPr>
            <w:tcW w:w="843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客户使用</w:t>
            </w:r>
          </w:p>
        </w:tc>
        <w:tc>
          <w:tcPr>
            <w:tcW w:w="1009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农业农村局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李学涛</w:t>
            </w:r>
          </w:p>
        </w:tc>
        <w:tc>
          <w:tcPr>
            <w:tcW w:w="680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default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宋正阳</w:t>
            </w:r>
          </w:p>
        </w:tc>
        <w:tc>
          <w:tcPr>
            <w:tcW w:w="967" w:type="pct"/>
            <w:tcBorders>
              <w:top w:val="single" w:color="1F2329" w:sz="4" w:space="0"/>
              <w:left w:val="nil"/>
              <w:bottom w:val="single" w:color="1F2329" w:sz="4" w:space="0"/>
              <w:right w:val="single" w:color="1F2329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baseline"/>
              <w:rPr>
                <w:rFonts w:hint="default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2111650</w:t>
            </w:r>
            <w:r>
              <w:rPr>
                <w:rFonts w:hint="eastAsia" w:ascii="宋体" w:hAnsi="宋体" w:cs="宋体"/>
                <w:color w:val="080F17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  <w:t>45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4" w:name="_Toc1221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  <w:t>国密浏览器服务</w:t>
      </w:r>
      <w:bookmarkEnd w:id="44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提供适配国密SSL证书的国密浏览器,支持国产密码算法和国密安全协议，实现浏览器端的国密算法升级改造。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国密浏览器是通过在浏览器层面深度集成支持SM2、SM3、SM4等国家密码算法标准，实现了HTTPS等关键网络通信协议的“国密化”，确保在特定高安全要求的场景下，数据传输和身份认证符合国家密码管理政策法规和安全性要求，是实现网络空间安全自主可控的重要工具。对于需要接入特定国密系统或满足特定合规要求的用户和组织，国密浏览器则是必备工具。</w:t>
      </w:r>
    </w:p>
    <w:p>
      <w:pPr>
        <w:spacing w:line="360" w:lineRule="auto"/>
        <w:ind w:firstLine="420" w:firstLineChars="0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下图为本项目为应用提供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的国密浏览器工具，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支持国密算法SM2/SM3，支</w:t>
      </w:r>
      <w:r>
        <w:rPr>
          <w:rFonts w:ascii="宋体" w:hAnsi="宋体" w:eastAsia="宋体" w:cs="宋体"/>
          <w:sz w:val="24"/>
          <w:szCs w:val="24"/>
          <w:highlight w:val="none"/>
        </w:rPr>
        <w:t>持基于国密算法的SSL协议，支持采用国密SSL证书实现HTTPS加密的网站正常访问的浏览器。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配置截图如下：</w:t>
      </w:r>
    </w:p>
    <w:p>
      <w:pPr>
        <w:keepNext w:val="0"/>
        <w:keepLines w:val="0"/>
        <w:widowControl/>
        <w:suppressLineNumbers w:val="0"/>
        <w:jc w:val="both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230" cy="2677160"/>
            <wp:effectExtent l="0" t="0" r="127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5" w:name="_Toc3275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SSL证书</w:t>
      </w:r>
      <w:bookmarkEnd w:id="45"/>
    </w:p>
    <w:p>
      <w:pPr>
        <w:snapToGrid/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符合国密算法的单域名SSL证书。提供全年共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26套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SSL证书服务。</w:t>
      </w:r>
    </w:p>
    <w:p>
      <w:pPr>
        <w:pStyle w:val="16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通过在密码机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申请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部署SSL证书实现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。</w:t>
      </w:r>
    </w:p>
    <w:p>
      <w:pPr>
        <w:pStyle w:val="16"/>
        <w:spacing w:line="360" w:lineRule="auto"/>
        <w:ind w:firstLine="420" w:firstLineChars="0"/>
        <w:rPr>
          <w:rStyle w:val="15"/>
          <w:rFonts w:hint="eastAsia" w:ascii="宋体" w:hAnsi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Style w:val="15"/>
          <w:rFonts w:hint="eastAsia" w:ascii="宋体" w:hAnsi="宋体" w:eastAsia="宋体" w:cs="宋体"/>
          <w:sz w:val="24"/>
          <w:highlight w:val="none"/>
          <w:lang w:val="en-US" w:eastAsia="zh-CN"/>
        </w:rPr>
        <w:t>下图为本项目SSL证书部署截图，由截图可见证书为国密证书，安全可靠</w:t>
      </w:r>
      <w:r>
        <w:rPr>
          <w:rStyle w:val="15"/>
          <w:rFonts w:hint="eastAsia" w:ascii="宋体" w:hAnsi="宋体" w:cs="宋体"/>
          <w:sz w:val="24"/>
          <w:highlight w:val="none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备注：SSL证书提供单域名服务，SSL应用网关服务提供</w:t>
      </w:r>
      <w:r>
        <w:rPr>
          <w:rFonts w:hint="eastAsia" w:ascii="宋体" w:hAnsi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证书</w:t>
      </w: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的</w:t>
      </w:r>
      <w:r>
        <w:rPr>
          <w:rFonts w:hint="eastAsia" w:ascii="宋体" w:hAnsi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部署/卸载</w:t>
      </w: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服务。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3705860" cy="3742690"/>
            <wp:effectExtent l="0" t="0" r="2540" b="381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74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highlight w:val="none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170805" cy="3128010"/>
            <wp:effectExtent l="0" t="0" r="10795" b="8890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3128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eastAsia="zh-CN"/>
        </w:rPr>
      </w:pPr>
    </w:p>
    <w:p>
      <w:pPr>
        <w:ind w:firstLine="420" w:firstLineChars="0"/>
        <w:rPr>
          <w:rStyle w:val="15"/>
          <w:rFonts w:hint="eastAsia" w:cs="宋体"/>
          <w:kern w:val="2"/>
          <w:szCs w:val="24"/>
          <w:highlight w:val="none"/>
          <w:lang w:val="en-US" w:eastAsia="zh-CN" w:bidi="ar-SA"/>
        </w:rPr>
      </w:pPr>
      <w:r>
        <w:rPr>
          <w:rStyle w:val="15"/>
          <w:rFonts w:hint="eastAsia" w:cs="宋体"/>
          <w:kern w:val="2"/>
          <w:szCs w:val="24"/>
          <w:highlight w:val="none"/>
          <w:lang w:val="en-US" w:eastAsia="zh-CN" w:bidi="ar-SA"/>
        </w:rPr>
        <w:t>SSL国密证书卸载配置信息列表：</w:t>
      </w:r>
    </w:p>
    <w:tbl>
      <w:tblPr>
        <w:tblStyle w:val="9"/>
        <w:tblW w:w="86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316"/>
        <w:gridCol w:w="835"/>
        <w:gridCol w:w="803"/>
        <w:gridCol w:w="824"/>
        <w:gridCol w:w="824"/>
        <w:gridCol w:w="15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23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资源IP：端口</w:t>
            </w:r>
          </w:p>
        </w:tc>
        <w:tc>
          <w:tcPr>
            <w:tcW w:w="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外部端口</w:t>
            </w:r>
          </w:p>
        </w:tc>
        <w:tc>
          <w:tcPr>
            <w:tcW w:w="80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模式选择</w:t>
            </w:r>
          </w:p>
        </w:tc>
        <w:tc>
          <w:tcPr>
            <w:tcW w:w="82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服务端签名证书</w:t>
            </w:r>
          </w:p>
        </w:tc>
        <w:tc>
          <w:tcPr>
            <w:tcW w:w="82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服务端加密证书</w:t>
            </w:r>
          </w:p>
        </w:tc>
        <w:tc>
          <w:tcPr>
            <w:tcW w:w="151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shd w:val="clear" w:fill="BEBEB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0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_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shd w:val="clear" w:fill="BEBEB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1" name="图片_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_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shd w:val="clear" w:fill="BEBEB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3" name="图片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_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shd w:val="clear" w:fill="BEBEB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5" name="图片_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_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算法套件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NLNC_GM01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192.169.4.223:8092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18590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7" name="图片_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_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" cy="12700"/>
                  <wp:effectExtent l="0" t="0" r="0" b="0"/>
                  <wp:wrapNone/>
                  <wp:docPr id="22" name="图片_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_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NLNC_GM02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192.169.4.137:8092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18591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NLNC_GM03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192.169.4.190:8060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18551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NLNC_GM04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192.169.4.218:7071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18595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NLNC_GM05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192.169.4.218:7072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18596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NLNC_GM06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192.169.4.218:7073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18597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NLNC_GM07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192.169.4.238:8060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18550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NLNC_GM08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192.169.4.250:7071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18592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NLNC_GM09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192.169.4.250:7072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192.169.4.250:7073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18594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NLNC_GM11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192.169.204.139:8080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18531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NLNC_GM12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192.169.204.139:8080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18532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NLNC_GM13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192.169.4.149:8088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18598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NLNC_GM14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192.169.4.187:8082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18599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NLNC_GM15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192.169.4.134:8089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18600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NLNC_GM16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192.169.4.189:8100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18601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NLNC_GM17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192.169.4.133:8086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18608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NLNC_GM18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192.169.4.129:8099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18609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NLNC_GM19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192.169.4.157:8989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18610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192.169.4.220:8848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192.169.235.210:8080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192.169.235.181:8080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192.169.235.157:8080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192.169.200.116:80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18613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50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192.169.246.45:80</w:t>
            </w:r>
          </w:p>
        </w:tc>
        <w:tc>
          <w:tcPr>
            <w:tcW w:w="835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18618</w:t>
            </w:r>
          </w:p>
        </w:tc>
        <w:tc>
          <w:tcPr>
            <w:tcW w:w="803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15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NLNC_GM20</w:t>
            </w:r>
          </w:p>
        </w:tc>
        <w:tc>
          <w:tcPr>
            <w:tcW w:w="2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192.169.203.178:85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18620</w:t>
            </w:r>
          </w:p>
        </w:tc>
        <w:tc>
          <w:tcPr>
            <w:tcW w:w="8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单向认证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SSIS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SSIE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ECC-SM4-SM3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80F17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ECC-SM1-SM3</w:t>
            </w:r>
          </w:p>
        </w:tc>
      </w:tr>
    </w:tbl>
    <w:p>
      <w:pPr>
        <w:ind w:firstLine="420" w:firstLineChars="0"/>
        <w:rPr>
          <w:rStyle w:val="15"/>
          <w:rFonts w:hint="default" w:cs="宋体"/>
          <w:kern w:val="2"/>
          <w:szCs w:val="24"/>
          <w:highlight w:val="none"/>
          <w:lang w:val="en-US" w:eastAsia="zh-CN" w:bidi="ar-SA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6" w:name="_Toc1351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SSL应用网关</w:t>
      </w:r>
      <w:bookmarkEnd w:id="46"/>
    </w:p>
    <w:p>
      <w:pPr>
        <w:snapToGrid/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为应用提供SSL加载/SSL卸载等服务,每张证书对应1个应用网关服务。提供全年共2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套SSL应用网关服务。</w:t>
      </w:r>
    </w:p>
    <w:p>
      <w:pPr>
        <w:snapToGrid/>
        <w:spacing w:line="360" w:lineRule="auto"/>
        <w:ind w:firstLine="420" w:firstLineChars="0"/>
        <w:jc w:val="both"/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通过在控制台配置实现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下图为本项目为应用提供2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套SSL 加载/SSL 卸载等服务，每张证书对应 1 个应用网关服务配置截图，如下图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：</w:t>
      </w:r>
    </w:p>
    <w:p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备注：SSL证书提供单域名服务，SSL应用网关服务提供</w:t>
      </w:r>
      <w:r>
        <w:rPr>
          <w:rFonts w:hint="eastAsia" w:ascii="宋体" w:hAnsi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证书</w:t>
      </w: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的</w:t>
      </w:r>
      <w:r>
        <w:rPr>
          <w:rFonts w:hint="eastAsia" w:ascii="宋体" w:hAnsi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部署/卸载</w:t>
      </w: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服务。</w:t>
      </w:r>
    </w:p>
    <w:p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highlight w:val="none"/>
          <w:lang w:eastAsia="zh-CN"/>
        </w:rPr>
        <w:drawing>
          <wp:inline distT="0" distB="0" distL="114300" distR="114300">
            <wp:extent cx="4993640" cy="3837305"/>
            <wp:effectExtent l="0" t="0" r="10160" b="10795"/>
            <wp:docPr id="3" name="图片 3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 (3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</w:rPr>
      </w:pPr>
      <w:r>
        <w:rPr>
          <w:rFonts w:hint="eastAsia" w:ascii="宋体" w:hAnsi="宋体" w:eastAsia="宋体" w:cs="宋体"/>
          <w:highlight w:val="none"/>
          <w:lang w:eastAsia="zh-CN"/>
        </w:rPr>
        <w:drawing>
          <wp:inline distT="0" distB="0" distL="114300" distR="114300">
            <wp:extent cx="5510530" cy="354330"/>
            <wp:effectExtent l="0" t="0" r="13970" b="7620"/>
            <wp:docPr id="8" name="图片 8" descr="0cb1019b-7277-4a63-9b3c-dc90c4b97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cb1019b-7277-4a63-9b3c-dc90c4b97e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47" w:name="_Toc17401"/>
      <w:r>
        <w:rPr>
          <w:rFonts w:hint="eastAsia"/>
          <w:highlight w:val="none"/>
          <w:lang w:val="en-US" w:eastAsia="zh-CN"/>
        </w:rPr>
        <w:t>云安全检测、监测、审计服务</w:t>
      </w:r>
      <w:bookmarkEnd w:id="47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8" w:name="_Toc2920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安全态势感知</w:t>
      </w:r>
      <w:bookmarkEnd w:id="48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提供业务可视化、威胁可视化、攻击与可疑流量可视化服务，在系统受到高级威胁入侵之后，损失发生之前及时发现威胁。</w:t>
      </w:r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通过将主机添加监控提供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业务可视化、威胁可视化、攻击与可疑流量可视化服务，在系统受到高级威胁入侵之后，损失发生之前及时发现威胁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本月自检正常，未发现威胁，如下图：详见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--安全态势感知报告。</w:t>
      </w:r>
    </w:p>
    <w:p>
      <w:pPr>
        <w:bidi w:val="0"/>
        <w:rPr>
          <w:rFonts w:hint="default"/>
          <w:highlight w:val="none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267325" cy="1990725"/>
            <wp:effectExtent l="0" t="0" r="9525" b="9525"/>
            <wp:docPr id="10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267325" cy="1476375"/>
            <wp:effectExtent l="0" t="0" r="9525" b="9525"/>
            <wp:docPr id="24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49" w:name="_Toc2634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主机漏洞扫描</w:t>
      </w:r>
      <w:bookmarkEnd w:id="49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为用户提供针对主机层面的安全扫描服务，并反馈相关结果。提供共13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台主机漏洞扫描服务。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通过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安全漏洞扫描工具对主机进行安全扫描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本月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主机漏洞扫描0台，0个高危漏洞，0个中危漏洞，0个低危漏洞，共计0个漏洞。</w:t>
      </w:r>
    </w:p>
    <w:p>
      <w:pPr>
        <w:snapToGrid/>
        <w:spacing w:line="360" w:lineRule="auto"/>
        <w:ind w:firstLine="480" w:firstLineChars="2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备注：主机漏洞扫描及主机安全加固根据合同内容及甲方需求进行，详见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--主机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漏洞扫描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报告。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50" w:name="_Toc543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主机日志分析</w:t>
      </w:r>
      <w:bookmarkEnd w:id="35"/>
      <w:bookmarkEnd w:id="50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针对操作系统进行日志收集，并且进行分析，并将结果反馈给用户，用于了解主机安全情况及资源使用情况。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提供共137台主机日志分析服务。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通过在服务器端部署安装日志审计软件，实现对操作系统日志的收集分析。</w:t>
      </w:r>
    </w:p>
    <w:p>
      <w:pPr>
        <w:snapToGrid/>
        <w:spacing w:line="360" w:lineRule="auto"/>
        <w:ind w:firstLine="482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配置截图：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下图为审计服务器配置截图，以下为农业农村局-综合管理平台-应用支撑正式服务器2-192.169.4.129主机配置截图，</w:t>
      </w:r>
      <w:r>
        <w:rPr>
          <w:rFonts w:hint="eastAsia" w:ascii="宋体" w:hAnsi="宋体" w:cs="宋体"/>
          <w:sz w:val="24"/>
          <w:highlight w:val="none"/>
          <w:lang w:val="en-US" w:eastAsia="zh-CN"/>
        </w:rPr>
        <w:t>其他服务器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与之配置相同</w:t>
      </w:r>
      <w:r>
        <w:rPr>
          <w:rFonts w:hint="eastAsia" w:ascii="宋体" w:hAnsi="宋体" w:cs="宋体"/>
          <w:sz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详见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市农业农村局2025年信息系统政务云租赁项目（扩展服务）（政务云扩展服务1）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--主机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日志分析报告</w:t>
      </w:r>
      <w:r>
        <w:rPr>
          <w:rFonts w:hint="eastAsia" w:ascii="宋体" w:hAnsi="宋体" w:cs="宋体"/>
          <w:sz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highlight w:val="none"/>
          <w:lang w:val="en-US" w:eastAsia="zh-CN"/>
        </w:rPr>
        <w:drawing>
          <wp:inline distT="0" distB="0" distL="114300" distR="114300">
            <wp:extent cx="5260340" cy="2731135"/>
            <wp:effectExtent l="0" t="0" r="16510" b="12065"/>
            <wp:docPr id="58" name="图片 58" descr="img_v2_49a72ec4-1923-41d0-a78f-8bcce1f418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img_v2_49a72ec4-1923-41d0-a78f-8bcce1f4182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51" w:name="_Toc8563"/>
      <w:bookmarkStart w:id="52" w:name="_Toc1325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数据库审计服务</w:t>
      </w:r>
      <w:bookmarkEnd w:id="51"/>
      <w:bookmarkEnd w:id="52"/>
    </w:p>
    <w:p>
      <w:pPr>
        <w:snapToGrid/>
        <w:spacing w:line="360" w:lineRule="auto"/>
        <w:ind w:firstLine="482" w:firstLineChars="200"/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支持Oracle、SQL-Server、DB2、MySQL等数据库审计，（1套为1个数据库实例），提供4</w:t>
      </w: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套数据库审计服务。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highlight w:val="none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在客户数据库服务器上安装数据库审计软件，一套为1个数据库实例。通过审计数据库服务器操作动作形成数据库审计日志记录。以便出现问题及时定位操作更改数据库信息。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服务部署结果如下图，6台数据库为主从模式，农业农村局-综合管理平台数据库1、农业农村局-综合管理平台数据库3、农业农村局-综合管理平台数据库5为主库服务器，农业农村局-综合管理平台数据库2、农业农村局-综合管理平台数据库4、农业农村局-综合管理平台数据库6为从库数据库，从库数据库实时同步主库服务器数据，部署地址使用固定172段地址。如下图红框位置，表示成果获取到审计记录，服务部署完成。部署结果如下图，红框位置为数据库审计记录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：</w:t>
      </w:r>
    </w:p>
    <w:p>
      <w:pPr>
        <w:pStyle w:val="4"/>
        <w:shd w:val="clear"/>
        <w:snapToGrid/>
        <w:spacing w:line="360" w:lineRule="auto"/>
        <w:ind w:firstLine="482" w:firstLineChars="200"/>
        <w:jc w:val="both"/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备注：合同中描述支持Oracle、SQL-Server、DB2、MySQL等数据库审计，</w:t>
      </w:r>
      <w:r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  <w:t>因本项目采用人大金仓数据库，为此采购人大金仓数据库审计服务为本项目数据库进行部署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  <w:t>数据库审计为标准化服务，具体实施按客户业务开发需求进行上线配置。</w:t>
      </w:r>
    </w:p>
    <w:p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0340" cy="2731135"/>
            <wp:effectExtent l="0" t="0" r="16510" b="12065"/>
            <wp:docPr id="57" name="图片 57" descr="img_v2_2a593edc-d0c0-4b9f-87b3-57d250e1854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img_v2_2a593edc-d0c0-4b9f-87b3-57d250e1854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53" w:name="_Toc8275"/>
      <w:r>
        <w:rPr>
          <w:rFonts w:hint="eastAsia"/>
          <w:highlight w:val="none"/>
          <w:lang w:val="en-US" w:eastAsia="zh-CN"/>
        </w:rPr>
        <w:t>云操作系统服务</w:t>
      </w:r>
      <w:bookmarkEnd w:id="53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54" w:name="_Toc1503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商用操作系统套餐</w:t>
      </w:r>
      <w:bookmarkEnd w:id="1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1</w:t>
      </w:r>
      <w:bookmarkEnd w:id="5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default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Windows Server套餐：Windows Server租用、安装及维护。提供全年共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34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套商用操作系统套餐1服务。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：通过提供Windows Server操作系统镜像，为云主机部署。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下图为192.168.181.147云主机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Windows Server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商用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操作系统部署截图，操作系统类型及版本如下图红框处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，其他云主机操作系统配置相同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：</w:t>
      </w:r>
    </w:p>
    <w:p>
      <w:pPr>
        <w:spacing w:line="360" w:lineRule="auto"/>
        <w:rPr>
          <w:rFonts w:hint="eastAsia" w:ascii="宋体" w:hAnsi="宋体" w:eastAsia="宋体" w:cs="宋体"/>
          <w:highlight w:val="none"/>
        </w:rPr>
      </w:pPr>
      <w:r>
        <w:rPr>
          <w:highlight w:val="none"/>
        </w:rPr>
        <w:drawing>
          <wp:inline distT="0" distB="0" distL="114300" distR="114300">
            <wp:extent cx="5269865" cy="1461135"/>
            <wp:effectExtent l="0" t="0" r="6985" b="571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55" w:name="_Toc24852"/>
      <w:bookmarkStart w:id="56" w:name="_Toc21448"/>
      <w:bookmarkStart w:id="57" w:name="_Toc2071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商用操作系统套餐2</w:t>
      </w:r>
      <w:bookmarkEnd w:id="5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国产Linux套餐：国产Linux操作系统服务租用、安装及维护。提供全年共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103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套商用操作系统套餐2服务。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：通过提供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国产Linux操作系统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镜像，为云主机部署。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下图为192.169.4.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226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云主机国产操作系统（银河麒麟v10）部署截图，操作系统类型及版本如下图红框处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，其他云主机操作系统配置相同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：</w:t>
      </w:r>
    </w:p>
    <w:p>
      <w:pPr>
        <w:rPr>
          <w:rFonts w:hint="eastAsia"/>
          <w:highlight w:val="none"/>
        </w:rPr>
      </w:pPr>
      <w:r>
        <w:rPr>
          <w:highlight w:val="none"/>
        </w:rPr>
        <w:drawing>
          <wp:inline distT="0" distB="0" distL="114300" distR="114300">
            <wp:extent cx="5266690" cy="1760220"/>
            <wp:effectExtent l="0" t="0" r="10160" b="1143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  <w:bookmarkEnd w:id="57"/>
    </w:p>
    <w:sectPr>
      <w:headerReference r:id="rId9" w:type="default"/>
      <w:footerReference r:id="rId10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73" name="图片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图片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2" name="图片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图片 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03F23CE"/>
    <w:rsid w:val="01437469"/>
    <w:rsid w:val="01610122"/>
    <w:rsid w:val="018C519F"/>
    <w:rsid w:val="022655F4"/>
    <w:rsid w:val="025F0B06"/>
    <w:rsid w:val="026779BA"/>
    <w:rsid w:val="0273010D"/>
    <w:rsid w:val="0293255D"/>
    <w:rsid w:val="029F7154"/>
    <w:rsid w:val="02A8425B"/>
    <w:rsid w:val="02DA018C"/>
    <w:rsid w:val="02EA4873"/>
    <w:rsid w:val="03724869"/>
    <w:rsid w:val="046441B2"/>
    <w:rsid w:val="04F64013"/>
    <w:rsid w:val="056B57EE"/>
    <w:rsid w:val="067D155B"/>
    <w:rsid w:val="06BA455D"/>
    <w:rsid w:val="070752C8"/>
    <w:rsid w:val="072E0AA7"/>
    <w:rsid w:val="07830DF3"/>
    <w:rsid w:val="07E51AAD"/>
    <w:rsid w:val="085E53BC"/>
    <w:rsid w:val="08C23B9D"/>
    <w:rsid w:val="094620D8"/>
    <w:rsid w:val="094E3D4F"/>
    <w:rsid w:val="095073FA"/>
    <w:rsid w:val="098F1CD1"/>
    <w:rsid w:val="09B27EF7"/>
    <w:rsid w:val="0A195A3E"/>
    <w:rsid w:val="0A794B51"/>
    <w:rsid w:val="0A8455AD"/>
    <w:rsid w:val="0AB15C77"/>
    <w:rsid w:val="0AD100C7"/>
    <w:rsid w:val="0B1A381C"/>
    <w:rsid w:val="0C0A77AE"/>
    <w:rsid w:val="0CB41A4E"/>
    <w:rsid w:val="0CC46135"/>
    <w:rsid w:val="0D134413"/>
    <w:rsid w:val="0D4337E3"/>
    <w:rsid w:val="0DA815B3"/>
    <w:rsid w:val="0E0F1632"/>
    <w:rsid w:val="0E324698"/>
    <w:rsid w:val="0EB67D00"/>
    <w:rsid w:val="0ED71555"/>
    <w:rsid w:val="0F672DA8"/>
    <w:rsid w:val="10190546"/>
    <w:rsid w:val="101A6499"/>
    <w:rsid w:val="111D7BC2"/>
    <w:rsid w:val="12A85BB1"/>
    <w:rsid w:val="12B74046"/>
    <w:rsid w:val="12CF313E"/>
    <w:rsid w:val="13056638"/>
    <w:rsid w:val="136C4E31"/>
    <w:rsid w:val="13994B64"/>
    <w:rsid w:val="13DB5F89"/>
    <w:rsid w:val="149E726C"/>
    <w:rsid w:val="14B7657F"/>
    <w:rsid w:val="15155054"/>
    <w:rsid w:val="15545B7C"/>
    <w:rsid w:val="15634011"/>
    <w:rsid w:val="15C40F54"/>
    <w:rsid w:val="15EE4223"/>
    <w:rsid w:val="161A0B74"/>
    <w:rsid w:val="1635775C"/>
    <w:rsid w:val="16677B31"/>
    <w:rsid w:val="16907088"/>
    <w:rsid w:val="17832749"/>
    <w:rsid w:val="17A6096F"/>
    <w:rsid w:val="18014E32"/>
    <w:rsid w:val="18C64FE3"/>
    <w:rsid w:val="18C748B7"/>
    <w:rsid w:val="19036C83"/>
    <w:rsid w:val="19306900"/>
    <w:rsid w:val="1A703458"/>
    <w:rsid w:val="1A9133CF"/>
    <w:rsid w:val="1AFC30DB"/>
    <w:rsid w:val="1B0B5B9A"/>
    <w:rsid w:val="1B6B3888"/>
    <w:rsid w:val="1B770817"/>
    <w:rsid w:val="1B913BA1"/>
    <w:rsid w:val="1B9E5DA3"/>
    <w:rsid w:val="1C1B5646"/>
    <w:rsid w:val="1C297D63"/>
    <w:rsid w:val="1C915908"/>
    <w:rsid w:val="1D2109B3"/>
    <w:rsid w:val="1D4D182F"/>
    <w:rsid w:val="1D547D18"/>
    <w:rsid w:val="1DC42063"/>
    <w:rsid w:val="1E4946EC"/>
    <w:rsid w:val="1E560BB7"/>
    <w:rsid w:val="1E935967"/>
    <w:rsid w:val="1EDF0BAD"/>
    <w:rsid w:val="1EF503D0"/>
    <w:rsid w:val="20BD4F1E"/>
    <w:rsid w:val="2136082C"/>
    <w:rsid w:val="214116AB"/>
    <w:rsid w:val="222D60D3"/>
    <w:rsid w:val="22CC31F6"/>
    <w:rsid w:val="230F3959"/>
    <w:rsid w:val="231A6657"/>
    <w:rsid w:val="234725AF"/>
    <w:rsid w:val="23B048C6"/>
    <w:rsid w:val="23DA5DE6"/>
    <w:rsid w:val="23DE7685"/>
    <w:rsid w:val="23E34E2B"/>
    <w:rsid w:val="24325239"/>
    <w:rsid w:val="24B71C84"/>
    <w:rsid w:val="24BB237C"/>
    <w:rsid w:val="260809E9"/>
    <w:rsid w:val="26894365"/>
    <w:rsid w:val="26D7520B"/>
    <w:rsid w:val="26E2748C"/>
    <w:rsid w:val="26FE1DEC"/>
    <w:rsid w:val="272E26D1"/>
    <w:rsid w:val="27CB6172"/>
    <w:rsid w:val="282910EA"/>
    <w:rsid w:val="28754330"/>
    <w:rsid w:val="29A053DC"/>
    <w:rsid w:val="29DF4157"/>
    <w:rsid w:val="2A1F09F7"/>
    <w:rsid w:val="2A383867"/>
    <w:rsid w:val="2AE337D3"/>
    <w:rsid w:val="2AE632C3"/>
    <w:rsid w:val="2B035C23"/>
    <w:rsid w:val="2B634913"/>
    <w:rsid w:val="2C536736"/>
    <w:rsid w:val="2C6A0BFA"/>
    <w:rsid w:val="2C73502A"/>
    <w:rsid w:val="2C7F577D"/>
    <w:rsid w:val="2C994A91"/>
    <w:rsid w:val="2D104627"/>
    <w:rsid w:val="2D2F2CFF"/>
    <w:rsid w:val="2D776454"/>
    <w:rsid w:val="2E56075F"/>
    <w:rsid w:val="2E976DAE"/>
    <w:rsid w:val="2F2D14C0"/>
    <w:rsid w:val="2F9E5F1A"/>
    <w:rsid w:val="30C57D0B"/>
    <w:rsid w:val="31AC7601"/>
    <w:rsid w:val="322070BA"/>
    <w:rsid w:val="322A7F39"/>
    <w:rsid w:val="32476D3D"/>
    <w:rsid w:val="33274478"/>
    <w:rsid w:val="332D7CE1"/>
    <w:rsid w:val="33D4015C"/>
    <w:rsid w:val="3474193F"/>
    <w:rsid w:val="34B54432"/>
    <w:rsid w:val="351F3659"/>
    <w:rsid w:val="35AB1391"/>
    <w:rsid w:val="35AB313F"/>
    <w:rsid w:val="36317AE8"/>
    <w:rsid w:val="363561A5"/>
    <w:rsid w:val="36536F68"/>
    <w:rsid w:val="36873BAC"/>
    <w:rsid w:val="36926BFA"/>
    <w:rsid w:val="36DF7544"/>
    <w:rsid w:val="37500442"/>
    <w:rsid w:val="376E6016"/>
    <w:rsid w:val="37971BCD"/>
    <w:rsid w:val="37FC4126"/>
    <w:rsid w:val="38142CE8"/>
    <w:rsid w:val="385950D4"/>
    <w:rsid w:val="38A00F55"/>
    <w:rsid w:val="38C5276A"/>
    <w:rsid w:val="38CC58A6"/>
    <w:rsid w:val="38D421D8"/>
    <w:rsid w:val="3962445C"/>
    <w:rsid w:val="3A4A561C"/>
    <w:rsid w:val="3AFE01B5"/>
    <w:rsid w:val="3B3F4A55"/>
    <w:rsid w:val="3BB54D17"/>
    <w:rsid w:val="3BCB62E9"/>
    <w:rsid w:val="3CF33D49"/>
    <w:rsid w:val="3CFB2BFE"/>
    <w:rsid w:val="3D826E7B"/>
    <w:rsid w:val="3D840E45"/>
    <w:rsid w:val="3DA43295"/>
    <w:rsid w:val="3DB17760"/>
    <w:rsid w:val="3E157CEF"/>
    <w:rsid w:val="3E625290"/>
    <w:rsid w:val="3F033FEC"/>
    <w:rsid w:val="3F0A537A"/>
    <w:rsid w:val="406B3BF6"/>
    <w:rsid w:val="40774C14"/>
    <w:rsid w:val="407D1B7C"/>
    <w:rsid w:val="408D4932"/>
    <w:rsid w:val="40E67721"/>
    <w:rsid w:val="42165DE4"/>
    <w:rsid w:val="433C7ACC"/>
    <w:rsid w:val="456926CF"/>
    <w:rsid w:val="45991206"/>
    <w:rsid w:val="45FE550D"/>
    <w:rsid w:val="461D3BE5"/>
    <w:rsid w:val="46250CEB"/>
    <w:rsid w:val="4646138E"/>
    <w:rsid w:val="464A3F40"/>
    <w:rsid w:val="4665733A"/>
    <w:rsid w:val="46E42955"/>
    <w:rsid w:val="46F34946"/>
    <w:rsid w:val="471E4795"/>
    <w:rsid w:val="48BA1BBF"/>
    <w:rsid w:val="48D32C81"/>
    <w:rsid w:val="49A63EF1"/>
    <w:rsid w:val="49D72799"/>
    <w:rsid w:val="4A372D9B"/>
    <w:rsid w:val="4A4B0101"/>
    <w:rsid w:val="4A71301D"/>
    <w:rsid w:val="4A9D52F4"/>
    <w:rsid w:val="4AA7314C"/>
    <w:rsid w:val="4ADF590D"/>
    <w:rsid w:val="4AF173EE"/>
    <w:rsid w:val="4B201A81"/>
    <w:rsid w:val="4B667DDC"/>
    <w:rsid w:val="4BAF3531"/>
    <w:rsid w:val="4BBF201F"/>
    <w:rsid w:val="4CB22BAD"/>
    <w:rsid w:val="4E157897"/>
    <w:rsid w:val="4E772300"/>
    <w:rsid w:val="4FFA4F97"/>
    <w:rsid w:val="4FFC2ABD"/>
    <w:rsid w:val="501047BA"/>
    <w:rsid w:val="502B33A2"/>
    <w:rsid w:val="50373AF5"/>
    <w:rsid w:val="507A6580"/>
    <w:rsid w:val="50A15412"/>
    <w:rsid w:val="50DD28EE"/>
    <w:rsid w:val="511F34DA"/>
    <w:rsid w:val="5187285A"/>
    <w:rsid w:val="52287B99"/>
    <w:rsid w:val="52A1794C"/>
    <w:rsid w:val="52ED2B91"/>
    <w:rsid w:val="5311687F"/>
    <w:rsid w:val="537F5EDF"/>
    <w:rsid w:val="537F7C8D"/>
    <w:rsid w:val="53875DFF"/>
    <w:rsid w:val="53980D4F"/>
    <w:rsid w:val="53FE0149"/>
    <w:rsid w:val="543F741C"/>
    <w:rsid w:val="545532C4"/>
    <w:rsid w:val="546155E5"/>
    <w:rsid w:val="549C661D"/>
    <w:rsid w:val="54AD082A"/>
    <w:rsid w:val="55083CB2"/>
    <w:rsid w:val="55167025"/>
    <w:rsid w:val="5543118E"/>
    <w:rsid w:val="55D83684"/>
    <w:rsid w:val="56311020"/>
    <w:rsid w:val="56332FB1"/>
    <w:rsid w:val="5637484F"/>
    <w:rsid w:val="56925F29"/>
    <w:rsid w:val="57B53698"/>
    <w:rsid w:val="57EF2F07"/>
    <w:rsid w:val="57F64296"/>
    <w:rsid w:val="5818245E"/>
    <w:rsid w:val="58285598"/>
    <w:rsid w:val="58B101BD"/>
    <w:rsid w:val="5933709C"/>
    <w:rsid w:val="593C03CE"/>
    <w:rsid w:val="5A7616BE"/>
    <w:rsid w:val="5A7F4A16"/>
    <w:rsid w:val="5AD20FEA"/>
    <w:rsid w:val="5AD92379"/>
    <w:rsid w:val="5B280C0A"/>
    <w:rsid w:val="5B77749C"/>
    <w:rsid w:val="5BC30933"/>
    <w:rsid w:val="5C7B745F"/>
    <w:rsid w:val="5D302934"/>
    <w:rsid w:val="5D417D61"/>
    <w:rsid w:val="5E082F75"/>
    <w:rsid w:val="5E327506"/>
    <w:rsid w:val="5E37656C"/>
    <w:rsid w:val="5EBA601D"/>
    <w:rsid w:val="5F090D52"/>
    <w:rsid w:val="5F1576F7"/>
    <w:rsid w:val="5F447FDD"/>
    <w:rsid w:val="5F661D01"/>
    <w:rsid w:val="5FAA6092"/>
    <w:rsid w:val="601E25DC"/>
    <w:rsid w:val="60820DBC"/>
    <w:rsid w:val="60821539"/>
    <w:rsid w:val="610B7004"/>
    <w:rsid w:val="614E6EF1"/>
    <w:rsid w:val="615F4C5A"/>
    <w:rsid w:val="624034B7"/>
    <w:rsid w:val="627604AD"/>
    <w:rsid w:val="629D1EDE"/>
    <w:rsid w:val="62F6339C"/>
    <w:rsid w:val="63780010"/>
    <w:rsid w:val="63C94F54"/>
    <w:rsid w:val="65293EFC"/>
    <w:rsid w:val="652E1513"/>
    <w:rsid w:val="6531690D"/>
    <w:rsid w:val="65402FF4"/>
    <w:rsid w:val="657B402C"/>
    <w:rsid w:val="65C94D98"/>
    <w:rsid w:val="661204ED"/>
    <w:rsid w:val="66285F62"/>
    <w:rsid w:val="66B9305E"/>
    <w:rsid w:val="66DE0D17"/>
    <w:rsid w:val="676E7C37"/>
    <w:rsid w:val="67AB6E4B"/>
    <w:rsid w:val="67D30150"/>
    <w:rsid w:val="68833924"/>
    <w:rsid w:val="69360996"/>
    <w:rsid w:val="694831D0"/>
    <w:rsid w:val="69823BDB"/>
    <w:rsid w:val="69CE0BCF"/>
    <w:rsid w:val="69E323FC"/>
    <w:rsid w:val="6A3273AF"/>
    <w:rsid w:val="6A5A4B58"/>
    <w:rsid w:val="6A794FDE"/>
    <w:rsid w:val="6AC56475"/>
    <w:rsid w:val="6BF863D7"/>
    <w:rsid w:val="6BFF7765"/>
    <w:rsid w:val="6C6B6BA9"/>
    <w:rsid w:val="6C9C1458"/>
    <w:rsid w:val="6CF778CB"/>
    <w:rsid w:val="6D15638E"/>
    <w:rsid w:val="6D981C1F"/>
    <w:rsid w:val="6DE5298B"/>
    <w:rsid w:val="6E380D0C"/>
    <w:rsid w:val="6E810905"/>
    <w:rsid w:val="6EF84588"/>
    <w:rsid w:val="6F060E0B"/>
    <w:rsid w:val="6F1C062E"/>
    <w:rsid w:val="6F8A37EA"/>
    <w:rsid w:val="71184E25"/>
    <w:rsid w:val="71BE43FF"/>
    <w:rsid w:val="72AF5315"/>
    <w:rsid w:val="7315161C"/>
    <w:rsid w:val="73261A7B"/>
    <w:rsid w:val="743D52CE"/>
    <w:rsid w:val="74E120FE"/>
    <w:rsid w:val="751D6EAE"/>
    <w:rsid w:val="753F6E24"/>
    <w:rsid w:val="75526B58"/>
    <w:rsid w:val="75E1612D"/>
    <w:rsid w:val="75ED6880"/>
    <w:rsid w:val="769211D6"/>
    <w:rsid w:val="76AC04E9"/>
    <w:rsid w:val="76D11CFE"/>
    <w:rsid w:val="76F8372F"/>
    <w:rsid w:val="77133CA5"/>
    <w:rsid w:val="777803CC"/>
    <w:rsid w:val="779416A9"/>
    <w:rsid w:val="77BF249E"/>
    <w:rsid w:val="783E3A02"/>
    <w:rsid w:val="7840538D"/>
    <w:rsid w:val="7857314F"/>
    <w:rsid w:val="78A53442"/>
    <w:rsid w:val="79A27982"/>
    <w:rsid w:val="79C67B14"/>
    <w:rsid w:val="79E61F64"/>
    <w:rsid w:val="7AA716F4"/>
    <w:rsid w:val="7AE85868"/>
    <w:rsid w:val="7B3665D4"/>
    <w:rsid w:val="7B3D3E06"/>
    <w:rsid w:val="7B3F7B7E"/>
    <w:rsid w:val="7B4D16C2"/>
    <w:rsid w:val="7C030BAC"/>
    <w:rsid w:val="7C305719"/>
    <w:rsid w:val="7C52743D"/>
    <w:rsid w:val="7D4C6582"/>
    <w:rsid w:val="7DB67EA0"/>
    <w:rsid w:val="7DE20C95"/>
    <w:rsid w:val="7E2E3EDA"/>
    <w:rsid w:val="7F9B559F"/>
    <w:rsid w:val="7F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360" w:lineRule="auto"/>
      <w:jc w:val="left"/>
      <w:outlineLvl w:val="0"/>
    </w:pPr>
    <w:rPr>
      <w:rFonts w:ascii="宋体" w:hAnsi="宋体" w:eastAsia="宋体"/>
      <w:bCs/>
      <w:kern w:val="44"/>
      <w:sz w:val="28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宋体" w:hAnsi="宋体" w:eastAsia="宋体" w:cstheme="majorBidi"/>
      <w:bCs/>
      <w:sz w:val="28"/>
      <w:szCs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0"/>
    <w:rPr>
      <w:b/>
    </w:rPr>
  </w:style>
  <w:style w:type="paragraph" w:customStyle="1" w:styleId="13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paragraph" w:styleId="1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character" w:customStyle="1" w:styleId="15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jpeg"/><Relationship Id="rId31" Type="http://schemas.openxmlformats.org/officeDocument/2006/relationships/image" Target="media/image21.jpe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jpe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4580</Words>
  <Characters>4985</Characters>
  <Lines>0</Lines>
  <Paragraphs>0</Paragraphs>
  <TotalTime>4</TotalTime>
  <ScaleCrop>false</ScaleCrop>
  <LinksUpToDate>false</LinksUpToDate>
  <CharactersWithSpaces>5044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2025-12-05T10:56:17Z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7F0C7B6135CB40CE919ABE7ED13170F6_13</vt:lpwstr>
  </property>
  <property fmtid="{D5CDD505-2E9C-101B-9397-08002B2CF9AE}" pid="4" name="KSOTemplateDocerSaveRecord">
    <vt:lpwstr>eyJoZGlkIjoiZmFiZjVhNjllNDJiNmNmMDhlMjE0NTA3NWNiOTc0NWYiLCJ1c2VySWQiOiIyMDczNjM0NTAifQ==</vt:lpwstr>
  </property>
</Properties>
</file>