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宋体" w:hAnsi="宋体"/>
          <w:b/>
          <w:sz w:val="24"/>
        </w:rPr>
      </w:pPr>
    </w:p>
    <w:p>
      <w:pPr>
        <w:keepNext w:val="0"/>
        <w:keepLines w:val="0"/>
        <w:widowControl/>
        <w:suppressLineNumbers w:val="0"/>
        <w:jc w:val="center"/>
        <w:rPr>
          <w:rFonts w:hint="eastAsia" w:ascii="黑体" w:hAnsi="黑体" w:eastAsia="黑体"/>
          <w:b/>
          <w:color w:val="auto"/>
          <w:sz w:val="36"/>
          <w:szCs w:val="36"/>
          <w:highlight w:val="none"/>
          <w:lang w:val="en-US" w:eastAsia="zh-CN"/>
        </w:rPr>
      </w:pPr>
      <w:r>
        <w:rPr>
          <w:rFonts w:hint="eastAsia" w:ascii="黑体" w:hAnsi="黑体" w:eastAsia="黑体"/>
          <w:b/>
          <w:sz w:val="36"/>
          <w:szCs w:val="36"/>
          <w:lang w:val="en-US" w:eastAsia="zh-CN"/>
        </w:rPr>
        <w:t>卫健委大数据与政策研究中心</w:t>
      </w:r>
    </w:p>
    <w:p>
      <w:pPr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政务云服务月度运维服务报告</w:t>
      </w: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jc w:val="center"/>
        <w:rPr>
          <w:rFonts w:ascii="宋体" w:hAnsi="宋体"/>
          <w:b/>
          <w:color w:val="666666"/>
          <w:sz w:val="24"/>
          <w:shd w:val="clear" w:color="auto" w:fill="FFFFFF"/>
        </w:rPr>
      </w:pPr>
      <w:r>
        <w:drawing>
          <wp:inline distT="0" distB="0" distL="0" distR="0">
            <wp:extent cx="319405" cy="500380"/>
            <wp:effectExtent l="0" t="0" r="444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82" cy="52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</w:pPr>
      <w:r>
        <w:rPr>
          <w:rFonts w:ascii="黑体" w:hAnsi="黑体" w:eastAsia="黑体"/>
          <w:b/>
          <w:sz w:val="24"/>
          <w:shd w:val="clear" w:color="auto" w:fill="FFFFFF"/>
        </w:rPr>
        <w:t>北京金山云网络技术有限公司</w:t>
      </w:r>
    </w:p>
    <w:p>
      <w:pPr>
        <w:pStyle w:val="51"/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t>202</w:t>
      </w:r>
      <w:r>
        <w:rPr>
          <w:rFonts w:hint="eastAsia"/>
          <w:lang w:val="en-US" w:eastAsia="zh-CN"/>
        </w:rPr>
        <w:t>5</w:t>
      </w:r>
      <w:r>
        <w:t>年</w:t>
      </w:r>
      <w:r>
        <w:rPr>
          <w:rFonts w:hint="eastAsia"/>
          <w:lang w:val="en-US" w:eastAsia="zh-CN"/>
        </w:rPr>
        <w:t>11</w:t>
      </w:r>
      <w:r>
        <w:t>月</w:t>
      </w:r>
    </w:p>
    <w:p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  <w:sectPr>
          <w:headerReference r:id="rId3" w:type="default"/>
          <w:footerReference r:id="rId4" w:type="default"/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spacing w:line="360" w:lineRule="auto"/>
        <w:rPr>
          <w:rFonts w:ascii="宋体" w:hAnsi="宋体"/>
          <w:color w:val="666666"/>
          <w:sz w:val="24"/>
          <w:shd w:val="clear" w:color="auto" w:fill="FFFFFF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13"/>
        <w:tabs>
          <w:tab w:val="left" w:pos="-1400"/>
          <w:tab w:val="clear" w:pos="400"/>
        </w:tabs>
        <w:ind w:left="560" w:leftChars="0" w:hanging="560" w:hangingChars="200"/>
      </w:pPr>
      <w:r>
        <w:rPr>
          <w:rFonts w:hint="eastAsia"/>
          <w:sz w:val="28"/>
          <w:szCs w:val="28"/>
        </w:rPr>
        <w:t>目录</w:t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rPr>
          <w:rFonts w:ascii="黑体" w:hAnsi="黑体" w:eastAsia="黑体" w:cs="宋体"/>
          <w:sz w:val="32"/>
        </w:rPr>
        <w:fldChar w:fldCharType="begin"/>
      </w:r>
      <w:r>
        <w:rPr>
          <w:rFonts w:ascii="黑体" w:hAnsi="黑体" w:eastAsia="黑体" w:cs="宋体"/>
          <w:sz w:val="32"/>
        </w:rPr>
        <w:instrText xml:space="preserve"> TOC \o "1-3" \h \z \u </w:instrText>
      </w:r>
      <w:r>
        <w:rPr>
          <w:rFonts w:ascii="黑体" w:hAnsi="黑体" w:eastAsia="黑体" w:cs="宋体"/>
          <w:sz w:val="32"/>
        </w:rPr>
        <w:fldChar w:fldCharType="separate"/>
      </w:r>
      <w:r>
        <w:rPr>
          <w:rFonts w:ascii="黑体" w:hAnsi="黑体" w:eastAsia="黑体" w:cs="宋体"/>
        </w:rPr>
        <w:fldChar w:fldCharType="begin"/>
      </w:r>
      <w:r>
        <w:rPr>
          <w:rFonts w:ascii="黑体" w:hAnsi="黑体" w:eastAsia="黑体" w:cs="宋体"/>
        </w:rPr>
        <w:instrText xml:space="preserve"> HYPERLINK \l _Toc15393 </w:instrText>
      </w:r>
      <w:r>
        <w:rPr>
          <w:rFonts w:ascii="黑体" w:hAnsi="黑体" w:eastAsia="黑体" w:cs="宋体"/>
        </w:rPr>
        <w:fldChar w:fldCharType="separate"/>
      </w:r>
      <w:r>
        <w:rPr>
          <w:rFonts w:ascii="黑体" w:hAnsi="黑体" w:eastAsia="黑体"/>
          <w:szCs w:val="32"/>
        </w:rPr>
        <w:t xml:space="preserve">1 </w:t>
      </w:r>
      <w:r>
        <w:rPr>
          <w:rFonts w:hint="eastAsia" w:ascii="黑体" w:hAnsi="黑体" w:eastAsia="黑体"/>
          <w:szCs w:val="32"/>
        </w:rPr>
        <w:t>基础资源台账概况</w:t>
      </w:r>
      <w:r>
        <w:tab/>
      </w:r>
      <w:r>
        <w:fldChar w:fldCharType="begin"/>
      </w:r>
      <w:r>
        <w:instrText xml:space="preserve"> PAGEREF _Toc15393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hAnsi="黑体" w:eastAsia="黑体" w:cs="宋体"/>
        </w:rP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_Toc12741 </w:instrText>
      </w:r>
      <w:r>
        <w:fldChar w:fldCharType="separate"/>
      </w:r>
      <w:r>
        <w:rPr>
          <w:rFonts w:ascii="黑体" w:hAnsi="黑体" w:eastAsia="黑体"/>
          <w:szCs w:val="32"/>
        </w:rPr>
        <w:t xml:space="preserve">2 </w:t>
      </w:r>
      <w:r>
        <w:rPr>
          <w:rFonts w:hint="eastAsia" w:ascii="黑体" w:hAnsi="黑体" w:eastAsia="黑体"/>
          <w:szCs w:val="32"/>
        </w:rPr>
        <w:t>本月技术支撑统计</w:t>
      </w:r>
      <w:r>
        <w:tab/>
      </w:r>
      <w:r>
        <w:fldChar w:fldCharType="begin"/>
      </w:r>
      <w:r>
        <w:instrText xml:space="preserve"> PAGEREF _Toc12741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_Toc25059 </w:instrText>
      </w:r>
      <w:r>
        <w:fldChar w:fldCharType="separate"/>
      </w:r>
      <w:r>
        <w:rPr>
          <w:rFonts w:ascii="黑体" w:hAnsi="黑体" w:eastAsia="黑体"/>
          <w:szCs w:val="32"/>
        </w:rPr>
        <w:t xml:space="preserve">3 </w:t>
      </w:r>
      <w:r>
        <w:rPr>
          <w:rFonts w:hint="eastAsia" w:ascii="黑体" w:hAnsi="黑体" w:eastAsia="黑体"/>
          <w:szCs w:val="32"/>
        </w:rPr>
        <w:t>业务系统资源使用情况统计（</w:t>
      </w:r>
      <w:r>
        <w:rPr>
          <w:rFonts w:ascii="黑体" w:hAnsi="黑体" w:eastAsia="黑体"/>
          <w:szCs w:val="32"/>
        </w:rPr>
        <w:t>CPU、内存、存储）</w:t>
      </w:r>
      <w:r>
        <w:tab/>
      </w:r>
      <w:r>
        <w:fldChar w:fldCharType="begin"/>
      </w:r>
      <w:r>
        <w:instrText xml:space="preserve"> PAGEREF _Toc25059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_Toc24084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附件1：政务云基础资源台账</w:t>
      </w:r>
      <w:r>
        <w:tab/>
      </w:r>
      <w:r>
        <w:fldChar w:fldCharType="begin"/>
      </w:r>
      <w:r>
        <w:instrText xml:space="preserve"> PAGEREF _Toc24084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_Toc17616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附件2：资源使用率详情</w:t>
      </w:r>
      <w:r>
        <w:tab/>
      </w:r>
      <w:r>
        <w:fldChar w:fldCharType="begin"/>
      </w:r>
      <w:r>
        <w:instrText xml:space="preserve"> PAGEREF _Toc17616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_Toc15331 </w:instrText>
      </w:r>
      <w:r>
        <w:fldChar w:fldCharType="separate"/>
      </w:r>
      <w:r>
        <w:rPr>
          <w:rFonts w:hint="default" w:ascii="黑体" w:hAnsi="黑体" w:eastAsia="黑体"/>
        </w:rPr>
        <w:t xml:space="preserve">（1） </w:t>
      </w:r>
      <w:r>
        <w:rPr>
          <w:rFonts w:hint="eastAsia" w:ascii="黑体" w:hAnsi="黑体" w:eastAsia="黑体"/>
        </w:rPr>
        <w:t>CPU使用率详情</w:t>
      </w:r>
      <w:r>
        <w:tab/>
      </w:r>
      <w:r>
        <w:fldChar w:fldCharType="begin"/>
      </w:r>
      <w:r>
        <w:instrText xml:space="preserve"> PAGEREF _Toc15331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_Toc3076 </w:instrText>
      </w:r>
      <w:r>
        <w:fldChar w:fldCharType="separate"/>
      </w:r>
      <w:r>
        <w:rPr>
          <w:rFonts w:hint="default" w:ascii="黑体" w:hAnsi="黑体" w:eastAsia="黑体"/>
        </w:rPr>
        <w:t xml:space="preserve">（2） </w:t>
      </w:r>
      <w:r>
        <w:rPr>
          <w:rFonts w:hint="eastAsia" w:ascii="黑体" w:hAnsi="黑体" w:eastAsia="黑体"/>
        </w:rPr>
        <w:t>内存使用率详情</w:t>
      </w:r>
      <w:r>
        <w:tab/>
      </w:r>
      <w:r>
        <w:fldChar w:fldCharType="begin"/>
      </w:r>
      <w:r>
        <w:instrText xml:space="preserve"> PAGEREF _Toc3076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_Toc8267 </w:instrText>
      </w:r>
      <w:r>
        <w:fldChar w:fldCharType="separate"/>
      </w:r>
      <w:r>
        <w:rPr>
          <w:rFonts w:hint="default" w:ascii="黑体" w:hAnsi="黑体" w:eastAsia="黑体"/>
        </w:rPr>
        <w:t xml:space="preserve">（3） </w:t>
      </w:r>
      <w:r>
        <w:rPr>
          <w:rFonts w:hint="eastAsia" w:ascii="黑体" w:hAnsi="黑体" w:eastAsia="黑体"/>
        </w:rPr>
        <w:t>磁盘使用率详情</w:t>
      </w:r>
      <w:r>
        <w:tab/>
      </w:r>
      <w:r>
        <w:fldChar w:fldCharType="begin"/>
      </w:r>
      <w:r>
        <w:instrText xml:space="preserve"> PAGEREF _Toc8267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_Toc15616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附件3：安全服务报告</w:t>
      </w:r>
      <w:r>
        <w:tab/>
      </w:r>
      <w:r>
        <w:fldChar w:fldCharType="begin"/>
      </w:r>
      <w:r>
        <w:instrText xml:space="preserve"> PAGEREF _Toc15616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_Toc22324 </w:instrText>
      </w:r>
      <w:r>
        <w:fldChar w:fldCharType="separate"/>
      </w:r>
      <w:r>
        <w:rPr>
          <w:rFonts w:hint="eastAsia" w:ascii="黑体" w:hAnsi="黑体" w:eastAsia="黑体"/>
        </w:rPr>
        <w:t xml:space="preserve">（1） </w:t>
      </w:r>
      <w:r>
        <w:rPr>
          <w:rFonts w:hint="eastAsia" w:ascii="黑体" w:hAnsi="黑体" w:eastAsia="黑体"/>
          <w:lang w:val="en-US" w:eastAsia="zh-CN"/>
        </w:rPr>
        <w:t>VPN审计记录</w:t>
      </w:r>
      <w:r>
        <w:tab/>
      </w:r>
      <w:r>
        <w:fldChar w:fldCharType="begin"/>
      </w:r>
      <w:r>
        <w:instrText xml:space="preserve"> PAGEREF _Toc22324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_Toc4582 </w:instrText>
      </w:r>
      <w:r>
        <w:fldChar w:fldCharType="separate"/>
      </w:r>
      <w:r>
        <w:rPr>
          <w:rFonts w:hint="eastAsia"/>
        </w:rPr>
        <w:t xml:space="preserve">（2） </w:t>
      </w:r>
      <w:r>
        <w:rPr>
          <w:rFonts w:hint="eastAsia" w:ascii="黑体" w:hAnsi="黑体" w:eastAsia="黑体"/>
          <w:lang w:val="en-US" w:eastAsia="zh-CN"/>
        </w:rPr>
        <w:t>堡垒机审计记录</w:t>
      </w:r>
      <w:r>
        <w:tab/>
      </w:r>
      <w:r>
        <w:fldChar w:fldCharType="begin"/>
      </w:r>
      <w:r>
        <w:instrText xml:space="preserve"> PAGEREF _Toc4582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_Toc14891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（3） 主机杀毒服务报告</w:t>
      </w:r>
      <w:r>
        <w:tab/>
      </w:r>
      <w:r>
        <w:fldChar w:fldCharType="begin"/>
      </w:r>
      <w:r>
        <w:instrText xml:space="preserve"> PAGEREF _Toc14891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_Toc18824 </w:instrText>
      </w:r>
      <w:r>
        <w:fldChar w:fldCharType="separate"/>
      </w:r>
      <w:r>
        <w:rPr>
          <w:rFonts w:hint="eastAsia" w:ascii="黑体" w:hAnsi="黑体" w:eastAsia="黑体"/>
        </w:rPr>
        <w:t xml:space="preserve">（4） </w:t>
      </w:r>
      <w:r>
        <w:rPr>
          <w:rFonts w:hint="eastAsia" w:ascii="黑体" w:hAnsi="黑体" w:eastAsia="黑体"/>
          <w:lang w:val="en-US" w:eastAsia="zh-CN"/>
        </w:rPr>
        <w:t>云端APT防护服务报告</w:t>
      </w:r>
      <w:r>
        <w:tab/>
      </w:r>
      <w:r>
        <w:fldChar w:fldCharType="begin"/>
      </w:r>
      <w:r>
        <w:instrText xml:space="preserve"> PAGEREF _Toc18824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_Toc10511 </w:instrText>
      </w:r>
      <w:r>
        <w:fldChar w:fldCharType="separate"/>
      </w:r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r>
        <w:tab/>
      </w:r>
      <w:r>
        <w:fldChar w:fldCharType="begin"/>
      </w:r>
      <w:r>
        <w:instrText xml:space="preserve"> PAGEREF _Toc10511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_Toc28292 </w:instrText>
      </w:r>
      <w:r>
        <w:fldChar w:fldCharType="separate"/>
      </w:r>
      <w:r>
        <w:rPr>
          <w:rFonts w:hint="eastAsia" w:ascii="黑体" w:hAnsi="黑体" w:eastAsia="黑体" w:cs="黑体"/>
        </w:rPr>
        <w:t>（2） 整体情况：</w:t>
      </w:r>
      <w:r>
        <w:tab/>
      </w:r>
      <w:r>
        <w:fldChar w:fldCharType="begin"/>
      </w:r>
      <w:r>
        <w:instrText xml:space="preserve"> PAGEREF _Toc28292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_Toc28083 </w:instrText>
      </w:r>
      <w:r>
        <w:fldChar w:fldCharType="separate"/>
      </w:r>
      <w:r>
        <w:rPr>
          <w:rFonts w:hint="eastAsia" w:ascii="黑体" w:hAnsi="黑体" w:eastAsia="黑体"/>
        </w:rPr>
        <w:t xml:space="preserve">（5） </w:t>
      </w:r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r>
        <w:tab/>
      </w:r>
      <w:r>
        <w:fldChar w:fldCharType="begin"/>
      </w:r>
      <w:r>
        <w:instrText xml:space="preserve"> PAGEREF _Toc28083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_Toc20075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（6） 网页防篡改服务报告</w:t>
      </w:r>
      <w:r>
        <w:tab/>
      </w:r>
      <w:r>
        <w:fldChar w:fldCharType="begin"/>
      </w:r>
      <w:r>
        <w:instrText xml:space="preserve"> PAGEREF _Toc20075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>
      <w:pPr>
        <w:sectPr>
          <w:footerReference r:id="rId5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fldChar w:fldCharType="end"/>
      </w:r>
    </w:p>
    <w:p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0" w:name="_Toc15393"/>
      <w:r>
        <w:rPr>
          <w:rFonts w:hint="eastAsia" w:ascii="黑体" w:hAnsi="黑体" w:eastAsia="黑体"/>
          <w:sz w:val="32"/>
          <w:szCs w:val="32"/>
        </w:rPr>
        <w:t>基础资源台账概况</w:t>
      </w:r>
      <w:bookmarkEnd w:id="0"/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20" w:firstLineChars="200"/>
        <w:jc w:val="left"/>
        <w:textAlignment w:val="auto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sz w:val="21"/>
          <w:szCs w:val="22"/>
        </w:rPr>
        <w:t>202</w:t>
      </w:r>
      <w:r>
        <w:rPr>
          <w:rFonts w:hint="eastAsia"/>
          <w:sz w:val="21"/>
          <w:szCs w:val="22"/>
          <w:lang w:val="en-US" w:eastAsia="zh-CN"/>
        </w:rPr>
        <w:t>5</w:t>
      </w:r>
      <w:r>
        <w:rPr>
          <w:rFonts w:hint="eastAsia"/>
          <w:sz w:val="21"/>
          <w:szCs w:val="22"/>
        </w:rPr>
        <w:t>年</w:t>
      </w:r>
      <w:r>
        <w:rPr>
          <w:rFonts w:hint="eastAsia"/>
          <w:sz w:val="21"/>
          <w:szCs w:val="22"/>
          <w:lang w:val="en-US" w:eastAsia="zh-CN"/>
        </w:rPr>
        <w:t>11</w:t>
      </w:r>
      <w:r>
        <w:rPr>
          <w:rFonts w:hint="eastAsia"/>
          <w:sz w:val="21"/>
          <w:szCs w:val="22"/>
        </w:rPr>
        <w:t>月，</w:t>
      </w:r>
      <w:bookmarkStart w:id="1" w:name="OLE_LINK1"/>
      <w:r>
        <w:rPr>
          <w:rFonts w:hint="eastAsia"/>
          <w:sz w:val="21"/>
          <w:szCs w:val="22"/>
          <w:lang w:val="en-US" w:eastAsia="zh-CN"/>
        </w:rPr>
        <w:t>北京市卫生健康</w:t>
      </w:r>
      <w:r>
        <w:rPr>
          <w:rFonts w:hint="eastAsia"/>
          <w:sz w:val="21"/>
          <w:szCs w:val="22"/>
        </w:rPr>
        <w:t>大数据与政策研究中心</w:t>
      </w:r>
      <w:bookmarkEnd w:id="1"/>
      <w:r>
        <w:rPr>
          <w:rFonts w:hint="eastAsia"/>
          <w:sz w:val="21"/>
          <w:szCs w:val="22"/>
        </w:rPr>
        <w:t>共有2个业务系统在北京市级政务云金山云平台（以下简称“金山云”）运行,共使用</w:t>
      </w:r>
      <w:r>
        <w:rPr>
          <w:rFonts w:hint="eastAsia"/>
          <w:sz w:val="21"/>
          <w:szCs w:val="22"/>
          <w:lang w:val="en-US" w:eastAsia="zh-CN"/>
        </w:rPr>
        <w:t>38</w:t>
      </w:r>
      <w:r>
        <w:rPr>
          <w:rFonts w:hint="eastAsia"/>
          <w:sz w:val="21"/>
          <w:szCs w:val="22"/>
        </w:rPr>
        <w:t>台主机，94颗CPU，288GB内存，67000GB存储。</w:t>
      </w:r>
    </w:p>
    <w:p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2" w:name="_Toc12741"/>
      <w:r>
        <w:rPr>
          <w:rFonts w:hint="eastAsia" w:ascii="黑体" w:hAnsi="黑体" w:eastAsia="黑体"/>
          <w:sz w:val="32"/>
          <w:szCs w:val="32"/>
        </w:rPr>
        <w:t>本月技术支撑统计</w:t>
      </w:r>
      <w:bookmarkEnd w:id="2"/>
    </w:p>
    <w:tbl>
      <w:tblPr>
        <w:tblStyle w:val="20"/>
        <w:tblW w:w="838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3"/>
        <w:gridCol w:w="3010"/>
        <w:gridCol w:w="341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tblHeader/>
        </w:trPr>
        <w:tc>
          <w:tcPr>
            <w:tcW w:w="1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30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工作类型</w:t>
            </w:r>
          </w:p>
        </w:tc>
        <w:tc>
          <w:tcPr>
            <w:tcW w:w="341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工单数量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Header/>
        </w:trPr>
        <w:tc>
          <w:tcPr>
            <w:tcW w:w="1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sz w:val="21"/>
                <w:szCs w:val="21"/>
              </w:rPr>
              <w:t>1</w:t>
            </w:r>
          </w:p>
        </w:tc>
        <w:tc>
          <w:tcPr>
            <w:tcW w:w="30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54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需求处理</w:t>
            </w:r>
          </w:p>
        </w:tc>
        <w:tc>
          <w:tcPr>
            <w:tcW w:w="341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54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1</w:t>
            </w:r>
          </w:p>
        </w:tc>
      </w:tr>
    </w:tbl>
    <w:p>
      <w:pPr>
        <w:widowControl/>
        <w:spacing w:line="360" w:lineRule="auto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widowControl/>
        <w:spacing w:line="360" w:lineRule="auto"/>
        <w:ind w:firstLine="480" w:firstLineChars="200"/>
        <w:rPr>
          <w:rFonts w:ascii="黑体" w:hAnsi="黑体" w:eastAsia="黑体"/>
          <w:b/>
          <w:bCs/>
          <w:color w:val="FF0000"/>
          <w:kern w:val="44"/>
          <w:sz w:val="32"/>
          <w:szCs w:val="32"/>
        </w:rPr>
      </w:pPr>
      <w:r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本月未发生业务系统中断事件和安全事件。</w:t>
      </w:r>
    </w:p>
    <w:p>
      <w:pPr>
        <w:pStyle w:val="2"/>
        <w:numPr>
          <w:ilvl w:val="0"/>
          <w:numId w:val="1"/>
        </w:numPr>
        <w:spacing w:before="120" w:after="120" w:line="360" w:lineRule="auto"/>
        <w:rPr>
          <w:rFonts w:ascii="黑体" w:hAnsi="黑体" w:eastAsia="黑体"/>
          <w:sz w:val="32"/>
          <w:szCs w:val="32"/>
        </w:rPr>
      </w:pPr>
      <w:bookmarkStart w:id="3" w:name="_Toc25059"/>
      <w:r>
        <w:rPr>
          <w:rFonts w:hint="eastAsia" w:ascii="黑体" w:hAnsi="黑体" w:eastAsia="黑体"/>
          <w:sz w:val="32"/>
          <w:szCs w:val="32"/>
        </w:rPr>
        <w:t>业务系统资源使用情况统计（</w:t>
      </w:r>
      <w:r>
        <w:rPr>
          <w:rFonts w:ascii="黑体" w:hAnsi="黑体" w:eastAsia="黑体"/>
          <w:sz w:val="32"/>
          <w:szCs w:val="32"/>
        </w:rPr>
        <w:t>CPU、内存、存储）</w:t>
      </w:r>
      <w:bookmarkEnd w:id="3"/>
    </w:p>
    <w:p/>
    <w:tbl>
      <w:tblPr>
        <w:tblStyle w:val="20"/>
        <w:tblW w:w="83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3810"/>
        <w:gridCol w:w="1290"/>
        <w:gridCol w:w="1290"/>
        <w:gridCol w:w="129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39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3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CPU总量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北京市卫生健康委人力资源管理系统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22.84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446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16.39 </w:t>
            </w:r>
          </w:p>
        </w:tc>
      </w:tr>
    </w:tbl>
    <w:p/>
    <w:tbl>
      <w:tblPr>
        <w:tblStyle w:val="20"/>
        <w:tblW w:w="83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3810"/>
        <w:gridCol w:w="1290"/>
        <w:gridCol w:w="1290"/>
        <w:gridCol w:w="129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39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3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内存总量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北京市卫生健康委人力资源管理系统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30.23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1728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22.04 </w:t>
            </w:r>
          </w:p>
        </w:tc>
      </w:tr>
    </w:tbl>
    <w:p/>
    <w:tbl>
      <w:tblPr>
        <w:tblStyle w:val="20"/>
        <w:tblW w:w="83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3810"/>
        <w:gridCol w:w="1290"/>
        <w:gridCol w:w="1290"/>
        <w:gridCol w:w="129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839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3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存储总量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北京市卫生健康委人力资源管理系统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20750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14.06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102470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25.86 </w:t>
            </w:r>
          </w:p>
        </w:tc>
      </w:tr>
    </w:tbl>
    <w:p>
      <w:pPr>
        <w:widowControl/>
        <w:jc w:val="left"/>
        <w:rPr>
          <w:rFonts w:ascii="黑体" w:hAnsi="黑体" w:eastAsia="黑体"/>
          <w:sz w:val="32"/>
          <w:szCs w:val="32"/>
        </w:rPr>
        <w:sectPr>
          <w:footerReference r:id="rId6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ascii="黑体" w:hAnsi="黑体" w:eastAsia="黑体"/>
          <w:sz w:val="32"/>
          <w:szCs w:val="32"/>
        </w:rPr>
        <w:br w:type="page"/>
      </w:r>
    </w:p>
    <w:p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4" w:name="_Toc24084"/>
      <w:r>
        <w:rPr>
          <w:rFonts w:hint="eastAsia" w:ascii="黑体" w:hAnsi="黑体" w:eastAsia="黑体"/>
          <w:sz w:val="32"/>
          <w:szCs w:val="32"/>
        </w:rPr>
        <w:t>附件1：政务云基础资源台账</w:t>
      </w:r>
      <w:bookmarkEnd w:id="4"/>
    </w:p>
    <w:tbl>
      <w:tblPr>
        <w:tblStyle w:val="20"/>
        <w:tblW w:w="13995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6"/>
        <w:gridCol w:w="3808"/>
        <w:gridCol w:w="4749"/>
        <w:gridCol w:w="1912"/>
        <w:gridCol w:w="900"/>
        <w:gridCol w:w="938"/>
        <w:gridCol w:w="91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3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CPU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内存</w:t>
            </w: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存储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北京市卫生健康委人力资源管理系统</w:t>
            </w:r>
          </w:p>
        </w:tc>
        <w:tc>
          <w:tcPr>
            <w:tcW w:w="4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卫健委-int-人资系统-WEB服务器-1</w:t>
            </w:r>
          </w:p>
        </w:tc>
        <w:tc>
          <w:tcPr>
            <w:tcW w:w="1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192.169.225.229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北京市卫生健康委人力资源管理系统</w:t>
            </w:r>
          </w:p>
        </w:tc>
        <w:tc>
          <w:tcPr>
            <w:tcW w:w="4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卫健委-int-人资系统-WEB服务器-2</w:t>
            </w:r>
          </w:p>
        </w:tc>
        <w:tc>
          <w:tcPr>
            <w:tcW w:w="1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192.169.225.197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北京市卫生健康委人力资源管理系统</w:t>
            </w:r>
          </w:p>
        </w:tc>
        <w:tc>
          <w:tcPr>
            <w:tcW w:w="4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卫健委-int-人资系统-DB服务器1</w:t>
            </w:r>
          </w:p>
        </w:tc>
        <w:tc>
          <w:tcPr>
            <w:tcW w:w="1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192.169.225.148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3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北京市卫生健康委人力资源管理系统</w:t>
            </w:r>
          </w:p>
        </w:tc>
        <w:tc>
          <w:tcPr>
            <w:tcW w:w="4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卫健委-int-人资系统-DB服务器2</w:t>
            </w:r>
          </w:p>
        </w:tc>
        <w:tc>
          <w:tcPr>
            <w:tcW w:w="1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192.169.225.153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3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北京市卫生健康委人力资源管理系统</w:t>
            </w:r>
          </w:p>
        </w:tc>
        <w:tc>
          <w:tcPr>
            <w:tcW w:w="4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卫健委大数据中心-数据采集引擎-1-axtx</w:t>
            </w:r>
          </w:p>
        </w:tc>
        <w:tc>
          <w:tcPr>
            <w:tcW w:w="1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192.169.207.234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3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卫生健康大数据和政策研究中心-微生物实验室系统-应用服务器01</w:t>
            </w:r>
          </w:p>
        </w:tc>
        <w:tc>
          <w:tcPr>
            <w:tcW w:w="1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192.169.225.133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3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卫生健康大数据和政策研究中心-微生物实验室系统-数据库服务器01</w:t>
            </w:r>
          </w:p>
        </w:tc>
        <w:tc>
          <w:tcPr>
            <w:tcW w:w="1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192.169.225.214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卫生健康大数据和政策研究中心-微生物实验室系统-数据库服务器02</w:t>
            </w:r>
          </w:p>
        </w:tc>
        <w:tc>
          <w:tcPr>
            <w:tcW w:w="1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192.169.225.189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3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卫生健康大数据和政策研究中心-微生物实验室系统-应用服务器02</w:t>
            </w:r>
          </w:p>
        </w:tc>
        <w:tc>
          <w:tcPr>
            <w:tcW w:w="1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192.169.225.204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3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卫生健康大数据和政策研究中心-微生物实验室系统-文件服务器</w:t>
            </w:r>
          </w:p>
        </w:tc>
        <w:tc>
          <w:tcPr>
            <w:tcW w:w="1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192.169.225.135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21080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3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卫生健康大数据和政策研究中心-微生物实验室系统-前置机</w:t>
            </w:r>
          </w:p>
        </w:tc>
        <w:tc>
          <w:tcPr>
            <w:tcW w:w="1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192.169.225.166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3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卫生健康大数据和政策研究中心-微生物实验室系统-备份服务器</w:t>
            </w:r>
          </w:p>
        </w:tc>
        <w:tc>
          <w:tcPr>
            <w:tcW w:w="1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192.169.225.212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21080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3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卫生健康大数据和政策研究中心-微生物实验室系统-平台软件服务器</w:t>
            </w:r>
          </w:p>
        </w:tc>
        <w:tc>
          <w:tcPr>
            <w:tcW w:w="1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192.169.225.170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3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卫生健康大数据和政策研究中心-微生物实验室系统-GIS服务器</w:t>
            </w:r>
          </w:p>
        </w:tc>
        <w:tc>
          <w:tcPr>
            <w:tcW w:w="1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192.169.225.155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3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卫生健康大数据和政策研究中心-微生物实验室系统-流媒体转发服务器</w:t>
            </w:r>
          </w:p>
        </w:tc>
        <w:tc>
          <w:tcPr>
            <w:tcW w:w="1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192.169.225.149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3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卫生健康大数据和政策研究中心-微生物实验室系统-数据库前置机</w:t>
            </w:r>
          </w:p>
        </w:tc>
        <w:tc>
          <w:tcPr>
            <w:tcW w:w="1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192.169.205.129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1080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3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卫生健康大数据和政策研究中心-微生物实验室系统-数据库监视机</w:t>
            </w:r>
          </w:p>
        </w:tc>
        <w:tc>
          <w:tcPr>
            <w:tcW w:w="1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192.169.225.228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3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卫健委_大数据中心_微生物实验室系统_数据管理与服务_应用服务器-1</w:t>
            </w:r>
          </w:p>
        </w:tc>
        <w:tc>
          <w:tcPr>
            <w:tcW w:w="1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192.169.201.83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3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卫健委_大数据中心_微生物实验室系统_数据管理与服务_应用服务器-2</w:t>
            </w:r>
          </w:p>
        </w:tc>
        <w:tc>
          <w:tcPr>
            <w:tcW w:w="1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192.169.200.209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3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卫健委_大数据中心_微生物实验室系统_数据管理与服务_应用服务器-3</w:t>
            </w:r>
          </w:p>
        </w:tc>
        <w:tc>
          <w:tcPr>
            <w:tcW w:w="1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192.169.205.111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3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卫健委_大数据中心_数据管理与服务_大数据服务器01</w:t>
            </w:r>
          </w:p>
        </w:tc>
        <w:tc>
          <w:tcPr>
            <w:tcW w:w="1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192.169.201.53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3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卫健委_大数据中心_数据管理与服务_大数据服务器02</w:t>
            </w:r>
          </w:p>
        </w:tc>
        <w:tc>
          <w:tcPr>
            <w:tcW w:w="1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192.169.205.103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3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卫健委_大数据中心_前置机_前置库1</w:t>
            </w:r>
          </w:p>
        </w:tc>
        <w:tc>
          <w:tcPr>
            <w:tcW w:w="1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192.169.203.54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15500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3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卫健委_大数据中心_前置机_数据加密服务器</w:t>
            </w:r>
          </w:p>
        </w:tc>
        <w:tc>
          <w:tcPr>
            <w:tcW w:w="1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192.169.207.177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3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卫健委_大数据中心_前置机_前置库2</w:t>
            </w:r>
          </w:p>
        </w:tc>
        <w:tc>
          <w:tcPr>
            <w:tcW w:w="1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192.169.204.208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3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卫健委_大数据中心_课题_数据采集服务器-1</w:t>
            </w:r>
          </w:p>
        </w:tc>
        <w:tc>
          <w:tcPr>
            <w:tcW w:w="1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192.169.201.95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3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卫健委_大数据中心_课题_数据采集服务器-2</w:t>
            </w:r>
          </w:p>
        </w:tc>
        <w:tc>
          <w:tcPr>
            <w:tcW w:w="1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192.169.200.156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3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卫健委_大数据中心_基层_备份库</w:t>
            </w:r>
          </w:p>
        </w:tc>
        <w:tc>
          <w:tcPr>
            <w:tcW w:w="1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192.169.207.181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3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卫健委_大数据中心_大数据平台_节点-1</w:t>
            </w:r>
          </w:p>
        </w:tc>
        <w:tc>
          <w:tcPr>
            <w:tcW w:w="1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192.169.200.74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3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卫健委_大数据中心_大数据平台_节点-2</w:t>
            </w:r>
          </w:p>
        </w:tc>
        <w:tc>
          <w:tcPr>
            <w:tcW w:w="1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192.169.204.174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3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卫健委_大数据中心_大数据平台_节点-3</w:t>
            </w:r>
          </w:p>
        </w:tc>
        <w:tc>
          <w:tcPr>
            <w:tcW w:w="1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192.169.203.72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3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卫健委_大数据中心_大数据平台_节点-4</w:t>
            </w:r>
          </w:p>
        </w:tc>
        <w:tc>
          <w:tcPr>
            <w:tcW w:w="1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192.169.202.227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3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卫健委_大数据中心_大数据平台_节点-5</w:t>
            </w:r>
          </w:p>
        </w:tc>
        <w:tc>
          <w:tcPr>
            <w:tcW w:w="1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192.169.207.161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3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卫健委_大数据中心_大数据平台_节点-6</w:t>
            </w:r>
          </w:p>
        </w:tc>
        <w:tc>
          <w:tcPr>
            <w:tcW w:w="1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192.169.202.128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3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卫健委_大数据中心_大数据平台_节点-7</w:t>
            </w:r>
          </w:p>
        </w:tc>
        <w:tc>
          <w:tcPr>
            <w:tcW w:w="1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192.169.205.247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3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卫健委_大数据中心_大数据平台_节点-8</w:t>
            </w:r>
          </w:p>
        </w:tc>
        <w:tc>
          <w:tcPr>
            <w:tcW w:w="1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192.169.207.209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3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卫健委_大数据中心_大数据平台_节点-9</w:t>
            </w:r>
          </w:p>
        </w:tc>
        <w:tc>
          <w:tcPr>
            <w:tcW w:w="1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192.169.205.239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</w:tr>
    </w:tbl>
    <w:p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  <w:sectPr>
          <w:footerReference r:id="rId7" w:type="default"/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5" w:name="_Toc17616"/>
      <w:r>
        <w:rPr>
          <w:rFonts w:hint="eastAsia" w:ascii="黑体" w:hAnsi="黑体" w:eastAsia="黑体"/>
          <w:sz w:val="32"/>
          <w:szCs w:val="32"/>
        </w:rPr>
        <w:t>附件2：资源使用率详情</w:t>
      </w:r>
      <w:bookmarkEnd w:id="5"/>
    </w:p>
    <w:p>
      <w:pPr>
        <w:pStyle w:val="3"/>
        <w:numPr>
          <w:ilvl w:val="1"/>
          <w:numId w:val="2"/>
        </w:numPr>
        <w:ind w:left="1567" w:leftChars="0" w:firstLineChars="0"/>
        <w:rPr>
          <w:rFonts w:hint="eastAsia" w:ascii="黑体" w:hAnsi="黑体" w:eastAsia="黑体"/>
        </w:rPr>
      </w:pPr>
      <w:bookmarkStart w:id="6" w:name="_Toc34654844"/>
      <w:bookmarkEnd w:id="6"/>
      <w:bookmarkStart w:id="7" w:name="_Toc27974732"/>
      <w:bookmarkEnd w:id="7"/>
      <w:bookmarkStart w:id="8" w:name="_Toc15331"/>
      <w:r>
        <w:rPr>
          <w:rFonts w:hint="eastAsia" w:ascii="黑体" w:hAnsi="黑体" w:eastAsia="黑体"/>
        </w:rPr>
        <w:t>CPU使用率详情</w:t>
      </w:r>
      <w:bookmarkEnd w:id="8"/>
    </w:p>
    <w:tbl>
      <w:tblPr>
        <w:tblStyle w:val="20"/>
        <w:tblW w:w="1420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4644"/>
        <w:gridCol w:w="4028"/>
        <w:gridCol w:w="1816"/>
        <w:gridCol w:w="831"/>
        <w:gridCol w:w="1078"/>
        <w:gridCol w:w="107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CPU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最大使用率(%)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北京市卫生健康委人力资源管理系统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卫健委-int-人资系统-WEB服务器-1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192.169.225.229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13.35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65.53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北京市卫生健康委人力资源管理系统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卫健委-int-人资系统-WEB服务器-2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192.169.225.197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47.82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75.07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北京市卫生健康委人力资源管理系统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卫健委-int-人资系统-DB服务器1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192.169.225.148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1.94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22.81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北京市卫生健康委人力资源管理系统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卫健委-int-人资系统-DB服务器2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192.169.225.153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37.05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59.84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北京市卫生健康委人力资源管理系统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卫健委大数据中心-数据采集引擎-1-axtx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192.169.207.234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14.02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卫生健康大数据和政策研究中心-微生物实验室系统-应用服务器01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192.169.225.133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13.17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81.36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卫生健康大数据和政策研究中心-微生物实验室系统-数据库服务器01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192.169.225.214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13.22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62.66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卫生健康大数据和政策研究中心-微生物实验室系统-数据库服务器02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192.169.225.189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12.74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60.13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卫生健康大数据和政策研究中心-微生物实验室系统-应用服务器02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192.169.225.204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13.71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87.80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卫生健康大数据和政策研究中心-微生物实验室系统-文件服务器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192.169.225.135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13.98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69.20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卫生健康大数据和政策研究中心-微生物实验室系统-前置机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192.169.225.166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12.75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85.23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卫生健康大数据和政策研究中心-微生物实验室系统-备份服务器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192.169.225.212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12.70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72.46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卫生健康大数据和政策研究中心-微生物实验室系统-平台软件服务器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192.169.225.170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30.68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82.08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卫生健康大数据和政策研究中心-微生物实验室系统-GIS服务器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192.169.225.155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12.59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83.88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卫生健康大数据和政策研究中心-微生物实验室系统-流媒体转发服务器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192.169.225.149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15.03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卫生健康大数据和政策研究中心-微生物实验室系统-数据库前置机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192.169.205.129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15.26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74.75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卫生健康大数据和政策研究中心-微生物实验室系统-数据库监视机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192.169.225.228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12.67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86.98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卫健委_大数据中心_微生物实验室系统_数据管理与服务_应用服务器-1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192.169.201.83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11.48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58.39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卫健委_大数据中心_微生物实验室系统_数据管理与服务_应用服务器-2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192.169.200.209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14.07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53.97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卫健委_大数据中心_微生物实验室系统_数据管理与服务_应用服务器-3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192.169.205.111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27.07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卫健委_大数据中心_数据管理与服务_大数据服务器01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192.169.201.53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17.35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64.70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卫健委_大数据中心_数据管理与服务_大数据服务器02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192.169.205.103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16.72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63.41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卫健委_大数据中心_前置机_前置库1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192.169.203.54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15.46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44.13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卫健委_大数据中心_前置机_数据加密服务器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192.169.207.177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10.10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64.89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卫健委_大数据中心_前置机_前置库2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192.169.204.208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5.98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28.25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卫健委_大数据中心_课题_数据采集服务器-1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192.169.201.95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14.56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63.24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卫健委_大数据中心_课题_数据采集服务器-2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192.169.200.156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14.23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64.03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卫健委_大数据中心_基层_备份库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192.169.207.181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27.08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卫健委_大数据中心_大数据平台_节点-1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192.169.200.74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18.94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66.54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卫健委_大数据中心_大数据平台_节点-2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192.169.204.174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14.42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61.70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卫健委_大数据中心_大数据平台_节点-3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192.169.203.72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26.89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卫健委_大数据中心_大数据平台_节点-4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192.169.202.227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14.47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80.89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卫健委_大数据中心_大数据平台_节点-5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192.169.207.161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27.55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34.78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卫健委_大数据中心_大数据平台_节点-6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192.169.202.128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14.87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62.08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卫健委_大数据中心_大数据平台_节点-7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192.169.205.247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27.09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卫健委_大数据中心_大数据平台_节点-8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192.169.207.209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15.16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61.91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卫健委_大数据中心_大数据平台_节点-9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192.169.205.239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14.58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61.74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14.37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62.16 </w:t>
            </w:r>
          </w:p>
        </w:tc>
      </w:tr>
    </w:tbl>
    <w:p>
      <w:pPr>
        <w:rPr>
          <w:rFonts w:hint="eastAsia"/>
        </w:rPr>
      </w:pPr>
    </w:p>
    <w:p>
      <w:pPr>
        <w:pStyle w:val="3"/>
        <w:numPr>
          <w:ilvl w:val="1"/>
          <w:numId w:val="2"/>
        </w:numPr>
        <w:ind w:left="1567" w:leftChars="0" w:firstLineChars="0"/>
        <w:rPr>
          <w:rFonts w:ascii="黑体" w:hAnsi="黑体" w:eastAsia="黑体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3"/>
        <w:numPr>
          <w:ilvl w:val="1"/>
          <w:numId w:val="2"/>
        </w:numPr>
        <w:ind w:left="1567" w:leftChars="0" w:firstLineChars="0"/>
        <w:rPr>
          <w:rFonts w:ascii="黑体" w:hAnsi="黑体" w:eastAsia="黑体"/>
        </w:rPr>
      </w:pPr>
      <w:bookmarkStart w:id="9" w:name="_Toc3076"/>
      <w:r>
        <w:rPr>
          <w:rFonts w:hint="eastAsia" w:ascii="黑体" w:hAnsi="黑体" w:eastAsia="黑体"/>
        </w:rPr>
        <w:t>内存使用率详情</w:t>
      </w:r>
      <w:bookmarkEnd w:id="9"/>
    </w:p>
    <w:tbl>
      <w:tblPr>
        <w:tblStyle w:val="20"/>
        <w:tblW w:w="1420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7"/>
        <w:gridCol w:w="4653"/>
        <w:gridCol w:w="4035"/>
        <w:gridCol w:w="1816"/>
        <w:gridCol w:w="812"/>
        <w:gridCol w:w="1078"/>
        <w:gridCol w:w="107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内存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最大使用率(%)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北京市卫生健康委人力资源管理系统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卫健委-int-人资系统-WEB服务器-1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192.169.225.229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36.67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北京市卫生健康委人力资源管理系统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卫健委-int-人资系统-WEB服务器-2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192.169.225.197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35.75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北京市卫生健康委人力资源管理系统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卫健委-int-人资系统-DB服务器1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192.169.225.148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16.06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16.85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北京市卫生健康委人力资源管理系统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卫健委-int-人资系统-DB服务器2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192.169.225.153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25.91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27.32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北京市卫生健康委人力资源管理系统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卫健委大数据中心-数据采集引擎-1-axtx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192.169.207.234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36.76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卫生健康大数据和政策研究中心-微生物实验室系统-应用服务器01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192.169.225.133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20.60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卫生健康大数据和政策研究中心-微生物实验室系统-数据库服务器01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192.169.225.214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29.99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卫生健康大数据和政策研究中心-微生物实验室系统-数据库服务器02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192.169.225.189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25.17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卫生健康大数据和政策研究中心-微生物实验室系统-应用服务器02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192.169.225.204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28.98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卫生健康大数据和政策研究中心-微生物实验室系统-文件服务器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192.169.225.135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28.23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卫生健康大数据和政策研究中心-微生物实验室系统-前置机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192.169.225.166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30.54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卫生健康大数据和政策研究中心-微生物实验室系统-备份服务器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192.169.225.212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30.04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卫生健康大数据和政策研究中心-微生物实验室系统-平台软件服务器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192.169.225.170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53.78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56.44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卫生健康大数据和政策研究中心-微生物实验室系统-GIS服务器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192.169.225.155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19.59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卫生健康大数据和政策研究中心-微生物实验室系统-流媒体转发服务器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192.169.225.149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13.52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卫生健康大数据和政策研究中心-微生物实验室系统-数据库前置机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192.169.205.129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51.15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56.01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卫生健康大数据和政策研究中心-微生物实验室系统-数据库监视机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192.169.225.228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17.36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卫健委_大数据中心_微生物实验室系统_数据管理与服务_应用服务器-1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192.169.201.83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15.98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卫健委_大数据中心_微生物实验室系统_数据管理与服务_应用服务器-2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192.169.200.209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32.06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卫健委_大数据中心_微生物实验室系统_数据管理与服务_应用服务器-3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192.169.205.111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31.81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卫健委_大数据中心_数据管理与服务_大数据服务器01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192.169.201.53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65.01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71.63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卫健委_大数据中心_数据管理与服务_大数据服务器02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192.169.205.103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24.23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卫健委_大数据中心_前置机_前置库1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192.169.203.54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7.70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卫健委_大数据中心_前置机_数据加密服务器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192.169.207.177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46.27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卫健委_大数据中心_前置机_前置库2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192.169.204.208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16.82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卫健委_大数据中心_课题_数据采集服务器-1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192.169.201.95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16.91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49.12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卫健委_大数据中心_课题_数据采集服务器-2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192.169.200.156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16.29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卫健委_大数据中心_基层_备份库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192.169.207.181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10.27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卫健委_大数据中心_大数据平台_节点-1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192.169.200.74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8.64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卫健委_大数据中心_大数据平台_节点-2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192.169.204.174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7.46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卫健委_大数据中心_大数据平台_节点-3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192.169.203.72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6.98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卫健委_大数据中心_大数据平台_节点-4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192.169.202.227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6.92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卫健委_大数据中心_大数据平台_节点-5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192.169.207.161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7.66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卫健委_大数据中心_大数据平台_节点-6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192.169.202.128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14.80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卫健委_大数据中心_大数据平台_节点-7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192.169.205.247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13.41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卫健委_大数据中心_大数据平台_节点-8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192.169.207.209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12.02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3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卫健委_大数据中心_大数据平台_节点-9</w:t>
            </w:r>
          </w:p>
        </w:tc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192.169.205.239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9.65 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7.55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49.38 </w:t>
            </w:r>
          </w:p>
        </w:tc>
      </w:tr>
    </w:tbl>
    <w:p>
      <w:pPr>
        <w:pStyle w:val="3"/>
        <w:numPr>
          <w:ilvl w:val="1"/>
          <w:numId w:val="2"/>
        </w:numPr>
        <w:ind w:left="1567" w:leftChars="0" w:firstLineChars="0"/>
        <w:rPr>
          <w:rFonts w:ascii="黑体" w:hAnsi="黑体" w:eastAsia="黑体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3"/>
        <w:numPr>
          <w:ilvl w:val="1"/>
          <w:numId w:val="2"/>
        </w:numPr>
        <w:ind w:left="1567" w:leftChars="0" w:firstLineChars="0"/>
        <w:rPr>
          <w:rFonts w:ascii="黑体" w:hAnsi="黑体" w:eastAsia="黑体"/>
        </w:rPr>
      </w:pPr>
      <w:bookmarkStart w:id="10" w:name="_Toc8267"/>
      <w:r>
        <w:rPr>
          <w:rFonts w:hint="eastAsia" w:ascii="黑体" w:hAnsi="黑体" w:eastAsia="黑体"/>
        </w:rPr>
        <w:t>磁盘使用率详情</w:t>
      </w:r>
      <w:bookmarkEnd w:id="10"/>
    </w:p>
    <w:tbl>
      <w:tblPr>
        <w:tblStyle w:val="20"/>
        <w:tblW w:w="1402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6"/>
        <w:gridCol w:w="4657"/>
        <w:gridCol w:w="4012"/>
        <w:gridCol w:w="1815"/>
        <w:gridCol w:w="1008"/>
        <w:gridCol w:w="180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bookmarkStart w:id="11" w:name="_Toc21919"/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存储</w:t>
            </w:r>
          </w:p>
        </w:tc>
        <w:tc>
          <w:tcPr>
            <w:tcW w:w="1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当前使用率(%)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北京市卫生健康委人力资源管理系统</w:t>
            </w:r>
          </w:p>
        </w:tc>
        <w:tc>
          <w:tcPr>
            <w:tcW w:w="4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卫健委-int-人资系统-WEB服务器-1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192.169.225.229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2050</w:t>
            </w:r>
          </w:p>
        </w:tc>
        <w:tc>
          <w:tcPr>
            <w:tcW w:w="1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7.88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北京市卫生健康委人力资源管理系统</w:t>
            </w:r>
          </w:p>
        </w:tc>
        <w:tc>
          <w:tcPr>
            <w:tcW w:w="4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卫健委-int-人资系统-WEB服务器-2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192.169.225.197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2050</w:t>
            </w:r>
          </w:p>
        </w:tc>
        <w:tc>
          <w:tcPr>
            <w:tcW w:w="1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9.60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北京市卫生健康委人力资源管理系统</w:t>
            </w:r>
          </w:p>
        </w:tc>
        <w:tc>
          <w:tcPr>
            <w:tcW w:w="4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卫健委-int-人资系统-DB服务器1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192.169.225.148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8050</w:t>
            </w:r>
          </w:p>
        </w:tc>
        <w:tc>
          <w:tcPr>
            <w:tcW w:w="1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11.03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北京市卫生健康委人力资源管理系统</w:t>
            </w:r>
          </w:p>
        </w:tc>
        <w:tc>
          <w:tcPr>
            <w:tcW w:w="4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卫健委-int-人资系统-DB服务器2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192.169.225.153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8050</w:t>
            </w:r>
          </w:p>
        </w:tc>
        <w:tc>
          <w:tcPr>
            <w:tcW w:w="1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北京市卫生健康委人力资源管理系统</w:t>
            </w:r>
          </w:p>
        </w:tc>
        <w:tc>
          <w:tcPr>
            <w:tcW w:w="4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卫健委大数据中心-数据采集引擎-1-axtx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192.169.207.234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14.73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卫生健康大数据和政策研究中心-微生物实验室系统-应用服务器01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192.169.225.133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280</w:t>
            </w:r>
          </w:p>
        </w:tc>
        <w:tc>
          <w:tcPr>
            <w:tcW w:w="1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20.56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卫生健康大数据和政策研究中心-微生物实验室系统-数据库服务器01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192.169.225.214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780</w:t>
            </w:r>
          </w:p>
        </w:tc>
        <w:tc>
          <w:tcPr>
            <w:tcW w:w="1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13.52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卫生健康大数据和政策研究中心-微生物实验室系统-数据库服务器02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192.169.225.189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780</w:t>
            </w:r>
          </w:p>
        </w:tc>
        <w:tc>
          <w:tcPr>
            <w:tcW w:w="1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10.05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卫生健康大数据和政策研究中心-微生物实验室系统-应用服务器02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192.169.225.204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280</w:t>
            </w:r>
          </w:p>
        </w:tc>
        <w:tc>
          <w:tcPr>
            <w:tcW w:w="1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17.60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卫生健康大数据和政策研究中心-微生物实验室系统-文件服务器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192.169.225.135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21080</w:t>
            </w:r>
          </w:p>
        </w:tc>
        <w:tc>
          <w:tcPr>
            <w:tcW w:w="1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卫生健康大数据和政策研究中心-微生物实验室系统-前置机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192.169.225.166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780</w:t>
            </w:r>
          </w:p>
        </w:tc>
        <w:tc>
          <w:tcPr>
            <w:tcW w:w="1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6.68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卫生健康大数据和政策研究中心-微生物实验室系统-备份服务器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192.169.225.212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21080</w:t>
            </w:r>
          </w:p>
        </w:tc>
        <w:tc>
          <w:tcPr>
            <w:tcW w:w="1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23.66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卫生健康大数据和政策研究中心-微生物实验室系统-平台软件服务器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192.169.225.170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800</w:t>
            </w:r>
          </w:p>
        </w:tc>
        <w:tc>
          <w:tcPr>
            <w:tcW w:w="1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36.27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卫生健康大数据和政策研究中心-微生物实验室系统-GIS服务器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192.169.225.155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580</w:t>
            </w:r>
          </w:p>
        </w:tc>
        <w:tc>
          <w:tcPr>
            <w:tcW w:w="1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5.74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卫生健康大数据和政策研究中心-微生物实验室系统-流媒体转发服务器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192.169.225.149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800</w:t>
            </w:r>
          </w:p>
        </w:tc>
        <w:tc>
          <w:tcPr>
            <w:tcW w:w="1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13.02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卫生健康大数据和政策研究中心-微生物实验室系统-数据库前置机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192.169.205.129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1080</w:t>
            </w:r>
          </w:p>
        </w:tc>
        <w:tc>
          <w:tcPr>
            <w:tcW w:w="1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44.55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卫生健康大数据和政策研究中心-微生物实验室系统-数据库监视机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192.169.225.228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180</w:t>
            </w:r>
          </w:p>
        </w:tc>
        <w:tc>
          <w:tcPr>
            <w:tcW w:w="1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12.96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卫健委_大数据中心_微生物实验室系统_数据管理与服务_应用服务器-1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192.169.201.83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1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48.46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卫健委_大数据中心_微生物实验室系统_数据管理与服务_应用服务器-2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192.169.200.209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1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27.84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卫健委_大数据中心_微生物实验室系统_数据管理与服务_应用服务器-3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192.169.205.111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1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66.87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卫健委_大数据中心_数据管理与服务_大数据服务器01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192.169.201.53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  <w:tc>
          <w:tcPr>
            <w:tcW w:w="1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22.11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卫健委_大数据中心_数据管理与服务_大数据服务器02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192.169.205.103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  <w:tc>
          <w:tcPr>
            <w:tcW w:w="1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40.95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卫健委_大数据中心_前置机_前置库1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192.169.203.54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15500</w:t>
            </w:r>
          </w:p>
        </w:tc>
        <w:tc>
          <w:tcPr>
            <w:tcW w:w="1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3.48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卫健委_大数据中心_前置机_数据加密服务器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192.169.207.177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1500</w:t>
            </w:r>
          </w:p>
        </w:tc>
        <w:tc>
          <w:tcPr>
            <w:tcW w:w="1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8.88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卫健委_大数据中心_前置机_前置库2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192.169.204.208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8500</w:t>
            </w:r>
          </w:p>
        </w:tc>
        <w:tc>
          <w:tcPr>
            <w:tcW w:w="1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10.16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卫健委_大数据中心_课题_数据采集服务器-1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192.169.201.95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2500</w:t>
            </w:r>
          </w:p>
        </w:tc>
        <w:tc>
          <w:tcPr>
            <w:tcW w:w="1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卫健委_大数据中心_课题_数据采集服务器-2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192.169.200.156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2500</w:t>
            </w:r>
          </w:p>
        </w:tc>
        <w:tc>
          <w:tcPr>
            <w:tcW w:w="1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32.74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卫健委_大数据中心_基层_备份库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192.169.207.181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10500</w:t>
            </w:r>
          </w:p>
        </w:tc>
        <w:tc>
          <w:tcPr>
            <w:tcW w:w="1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81.08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卫健委_大数据中心_大数据平台_节点-1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192.169.200.74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1524</w:t>
            </w:r>
          </w:p>
        </w:tc>
        <w:tc>
          <w:tcPr>
            <w:tcW w:w="1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24.18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卫健委_大数据中心_大数据平台_节点-2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192.169.204.174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1524</w:t>
            </w:r>
          </w:p>
        </w:tc>
        <w:tc>
          <w:tcPr>
            <w:tcW w:w="1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12.17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卫健委_大数据中心_大数据平台_节点-3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192.169.203.72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1524</w:t>
            </w:r>
          </w:p>
        </w:tc>
        <w:tc>
          <w:tcPr>
            <w:tcW w:w="1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13.27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卫健委_大数据中心_大数据平台_节点-4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192.169.202.227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1524</w:t>
            </w:r>
          </w:p>
        </w:tc>
        <w:tc>
          <w:tcPr>
            <w:tcW w:w="1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6.86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卫健委_大数据中心_大数据平台_节点-5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192.169.207.161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1524</w:t>
            </w:r>
          </w:p>
        </w:tc>
        <w:tc>
          <w:tcPr>
            <w:tcW w:w="1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9.21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卫健委_大数据中心_大数据平台_节点-6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192.169.202.128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  <w:tc>
          <w:tcPr>
            <w:tcW w:w="1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23.81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卫健委_大数据中心_大数据平台_节点-7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192.169.205.247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  <w:tc>
          <w:tcPr>
            <w:tcW w:w="1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64.72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卫健委_大数据中心_大数据平台_节点-8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192.169.207.209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  <w:tc>
          <w:tcPr>
            <w:tcW w:w="1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32.86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4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卫健委_大数据中心_大数据平台_节点-9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192.169.205.239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  <w:tc>
          <w:tcPr>
            <w:tcW w:w="1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19.14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北京市人间传染的病原微生物实验室生物安全管理信息系统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23.65 </w:t>
            </w:r>
          </w:p>
        </w:tc>
      </w:tr>
    </w:tbl>
    <w:p>
      <w:pPr>
        <w:pStyle w:val="3"/>
        <w:numPr>
          <w:ilvl w:val="0"/>
          <w:numId w:val="0"/>
        </w:numPr>
        <w:rPr>
          <w:rFonts w:hint="default"/>
          <w:lang w:val="en-US" w:eastAsia="zh-CN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12" w:name="_Toc15616"/>
      <w:r>
        <w:rPr>
          <w:rFonts w:hint="eastAsia" w:ascii="黑体" w:hAnsi="黑体" w:eastAsia="黑体"/>
          <w:sz w:val="32"/>
          <w:szCs w:val="32"/>
        </w:rPr>
        <w:t>附件3：安全服务报告</w:t>
      </w:r>
      <w:bookmarkEnd w:id="11"/>
      <w:bookmarkEnd w:id="12"/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13" w:name="_Toc22324"/>
      <w:bookmarkStart w:id="14" w:name="_Toc20717"/>
      <w:r>
        <w:rPr>
          <w:rFonts w:hint="eastAsia" w:ascii="黑体" w:hAnsi="黑体" w:eastAsia="黑体"/>
          <w:lang w:val="en-US" w:eastAsia="zh-CN"/>
        </w:rPr>
        <w:t>VPN审计记录</w:t>
      </w:r>
      <w:bookmarkEnd w:id="13"/>
    </w:p>
    <w:tbl>
      <w:tblPr>
        <w:tblStyle w:val="20"/>
        <w:tblW w:w="1408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0"/>
        <w:gridCol w:w="3960"/>
        <w:gridCol w:w="2090"/>
        <w:gridCol w:w="2090"/>
        <w:gridCol w:w="1300"/>
        <w:gridCol w:w="23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用户名</w:t>
            </w:r>
          </w:p>
        </w:tc>
        <w:tc>
          <w:tcPr>
            <w:tcW w:w="3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用户组</w:t>
            </w:r>
          </w:p>
        </w:tc>
        <w:tc>
          <w:tcPr>
            <w:tcW w:w="2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主机ip</w:t>
            </w:r>
          </w:p>
        </w:tc>
        <w:tc>
          <w:tcPr>
            <w:tcW w:w="2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资源ip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行为</w:t>
            </w:r>
          </w:p>
        </w:tc>
        <w:tc>
          <w:tcPr>
            <w:tcW w:w="2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时间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lijianwei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210.12.60.55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2025/11/24 16:12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wsjkdsj-zhangheng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61.50.126.234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2025/11/24 16:00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liuwei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210.12.60.55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2025/11/24 11:30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liuwei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210.12.60.55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2025/11/24 11:29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xiaoce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210.12.60.55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2025/11/24 11:28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xiaoce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210.12.60.55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2025/11/24 11:27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xiaoce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210.12.60.55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2025/11/24 11:19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xiaoce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210.12.60.55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2025/11/24 11:18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xiaoce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210.12.60.55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2025/11/24 11:16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xiaoce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210.12.60.55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2025/11/23 17:27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liuwei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210.12.60.55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2025/11/23 17:13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liuwei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210.12.60.55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2025/11/23 17:12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wsjkdsj-zhangheng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61.50.126.234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2025/11/22 14:20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wsjkdsj-zhangheng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61.50.126.234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2025/11/22 11:09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xiaoce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210.12.60.55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2025/11/22 10:20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xiaoce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210.12.60.55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2025/11/22 10:18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lijianwei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210.12.60.55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2025/11/21 17:17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wsjkdsj-zhangheng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61.50.126.234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2025/11/21 17:07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wsjkdsj-zhangheng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60.1.192.252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2025/11/21 16:50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xiaoce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210.12.60.55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2025/11/21 16:47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xiaoce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210.12.60.55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2025/11/21 16:46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lijianwei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210.12.60.55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2025/11/21 15:25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lijianwei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210.12.60.55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2025/11/21 15:24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wsjkdsj-zhangheng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61.50.126.234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2025/11/21 15:16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xiaoce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210.12.60.55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14:53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xiaoce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210.12.60.55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14:45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wsjkdsj-zhangheng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61.50.126.234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16:44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wsjkdsj-zhangheng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61.50.126.234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15:11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lijianwei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210.12.60.55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14:17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lijianwei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210.12.60.55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14:16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xiaoce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210.12.60.55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14:16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xiaoce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210.12.60.55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14:15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lijianwei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210.12.60.55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14:10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wsjkdsj-zhangheng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61.50.126.234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13:58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xiaoce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210.12.60.55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13:34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liuwei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210.12.60.55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11:15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liuwei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210.12.60.55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11:14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xiaoce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210.12.60.55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2025/11/16 15:27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xiaoce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210.12.60.55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2025/11/16 15:23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wsjkdsj-zhangheng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61.50.126.234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2025/11/16 14:03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wsjkdsj-zhangheng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61.50.126.234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2025/11/16 14:02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lijianwei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210.12.60.55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2025/11/16 10:32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lijianwei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210.12.60.55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2025/11/16 10:31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wsjkdsj-zhangheng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61.50.126.234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2025/11/16 10:09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liuwei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210.12.60.55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2025/11/15 18:39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liuwei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210.12.60.55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2025/11/15 17:25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liuwei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210.12.60.55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2025/11/15 17:22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liuwei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210.12.60.55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2025/11/15 17:06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wsjkdsj-zhangheng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60.1.192.252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2025/11/15 13:50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liuwei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221.219.3.6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18:20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xiaoce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210.12.60.55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10:42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xiaoce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210.12.60.55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10:41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wsjkdsj-zhangheng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61.50.126.234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9:08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wsjkdsj-zhangheng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60.1.192.252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15:00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xiaoce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210.12.60.55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14:07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xiaoce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210.12.60.55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14:06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xiaoce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210.12.60.55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13:30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xiaoce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210.12.60.55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13:20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wsjkdsj-zhangheng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61.50.126.234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13:48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wsjkdsj-zhangheng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61.50.126.234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12:27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xiaoce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210.12.60.55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11:25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liuwei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210.12.60.55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10:09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liuwei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210.12.60.55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10:08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lijianwei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210.12.60.55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10:07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lijianwei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210.12.60.55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10:06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liuwei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210.12.60.55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10:00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wsjkdsj-zhangheng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61.50.126.234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9:56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wsjkdsj-zhangheng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61.50.126.234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9:55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wsjkdsj-zhangheng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61.50.126.234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17:23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lijianwei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210.12.60.55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16:13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wsjkdsj-zhangheng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61.50.126.234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15:52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wsjkdsj-zhangheng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61.50.126.234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15:51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xiaoce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210.12.60.55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9:49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wsjkdsj-zhangheng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61.50.126.234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2025/11/9 14:06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wsjkdsj-zhangheng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61.50.126.234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2025/11/9 14:05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xiaoce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卫生健康大数据研究中心-实验室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210.12.60.55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2025/11/9 11:36</w:t>
            </w:r>
          </w:p>
        </w:tc>
      </w:tr>
    </w:tbl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</w:pPr>
      <w:bookmarkStart w:id="15" w:name="_Toc4582"/>
      <w:r>
        <w:rPr>
          <w:rFonts w:hint="eastAsia" w:ascii="黑体" w:hAnsi="黑体" w:eastAsia="黑体"/>
          <w:lang w:val="en-US" w:eastAsia="zh-CN"/>
        </w:rPr>
        <w:t>堡垒机审计记录</w:t>
      </w:r>
      <w:bookmarkEnd w:id="15"/>
    </w:p>
    <w:tbl>
      <w:tblPr>
        <w:tblStyle w:val="2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7"/>
        <w:gridCol w:w="1688"/>
        <w:gridCol w:w="1098"/>
        <w:gridCol w:w="1866"/>
        <w:gridCol w:w="4612"/>
        <w:gridCol w:w="1866"/>
        <w:gridCol w:w="588"/>
        <w:gridCol w:w="76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开始时间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结束时间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会话时长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来自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资产名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资产IP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协议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客户端类型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14:50:14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15:00:17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00:10:03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卫生健康大数据和政策研究中心-流媒体转发服务器-192.169.225.149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192.169.225.149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14:49:51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14:50:04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卫生健康大数据和政策研究中心-文件服务器-192.169.225.135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192.169.225.135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14:49:22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14:49:43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卫生健康大数据和政策研究中心-数据库前置机-192.169.205.129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14:48:58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14:49:16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卫生健康大数据和政策研究中心-微生物实验室系统-数据库监视机192.169.225.228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192.169.225.228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14:48:28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14:48:47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卫生健康大数据和政策研究中心-微生物实验室系统-数据库服务器02-192.169.225.189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192.169.225.189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14:47:52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14:48:13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卫生健康大数据和政策研究中心-微生物实验室系统-数据库服务器01-192.169.225.214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192.169.225.214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14:47:27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14:47:41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卫生健康大数据和政策研究中心-微生物实验室系统-应用服务器02-192.169.225.204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192.169.225.204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14:47:01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14:47:20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卫生健康大数据和政策研究中心+ 微生物实验室系统-应用服务器01 -192.169.225.133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192.169.225.133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14:46:30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14:46:51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卫生健康大数据和政策研究中心-平台软件服务器-192.169.225.170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192.169.225.170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14:45:55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14:46:21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卫生健康大数据和政策研究中心-备份服务器-192.169.225.212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192.169.225.212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14:45:21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14:45:42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卫生健康大数据和政策研究中心-前置机-192.169.225.166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192.169.225.166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14:39:39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14:45:15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卫生健康大数据和政策研究中心-GIS服务器-192.169.225.155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192.169.225.155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10:16:31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10:17:55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卫健委大数据中心-数据采集引擎-1-axtx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192.169.207.234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10:15:35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12:39:32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02:23:56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卫健委-int-人资系统-WEB服务器2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192.169.225.197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10:15:31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12:39:32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02:24:00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卫健委-int-人资系统-WEB服务器1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192.169.225.229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10:15:27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12:39:36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02:24:08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卫健委-int-人资系统-DB服务器1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192.169.225.148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16:26:15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16:26:33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卫生健康大数据和政策研究中心-流媒体转发服务器-192.169.225.149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192.169.225.149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16:25:49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16:26:05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卫生健康大数据和政策研究中心-文件服务器-192.169.225.135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192.169.225.135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16:25:24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16:25:36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卫生健康大数据和政策研究中心-数据库前置机-192.169.205.129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16:24:56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16:25:12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卫生健康大数据和政策研究中心-微生物实验室系统-数据库监视机192.169.225.228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192.169.225.228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16:24:30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16:24:46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卫生健康大数据和政策研究中心-微生物实验室系统-数据库服务器02-192.169.225.189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192.169.225.189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16:23:59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16:24:19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卫生健康大数据和政策研究中心-微生物实验室系统-数据库服务器01-192.169.225.214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192.169.225.214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16:23:30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16:23:49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卫生健康大数据和政策研究中心-微生物实验室系统-应用服务器02-192.169.225.204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192.169.225.204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16:22:58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16:23:17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卫生健康大数据和政策研究中心+ 微生物实验室系统-应用服务器01 -192.169.225.133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192.169.225.133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16:22:23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16:22:52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卫生健康大数据和政策研究中心-平台软件服务器-192.169.225.170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192.169.225.170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16:21:00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16:22:01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卫生健康大数据和政策研究中心-备份服务器-192.169.225.212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192.169.225.212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16:00:07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16:10:31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00:10:23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卫生健康大数据和政策研究中心-前置机-192.169.225.166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192.169.225.166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15:59:35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16:00:10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卫生健康大数据和政策研究中心-GIS服务器-192.169.225.155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192.169.225.155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14:03:46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16:45:12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02:41:26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卫生健康大数据和政策研究中心+ 微生物实验室系统-应用服务器01 -192.169.225.133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192.169.225.133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18:35:03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18:38:38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卫生健康大数据和政策研究中心+ 微生物实验室系统-应用服务器01 -192.169.225.133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192.169.225.133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10:16:57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11:41:10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01:24:13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卫健委-int-人资系统-DB服务器1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192.169.225.148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10:16:53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11:41:14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01:24:21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卫健委-int-人资系统-WEB服务器2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192.169.225.197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10:16:48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11:41:14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01:24:26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卫健委-int-人资系统-WEB服务器1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192.169.225.229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9:56:17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9:57:45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卫健委大数据中心-数据采集引擎-1-axtx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192.169.207.234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17:29:10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17:31:22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卫生健康大数据和政策研究中心-微生物实验室系统-应用服务器02-192.169.225.204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192.169.225.204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17:27:59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17:31:22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卫生健康大数据和政策研究中心+ 微生物实验室系统-应用服务器01 -192.169.225.133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192.169.225.133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17:25:39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17:31:22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卫生健康大数据和政策研究中心-文件服务器-192.169.225.135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192.169.225.135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15:31:50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17:25:46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01:53:56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卫生健康大数据和政策研究中心-文件服务器-192.169.225.135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192.169.225.135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15:31:14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15:31:36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卫生健康大数据和政策研究中心-数据库前置机-192.169.205.129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15:30:24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15:31:02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卫生健康大数据和政策研究中心-微生物实验室系统-数据库监视机192.169.225.228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192.169.225.228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15:27:39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15:30:17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卫生健康大数据和政策研究中心-微生物实验室系统-数据库服务器02-192.169.225.189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192.169.225.189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15:26:43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15:27:25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卫生健康大数据和政策研究中心-微生物实验室系统-数据库服务器01-192.169.225.214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192.169.225.214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15:25:18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15:26:29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卫生健康大数据和政策研究中心-微生物实验室系统-应用服务器02-192.169.225.204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192.169.225.204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15:23:21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15:25:03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卫生健康大数据和政策研究中心+ 微生物实验室系统-应用服务器01 -192.169.225.133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192.169.225.133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15:22:39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15:23:09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卫生健康大数据和政策研究中心-平台软件服务器-192.169.225.170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192.169.225.170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15:21:17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15:22:25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卫生健康大数据和政策研究中心-备份服务器-192.169.225.212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192.169.225.212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15:19:31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15:21:04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卫生健康大数据和政策研究中心-前置机-192.169.225.166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192.169.225.166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15:18:04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15:19:18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卫生健康大数据和政策研究中心-GIS服务器-192.169.225.155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192.169.225.155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10:07:08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12:32:08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02:25:00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卫健委-int-人资系统-WEB服务器2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192.169.225.197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10:07:03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12:32:09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02:25:06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卫健委-int-人资系统-DB服务器1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192.169.225.148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</w:tbl>
    <w:p>
      <w:pPr>
        <w:pStyle w:val="3"/>
        <w:numPr>
          <w:ilvl w:val="0"/>
          <w:numId w:val="0"/>
        </w:numPr>
        <w:spacing w:line="415" w:lineRule="auto"/>
        <w:rPr>
          <w:rFonts w:ascii="黑体" w:hAnsi="黑体" w:eastAsia="黑体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  <w:lang w:val="en-US"/>
        </w:rPr>
      </w:pPr>
      <w:bookmarkStart w:id="16" w:name="_Toc14891"/>
      <w:r>
        <w:rPr>
          <w:rFonts w:hint="eastAsia" w:ascii="黑体" w:hAnsi="黑体" w:eastAsia="黑体"/>
          <w:lang w:val="en-US" w:eastAsia="zh-CN"/>
        </w:rPr>
        <w:t>主机杀毒服务报告</w:t>
      </w:r>
      <w:bookmarkEnd w:id="16"/>
      <w:r>
        <w:rPr>
          <w:rFonts w:hint="eastAsia" w:ascii="黑体" w:hAnsi="黑体" w:eastAsia="黑体"/>
          <w:lang w:val="en-US" w:eastAsia="zh-CN"/>
        </w:rPr>
        <w:t xml:space="preserve">  </w:t>
      </w:r>
    </w:p>
    <w:p>
      <w:pPr>
        <w:jc w:val="center"/>
        <w:rPr>
          <w:rFonts w:hint="eastAsia" w:eastAsia="宋体"/>
          <w:b w:val="0"/>
          <w:bCs w:val="0"/>
          <w:lang w:eastAsia="zh-CN"/>
        </w:rPr>
      </w:pPr>
      <w:r>
        <w:drawing>
          <wp:inline distT="0" distB="0" distL="114300" distR="114300">
            <wp:extent cx="5267960" cy="4854575"/>
            <wp:effectExtent l="0" t="0" r="889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85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17" w:name="_Toc18824"/>
      <w:r>
        <w:rPr>
          <w:rFonts w:hint="eastAsia" w:ascii="黑体" w:hAnsi="黑体" w:eastAsia="黑体"/>
          <w:lang w:val="en-US" w:eastAsia="zh-CN"/>
        </w:rPr>
        <w:t>云端APT防护服务报告</w:t>
      </w:r>
      <w:bookmarkEnd w:id="17"/>
    </w:p>
    <w:p>
      <w:pPr>
        <w:rPr>
          <w:rFonts w:hint="eastAsia" w:eastAsia="宋体"/>
          <w:color w:val="FF0000"/>
          <w:lang w:val="en-US" w:eastAsia="zh-CN"/>
        </w:rPr>
      </w:pPr>
      <w:r>
        <w:rPr>
          <w:rFonts w:hint="eastAsia"/>
          <w:color w:val="FF0000"/>
        </w:rPr>
        <w:t>https://192.168.217.10/dashboard</w:t>
      </w:r>
      <w:r>
        <w:rPr>
          <w:rFonts w:hint="eastAsia"/>
          <w:color w:val="FF0000"/>
          <w:lang w:val="en-US" w:eastAsia="zh-CN"/>
        </w:rPr>
        <w:t xml:space="preserve">  可查看</w:t>
      </w:r>
    </w:p>
    <w:p/>
    <w:p>
      <w:pPr>
        <w:pStyle w:val="4"/>
        <w:bidi w:val="0"/>
        <w:rPr>
          <w:rFonts w:hint="eastAsia" w:ascii="黑体" w:hAnsi="黑体" w:eastAsia="黑体" w:cs="黑体"/>
        </w:rPr>
      </w:pPr>
      <w:bookmarkStart w:id="18" w:name="_Toc14262"/>
      <w:bookmarkStart w:id="19" w:name="_Toc29026"/>
      <w:bookmarkStart w:id="20" w:name="_Toc19024"/>
      <w:bookmarkStart w:id="21" w:name="_Toc10511"/>
      <w:bookmarkStart w:id="22" w:name="_Toc16235"/>
      <w:bookmarkStart w:id="23" w:name="_Toc28833"/>
      <w:bookmarkStart w:id="24" w:name="_Toc3670"/>
      <w:bookmarkStart w:id="25" w:name="_Toc5735"/>
      <w:bookmarkStart w:id="26" w:name="_Toc14863"/>
      <w:bookmarkStart w:id="27" w:name="_Toc1898"/>
      <w:bookmarkStart w:id="28" w:name="_Toc12771"/>
      <w:bookmarkStart w:id="29" w:name="_Toc22096"/>
      <w:bookmarkStart w:id="30" w:name="_Toc14338"/>
      <w:bookmarkStart w:id="31" w:name="_Toc11942"/>
      <w:bookmarkStart w:id="32" w:name="exploitNameDistribution"/>
      <w:bookmarkStart w:id="33" w:name="_Toc19616"/>
      <w:bookmarkStart w:id="34" w:name="_Toc1715"/>
      <w:bookmarkStart w:id="35" w:name="_Toc20139"/>
      <w:bookmarkStart w:id="36" w:name="_Toc6849"/>
      <w:bookmarkStart w:id="37" w:name="_Toc27967"/>
      <w:bookmarkStart w:id="38" w:name="_Toc30500"/>
      <w:bookmarkStart w:id="39" w:name="_Toc21700"/>
      <w:bookmarkStart w:id="40" w:name="_Toc29652"/>
      <w:bookmarkStart w:id="41" w:name="_Toc1962"/>
      <w:bookmarkStart w:id="42" w:name="_Toc27172"/>
      <w:bookmarkStart w:id="43" w:name="_Toc4398"/>
      <w:bookmarkStart w:id="44" w:name="_Toc7726"/>
      <w:bookmarkStart w:id="45" w:name="_Toc25580"/>
      <w:bookmarkStart w:id="46" w:name="_Toc6305"/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</w:p>
    <w:p>
      <w:pPr>
        <w:ind w:firstLine="400" w:firstLineChars="200"/>
        <w:rPr>
          <w:highlight w:val="none"/>
        </w:rPr>
      </w:pPr>
      <w:r>
        <w:rPr>
          <w:rFonts w:hint="eastAsia"/>
          <w:highlight w:val="none"/>
        </w:rPr>
        <w:t>在</w:t>
      </w:r>
      <w:r>
        <w:rPr>
          <w:rFonts w:hint="eastAsia"/>
          <w:highlight w:val="none"/>
          <w:lang w:eastAsia="zh-CN"/>
        </w:rPr>
        <w:t>2025年11月</w:t>
      </w:r>
      <w:r>
        <w:rPr>
          <w:rFonts w:hint="eastAsia"/>
          <w:highlight w:val="none"/>
          <w:lang w:val="en-US" w:eastAsia="zh-CN"/>
        </w:rPr>
        <w:t>1</w:t>
      </w:r>
      <w:r>
        <w:rPr>
          <w:rFonts w:hint="eastAsia"/>
          <w:highlight w:val="none"/>
        </w:rPr>
        <w:t>日21：00——</w:t>
      </w:r>
      <w:r>
        <w:rPr>
          <w:rFonts w:hint="eastAsia"/>
          <w:highlight w:val="none"/>
          <w:lang w:val="en-US" w:eastAsia="zh-CN"/>
        </w:rPr>
        <w:t>11</w:t>
      </w:r>
      <w:r>
        <w:rPr>
          <w:rFonts w:hint="eastAsia"/>
          <w:highlight w:val="none"/>
        </w:rPr>
        <w:t>月</w:t>
      </w:r>
      <w:r>
        <w:rPr>
          <w:rFonts w:hint="eastAsia"/>
          <w:highlight w:val="none"/>
          <w:lang w:val="en-US" w:eastAsia="zh-CN"/>
        </w:rPr>
        <w:t>25</w:t>
      </w:r>
      <w:bookmarkStart w:id="50" w:name="_GoBack"/>
      <w:bookmarkEnd w:id="50"/>
      <w:r>
        <w:rPr>
          <w:rFonts w:hint="eastAsia"/>
          <w:highlight w:val="none"/>
        </w:rPr>
        <w:t>日21：00共一个月时间，（“以下统称该期间”）</w:t>
      </w:r>
    </w:p>
    <w:p>
      <w:pPr>
        <w:widowControl/>
        <w:jc w:val="left"/>
        <w:rPr>
          <w:highlight w:val="none"/>
        </w:rPr>
      </w:pPr>
    </w:p>
    <w:p>
      <w:pPr>
        <w:rPr>
          <w:b/>
          <w:bCs/>
          <w:highlight w:val="none"/>
        </w:rPr>
      </w:pPr>
      <w:r>
        <w:rPr>
          <w:rFonts w:hint="eastAsia"/>
          <w:b/>
          <w:bCs/>
          <w:highlight w:val="none"/>
        </w:rPr>
        <w:t>本系统感知到：</w:t>
      </w:r>
    </w:p>
    <w:p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</w:t>
      </w:r>
      <w:r>
        <w:rPr>
          <w:rFonts w:hint="eastAsia"/>
          <w:highlight w:val="none"/>
          <w:lang w:val="en-US" w:eastAsia="zh-CN"/>
        </w:rPr>
        <w:t>6</w:t>
      </w:r>
      <w:r>
        <w:rPr>
          <w:rFonts w:hint="eastAsia"/>
          <w:highlight w:val="none"/>
        </w:rPr>
        <w:t>起攻击行为，其中有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次已成功控制我方主机；</w:t>
      </w:r>
    </w:p>
    <w:p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检测到0起我方主机对外发起攻击行为；</w:t>
      </w:r>
    </w:p>
    <w:p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检测到0起内网渗透攻击事件；</w:t>
      </w:r>
    </w:p>
    <w:p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感知到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个有目的攻击者，针对性的发起攻击，建议企业特别关注；</w:t>
      </w:r>
    </w:p>
    <w:bookmarkEnd w:id="32"/>
    <w:p>
      <w:pPr>
        <w:widowControl/>
        <w:jc w:val="left"/>
        <w:rPr>
          <w:rFonts w:hint="eastAsia" w:ascii="黑体" w:hAnsi="黑体" w:eastAsia="黑体" w:cs="黑体"/>
          <w:lang w:eastAsia="zh-CN"/>
        </w:rPr>
      </w:pPr>
      <w:r>
        <w:drawing>
          <wp:inline distT="0" distB="0" distL="114300" distR="114300">
            <wp:extent cx="8862060" cy="1441450"/>
            <wp:effectExtent l="0" t="0" r="1524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2060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hint="eastAsia" w:ascii="黑体" w:hAnsi="黑体" w:eastAsia="黑体" w:cs="黑体"/>
          <w:lang w:eastAsia="zh-CN"/>
        </w:rPr>
      </w:pPr>
    </w:p>
    <w:p>
      <w:pPr>
        <w:widowControl/>
        <w:jc w:val="left"/>
        <w:rPr>
          <w:rFonts w:hint="eastAsia" w:ascii="黑体" w:hAnsi="黑体" w:eastAsia="黑体" w:cs="黑体"/>
          <w:lang w:eastAsia="zh-CN"/>
        </w:rPr>
      </w:pPr>
    </w:p>
    <w:p>
      <w:pPr>
        <w:widowControl/>
        <w:jc w:val="left"/>
        <w:rPr>
          <w:rFonts w:hint="eastAsia" w:ascii="黑体" w:hAnsi="黑体" w:eastAsia="黑体" w:cs="黑体"/>
          <w:lang w:eastAsia="zh-CN"/>
        </w:rPr>
      </w:pPr>
    </w:p>
    <w:p>
      <w:pPr>
        <w:bidi w:val="0"/>
        <w:rPr>
          <w:rFonts w:hint="eastAsia"/>
          <w:lang w:eastAsia="zh-CN"/>
        </w:rPr>
      </w:pPr>
    </w:p>
    <w:p>
      <w:pPr>
        <w:pStyle w:val="4"/>
        <w:numPr>
          <w:ilvl w:val="0"/>
          <w:numId w:val="5"/>
        </w:numPr>
        <w:bidi w:val="0"/>
        <w:rPr>
          <w:rFonts w:hint="eastAsia" w:ascii="黑体" w:hAnsi="黑体" w:eastAsia="黑体" w:cs="黑体"/>
        </w:rPr>
      </w:pPr>
      <w:bookmarkStart w:id="47" w:name="_Toc28292"/>
      <w:r>
        <w:rPr>
          <w:rFonts w:hint="eastAsia" w:ascii="黑体" w:hAnsi="黑体" w:eastAsia="黑体" w:cs="黑体"/>
        </w:rPr>
        <w:t>整体情况：</w:t>
      </w:r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</w:p>
    <w:p>
      <w:pPr>
        <w:rPr>
          <w:rFonts w:hint="eastAsia"/>
        </w:rPr>
      </w:pPr>
      <w:r>
        <w:rPr>
          <w:rFonts w:hint="eastAsia"/>
          <w:b/>
          <w:bCs/>
          <w:sz w:val="21"/>
          <w:szCs w:val="24"/>
        </w:rPr>
        <w:t>2.1 Top10威胁事件类型按事件数</w:t>
      </w:r>
      <w:r>
        <w:rPr>
          <w:rFonts w:hint="eastAsia"/>
          <w:b/>
          <w:bCs/>
          <w:sz w:val="21"/>
          <w:szCs w:val="24"/>
          <w:lang w:val="en-US" w:eastAsia="zh-CN"/>
        </w:rPr>
        <w:t>分布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8859520" cy="1957070"/>
            <wp:effectExtent l="0" t="0" r="1778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195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48" w:name="_Toc28083"/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bookmarkEnd w:id="14"/>
      <w:bookmarkEnd w:id="48"/>
    </w:p>
    <w:tbl>
      <w:tblPr>
        <w:tblStyle w:val="20"/>
        <w:tblW w:w="1397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500"/>
        <w:gridCol w:w="1950"/>
        <w:gridCol w:w="2006"/>
        <w:gridCol w:w="1274"/>
        <w:gridCol w:w="152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备份时间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备份类型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备份负责人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卫健委-int-人资系统-WEB服务器-1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192.169.225.229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/7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卫健委-int-人资系统-WEB服务器-2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192.169.225.197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/7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卫健委-int-人资系统-DB服务器1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192.169.225.148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/7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卫健委-int-人资系统-DB服务器2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192.169.225.153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/7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卫健委大数据中心-数据采集引擎-1-axtx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192.169.207.234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/7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卫生健康大数据和政策研究中心-微生物实验室系统-应用服务器01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192.169.225.133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/7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卫生健康大数据和政策研究中心-微生物实验室系统-数据库服务器01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192.169.225.214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/7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卫生健康大数据和政策研究中心-微生物实验室系统-数据库服务器02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192.169.225.189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/7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卫生健康大数据和政策研究中心-微生物实验室系统-应用服务器02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192.169.225.204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/7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卫生健康大数据和政策研究中心-微生物实验室系统-文件服务器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192.169.225.135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/7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卫生健康大数据和政策研究中心-微生物实验室系统-前置机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192.169.225.166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/7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卫生健康大数据和政策研究中心-微生物实验室系统-备份服务器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192.169.225.212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/7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卫生健康大数据和政策研究中心-微生物实验室系统-平台软件服务器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192.169.225.170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/7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卫生健康大数据和政策研究中心-微生物实验室系统-GIS服务器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192.169.225.155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/7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卫生健康大数据和政策研究中心-微生物实验室系统-流媒体转发服务器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192.169.225.149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/7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卫生健康大数据和政策研究中心-微生物实验室系统-数据库前置机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192.169.205.129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/7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卫生健康大数据和政策研究中心-微生物实验室系统-数据库监视机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192.169.225.228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/7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卫健委_大数据中心_微生物实验室系统_数据管理与服务_应用服务器-1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192.169.201.83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/7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卫健委_大数据中心_微生物实验室系统_数据管理与服务_应用服务器-2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192.169.200.209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/7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卫健委_大数据中心_微生物实验室系统_数据管理与服务_应用服务器-3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192.169.205.111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/7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卫健委_大数据中心_数据管理与服务_大数据服务器01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192.169.201.53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/7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卫健委_大数据中心_数据管理与服务_大数据服务器02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192.169.205.103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/7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卫健委_大数据中心_前置机_前置库1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192.169.203.54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/7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卫健委_大数据中心_前置机_数据加密服务器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192.169.207.177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/7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卫健委_大数据中心_前置机_前置库2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192.169.204.208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/7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卫健委_大数据中心_课题_数据采集服务器-1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192.169.201.95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/7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卫健委_大数据中心_课题_数据采集服务器-2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192.169.200.156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/7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卫健委_大数据中心_基层_备份库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192.169.207.181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/7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卫健委_大数据中心_大数据平台_节点-1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192.169.200.74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/7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卫健委_大数据中心_大数据平台_节点-2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192.169.204.174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/7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卫健委_大数据中心_大数据平台_节点-3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192.169.203.72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/7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卫健委_大数据中心_大数据平台_节点-4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192.169.202.227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/7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卫健委_大数据中心_大数据平台_节点-5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192.169.207.161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/7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卫健委_大数据中心_大数据平台_节点-6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192.169.202.128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/7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卫健委_大数据中心_大数据平台_节点-7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192.169.205.247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/7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卫健委_大数据中心_大数据平台_节点-8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192.169.207.209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/7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卫健委_大数据中心_大数据平台_节点-9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192.169.205.239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/7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卫健委_大数据中心_大数据平台_节点-10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192.169.206.212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/7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卫健委-int-人资系统-WEB服务器-1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192.169.225.229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/14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卫健委-int-人资系统-WEB服务器-2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192.169.225.197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/14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卫健委-int-人资系统-DB服务器1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192.169.225.148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/14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卫健委-int-人资系统-DB服务器2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192.169.225.153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/14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卫健委大数据中心-数据采集引擎-1-axtx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192.169.207.234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/14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卫生健康大数据和政策研究中心-微生物实验室系统-应用服务器01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192.169.225.133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/14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卫生健康大数据和政策研究中心-微生物实验室系统-数据库服务器01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192.169.225.214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/14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卫生健康大数据和政策研究中心-微生物实验室系统-数据库服务器02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192.169.225.189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/14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卫生健康大数据和政策研究中心-微生物实验室系统-应用服务器02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192.169.225.204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/14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卫生健康大数据和政策研究中心-微生物实验室系统-文件服务器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192.169.225.135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/14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卫生健康大数据和政策研究中心-微生物实验室系统-前置机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192.169.225.166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/14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卫生健康大数据和政策研究中心-微生物实验室系统-备份服务器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192.169.225.212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/14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卫生健康大数据和政策研究中心-微生物实验室系统-平台软件服务器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192.169.225.170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/14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卫生健康大数据和政策研究中心-微生物实验室系统-GIS服务器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192.169.225.155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/14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卫生健康大数据和政策研究中心-微生物实验室系统-流媒体转发服务器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192.169.225.149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/14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卫生健康大数据和政策研究中心-微生物实验室系统-数据库前置机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192.169.205.129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/14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卫生健康大数据和政策研究中心-微生物实验室系统-数据库监视机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192.169.225.228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/14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卫健委_大数据中心_微生物实验室系统_数据管理与服务_应用服务器-1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192.169.201.83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/14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卫健委_大数据中心_微生物实验室系统_数据管理与服务_应用服务器-2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192.169.200.209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/14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卫健委_大数据中心_微生物实验室系统_数据管理与服务_应用服务器-3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192.169.205.111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/14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卫健委_大数据中心_数据管理与服务_大数据服务器01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192.169.201.53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/14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卫健委_大数据中心_数据管理与服务_大数据服务器02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192.169.205.103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/14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卫健委_大数据中心_前置机_前置库1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192.169.203.54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/14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卫健委_大数据中心_前置机_数据加密服务器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192.169.207.177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/14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卫健委_大数据中心_前置机_前置库2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192.169.204.208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/14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卫健委_大数据中心_课题_数据采集服务器-1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192.169.201.95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/14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卫健委_大数据中心_课题_数据采集服务器-2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192.169.200.156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/14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卫健委_大数据中心_基层_备份库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192.169.207.181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/14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卫健委_大数据中心_大数据平台_节点-1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192.169.200.74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/14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卫健委_大数据中心_大数据平台_节点-2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192.169.204.174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/14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卫健委_大数据中心_大数据平台_节点-3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192.169.203.72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/14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卫健委_大数据中心_大数据平台_节点-4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192.169.202.227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/14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卫健委_大数据中心_大数据平台_节点-5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192.169.207.161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/14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卫健委_大数据中心_大数据平台_节点-6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192.169.202.128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/14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卫健委_大数据中心_大数据平台_节点-7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192.169.205.247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/14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卫健委_大数据中心_大数据平台_节点-8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192.169.207.209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/14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卫健委_大数据中心_大数据平台_节点-9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192.169.205.239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/14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卫健委_大数据中心_大数据平台_节点-10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192.169.206.212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/14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卫健委-int-人资系统-WEB服务器-1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192.169.225.229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/21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卫健委-int-人资系统-WEB服务器-2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192.169.225.197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/21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卫健委-int-人资系统-DB服务器1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192.169.225.148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/21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卫健委-int-人资系统-DB服务器2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192.169.225.153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/21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卫健委大数据中心-数据采集引擎-1-axtx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192.169.207.234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/21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卫生健康大数据和政策研究中心-微生物实验室系统-应用服务器01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192.169.225.133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/21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卫生健康大数据和政策研究中心-微生物实验室系统-数据库服务器01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192.169.225.214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/21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卫生健康大数据和政策研究中心-微生物实验室系统-数据库服务器02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192.169.225.189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/21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卫生健康大数据和政策研究中心-微生物实验室系统-应用服务器02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192.169.225.204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/21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卫生健康大数据和政策研究中心-微生物实验室系统-文件服务器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192.169.225.135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/21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卫生健康大数据和政策研究中心-微生物实验室系统-前置机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192.169.225.166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/21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卫生健康大数据和政策研究中心-微生物实验室系统-备份服务器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192.169.225.212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/21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卫生健康大数据和政策研究中心-微生物实验室系统-平台软件服务器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192.169.225.170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/21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卫生健康大数据和政策研究中心-微生物实验室系统-GIS服务器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192.169.225.155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/21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卫生健康大数据和政策研究中心-微生物实验室系统-流媒体转发服务器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192.169.225.149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/21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卫生健康大数据和政策研究中心-微生物实验室系统-数据库前置机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192.169.205.129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/21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卫生健康大数据和政策研究中心-微生物实验室系统-数据库监视机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192.169.225.228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/21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卫健委_大数据中心_微生物实验室系统_数据管理与服务_应用服务器-1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192.169.201.83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/21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卫健委_大数据中心_微生物实验室系统_数据管理与服务_应用服务器-2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192.169.200.209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/21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卫健委_大数据中心_微生物实验室系统_数据管理与服务_应用服务器-3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192.169.205.111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/21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卫健委_大数据中心_数据管理与服务_大数据服务器01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192.169.201.53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/21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卫健委_大数据中心_数据管理与服务_大数据服务器02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192.169.205.103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/21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卫健委_大数据中心_前置机_前置库1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192.169.203.54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/21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卫健委_大数据中心_前置机_数据加密服务器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192.169.207.177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/21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卫健委_大数据中心_前置机_前置库2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192.169.204.208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/21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卫健委_大数据中心_课题_数据采集服务器-1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192.169.201.95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/21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卫健委_大数据中心_课题_数据采集服务器-2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192.169.200.156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/21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卫健委_大数据中心_基层_备份库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192.169.207.181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/21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卫健委_大数据中心_大数据平台_节点-1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192.169.200.74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/21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卫健委_大数据中心_大数据平台_节点-2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192.169.204.174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/21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卫健委_大数据中心_大数据平台_节点-3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192.169.203.72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/21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卫健委_大数据中心_大数据平台_节点-4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192.169.202.227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/21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卫健委_大数据中心_大数据平台_节点-5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192.169.207.161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/21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卫健委_大数据中心_大数据平台_节点-6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192.169.202.128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/21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卫健委_大数据中心_大数据平台_节点-7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192.169.205.247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/21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/21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/21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卫健委_大数据中心_大数据平台_节点-10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/21 22:00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</w:tbl>
    <w:p>
      <w:pPr>
        <w:tabs>
          <w:tab w:val="left" w:pos="1191"/>
        </w:tabs>
        <w:bidi w:val="0"/>
        <w:jc w:val="left"/>
        <w:rPr>
          <w:rFonts w:hint="default"/>
          <w:lang w:val="en-US" w:eastAsia="zh-CN"/>
        </w:r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default" w:ascii="黑体" w:hAnsi="黑体" w:eastAsia="黑体"/>
          <w:lang w:val="en-US" w:eastAsia="zh-CN"/>
        </w:rPr>
      </w:pPr>
      <w:bookmarkStart w:id="49" w:name="_Toc20075"/>
      <w:r>
        <w:rPr>
          <w:rFonts w:hint="eastAsia" w:ascii="黑体" w:hAnsi="黑体" w:eastAsia="黑体"/>
          <w:lang w:val="en-US" w:eastAsia="zh-CN"/>
        </w:rPr>
        <w:t>网页防篡改服务报告</w:t>
      </w:r>
      <w:bookmarkEnd w:id="49"/>
    </w:p>
    <w:p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本月未发生网页篡改事件，防篡改服务运行记录如下表所示：</w:t>
      </w:r>
    </w:p>
    <w:tbl>
      <w:tblPr>
        <w:tblStyle w:val="20"/>
        <w:tblW w:w="13958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0"/>
        <w:gridCol w:w="4875"/>
        <w:gridCol w:w="466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</w:t>
            </w:r>
          </w:p>
        </w:tc>
        <w:tc>
          <w:tcPr>
            <w:tcW w:w="4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防篡改系统运行状态</w:t>
            </w:r>
          </w:p>
        </w:tc>
        <w:tc>
          <w:tcPr>
            <w:tcW w:w="4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防篡改事件监控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1日</w:t>
            </w:r>
          </w:p>
        </w:tc>
        <w:tc>
          <w:tcPr>
            <w:tcW w:w="4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2日</w:t>
            </w:r>
          </w:p>
        </w:tc>
        <w:tc>
          <w:tcPr>
            <w:tcW w:w="4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3日</w:t>
            </w:r>
          </w:p>
        </w:tc>
        <w:tc>
          <w:tcPr>
            <w:tcW w:w="4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4日</w:t>
            </w:r>
          </w:p>
        </w:tc>
        <w:tc>
          <w:tcPr>
            <w:tcW w:w="4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5日</w:t>
            </w:r>
          </w:p>
        </w:tc>
        <w:tc>
          <w:tcPr>
            <w:tcW w:w="4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6日</w:t>
            </w:r>
          </w:p>
        </w:tc>
        <w:tc>
          <w:tcPr>
            <w:tcW w:w="4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7日</w:t>
            </w:r>
          </w:p>
        </w:tc>
        <w:tc>
          <w:tcPr>
            <w:tcW w:w="4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8日</w:t>
            </w:r>
          </w:p>
        </w:tc>
        <w:tc>
          <w:tcPr>
            <w:tcW w:w="4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9日</w:t>
            </w:r>
          </w:p>
        </w:tc>
        <w:tc>
          <w:tcPr>
            <w:tcW w:w="4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10日</w:t>
            </w:r>
          </w:p>
        </w:tc>
        <w:tc>
          <w:tcPr>
            <w:tcW w:w="4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11日</w:t>
            </w:r>
          </w:p>
        </w:tc>
        <w:tc>
          <w:tcPr>
            <w:tcW w:w="4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12日</w:t>
            </w:r>
          </w:p>
        </w:tc>
        <w:tc>
          <w:tcPr>
            <w:tcW w:w="4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13日</w:t>
            </w:r>
          </w:p>
        </w:tc>
        <w:tc>
          <w:tcPr>
            <w:tcW w:w="4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14日</w:t>
            </w:r>
          </w:p>
        </w:tc>
        <w:tc>
          <w:tcPr>
            <w:tcW w:w="4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15日</w:t>
            </w:r>
          </w:p>
        </w:tc>
        <w:tc>
          <w:tcPr>
            <w:tcW w:w="4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16日</w:t>
            </w:r>
          </w:p>
        </w:tc>
        <w:tc>
          <w:tcPr>
            <w:tcW w:w="4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17日</w:t>
            </w:r>
          </w:p>
        </w:tc>
        <w:tc>
          <w:tcPr>
            <w:tcW w:w="4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18日</w:t>
            </w:r>
          </w:p>
        </w:tc>
        <w:tc>
          <w:tcPr>
            <w:tcW w:w="4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19日</w:t>
            </w:r>
          </w:p>
        </w:tc>
        <w:tc>
          <w:tcPr>
            <w:tcW w:w="4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20日</w:t>
            </w:r>
          </w:p>
        </w:tc>
        <w:tc>
          <w:tcPr>
            <w:tcW w:w="4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21日</w:t>
            </w:r>
          </w:p>
        </w:tc>
        <w:tc>
          <w:tcPr>
            <w:tcW w:w="4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22日</w:t>
            </w:r>
          </w:p>
        </w:tc>
        <w:tc>
          <w:tcPr>
            <w:tcW w:w="4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23日</w:t>
            </w:r>
          </w:p>
        </w:tc>
        <w:tc>
          <w:tcPr>
            <w:tcW w:w="4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24日</w:t>
            </w:r>
          </w:p>
        </w:tc>
        <w:tc>
          <w:tcPr>
            <w:tcW w:w="4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25日</w:t>
            </w:r>
          </w:p>
        </w:tc>
        <w:tc>
          <w:tcPr>
            <w:tcW w:w="4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</w:tbl>
    <w:p>
      <w:pPr>
        <w:rPr>
          <w:rFonts w:hint="default"/>
          <w:lang w:val="en-US" w:eastAsia="zh-CN"/>
        </w:rPr>
      </w:pP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jc w:val="center"/>
    </w:pPr>
  </w:p>
  <w:p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0102030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>
            <w:pPr>
              <w:pStyle w:val="11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11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0102030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>
            <w:pPr>
              <w:pStyle w:val="11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pBdr>
        <w:bottom w:val="none" w:color="auto" w:sz="0" w:space="0"/>
      </w:pBdr>
      <w:ind w:firstLine="42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162BDF"/>
    <w:multiLevelType w:val="singleLevel"/>
    <w:tmpl w:val="DF162BDF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34EF7781"/>
    <w:multiLevelType w:val="singleLevel"/>
    <w:tmpl w:val="34EF778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B600065"/>
    <w:multiLevelType w:val="multilevel"/>
    <w:tmpl w:val="3B60006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7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>
    <w:nsid w:val="45B26F75"/>
    <w:multiLevelType w:val="multilevel"/>
    <w:tmpl w:val="45B26F7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>
    <w:nsid w:val="5D974681"/>
    <w:multiLevelType w:val="multilevel"/>
    <w:tmpl w:val="5D974681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1567" w:hanging="567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3"/>
  </w:num>
  <w:num w:numId="2">
    <w:abstractNumId w:val="4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AyYWI1NmY4MDFmNmEwYmE0MjNlZDc4NzA3ZThlODYifQ=="/>
  </w:docVars>
  <w:rsids>
    <w:rsidRoot w:val="00E913A0"/>
    <w:rsid w:val="00011039"/>
    <w:rsid w:val="000167A1"/>
    <w:rsid w:val="000336B3"/>
    <w:rsid w:val="000517AA"/>
    <w:rsid w:val="0008241A"/>
    <w:rsid w:val="00095266"/>
    <w:rsid w:val="001545AD"/>
    <w:rsid w:val="00167491"/>
    <w:rsid w:val="001D0E4B"/>
    <w:rsid w:val="001E1497"/>
    <w:rsid w:val="001F4111"/>
    <w:rsid w:val="001F7B7C"/>
    <w:rsid w:val="0021273C"/>
    <w:rsid w:val="002156CF"/>
    <w:rsid w:val="00222A69"/>
    <w:rsid w:val="00225253"/>
    <w:rsid w:val="0023152C"/>
    <w:rsid w:val="00235B94"/>
    <w:rsid w:val="00242034"/>
    <w:rsid w:val="00247AFC"/>
    <w:rsid w:val="00261B1E"/>
    <w:rsid w:val="00280DCC"/>
    <w:rsid w:val="00285181"/>
    <w:rsid w:val="002B2F27"/>
    <w:rsid w:val="002B4253"/>
    <w:rsid w:val="002B4D21"/>
    <w:rsid w:val="00336A83"/>
    <w:rsid w:val="00376947"/>
    <w:rsid w:val="003952CE"/>
    <w:rsid w:val="003A0163"/>
    <w:rsid w:val="003A4992"/>
    <w:rsid w:val="003B44E1"/>
    <w:rsid w:val="003C3B4F"/>
    <w:rsid w:val="003C75FC"/>
    <w:rsid w:val="003F4732"/>
    <w:rsid w:val="00427848"/>
    <w:rsid w:val="00451E7B"/>
    <w:rsid w:val="00466A9A"/>
    <w:rsid w:val="004775A8"/>
    <w:rsid w:val="00485693"/>
    <w:rsid w:val="004D10DE"/>
    <w:rsid w:val="004E5135"/>
    <w:rsid w:val="004F7866"/>
    <w:rsid w:val="0050026D"/>
    <w:rsid w:val="005052DB"/>
    <w:rsid w:val="00534882"/>
    <w:rsid w:val="005448C3"/>
    <w:rsid w:val="0055676C"/>
    <w:rsid w:val="0056334B"/>
    <w:rsid w:val="005E075F"/>
    <w:rsid w:val="00600F28"/>
    <w:rsid w:val="00601139"/>
    <w:rsid w:val="006019F2"/>
    <w:rsid w:val="0062221E"/>
    <w:rsid w:val="00685753"/>
    <w:rsid w:val="006A4752"/>
    <w:rsid w:val="006A48F7"/>
    <w:rsid w:val="006A78D1"/>
    <w:rsid w:val="006B3EAB"/>
    <w:rsid w:val="006D0472"/>
    <w:rsid w:val="007144F4"/>
    <w:rsid w:val="007179AF"/>
    <w:rsid w:val="00735194"/>
    <w:rsid w:val="00736D96"/>
    <w:rsid w:val="0075354D"/>
    <w:rsid w:val="0079350B"/>
    <w:rsid w:val="007C5E85"/>
    <w:rsid w:val="007D335B"/>
    <w:rsid w:val="007F613B"/>
    <w:rsid w:val="007F66E9"/>
    <w:rsid w:val="00823F02"/>
    <w:rsid w:val="00824855"/>
    <w:rsid w:val="00826B94"/>
    <w:rsid w:val="00827F1B"/>
    <w:rsid w:val="00843DCB"/>
    <w:rsid w:val="00871CF5"/>
    <w:rsid w:val="00880E6E"/>
    <w:rsid w:val="008941A0"/>
    <w:rsid w:val="008D1C73"/>
    <w:rsid w:val="009453EF"/>
    <w:rsid w:val="00952F8F"/>
    <w:rsid w:val="00986F55"/>
    <w:rsid w:val="009B0072"/>
    <w:rsid w:val="009E6863"/>
    <w:rsid w:val="00A201D1"/>
    <w:rsid w:val="00A36B93"/>
    <w:rsid w:val="00A42BCF"/>
    <w:rsid w:val="00AD3720"/>
    <w:rsid w:val="00AF25BF"/>
    <w:rsid w:val="00B0089A"/>
    <w:rsid w:val="00B46918"/>
    <w:rsid w:val="00B56E6B"/>
    <w:rsid w:val="00B63CC8"/>
    <w:rsid w:val="00B723A2"/>
    <w:rsid w:val="00B7681F"/>
    <w:rsid w:val="00BB3518"/>
    <w:rsid w:val="00BC003F"/>
    <w:rsid w:val="00BD4BA0"/>
    <w:rsid w:val="00BD5663"/>
    <w:rsid w:val="00BD7108"/>
    <w:rsid w:val="00C57D73"/>
    <w:rsid w:val="00C83963"/>
    <w:rsid w:val="00C84BB8"/>
    <w:rsid w:val="00C87BF0"/>
    <w:rsid w:val="00C93423"/>
    <w:rsid w:val="00CC6B25"/>
    <w:rsid w:val="00CC78B1"/>
    <w:rsid w:val="00CD20FE"/>
    <w:rsid w:val="00D2140D"/>
    <w:rsid w:val="00D33619"/>
    <w:rsid w:val="00D33AD2"/>
    <w:rsid w:val="00DF75C4"/>
    <w:rsid w:val="00E614BE"/>
    <w:rsid w:val="00E67790"/>
    <w:rsid w:val="00E913A0"/>
    <w:rsid w:val="00EC5FFC"/>
    <w:rsid w:val="00ED189E"/>
    <w:rsid w:val="00EE4491"/>
    <w:rsid w:val="00EF7BDE"/>
    <w:rsid w:val="00F10C51"/>
    <w:rsid w:val="00FC0D6F"/>
    <w:rsid w:val="00FC2C15"/>
    <w:rsid w:val="01011432"/>
    <w:rsid w:val="014852B3"/>
    <w:rsid w:val="0178388B"/>
    <w:rsid w:val="01F557C4"/>
    <w:rsid w:val="021358C1"/>
    <w:rsid w:val="028C11CF"/>
    <w:rsid w:val="02B16B27"/>
    <w:rsid w:val="02FA367F"/>
    <w:rsid w:val="036051F9"/>
    <w:rsid w:val="03B54B18"/>
    <w:rsid w:val="03C54999"/>
    <w:rsid w:val="03D80B70"/>
    <w:rsid w:val="04ED064B"/>
    <w:rsid w:val="05092FAB"/>
    <w:rsid w:val="05706B86"/>
    <w:rsid w:val="0571302A"/>
    <w:rsid w:val="05CC5945"/>
    <w:rsid w:val="06167E9D"/>
    <w:rsid w:val="066E7569"/>
    <w:rsid w:val="068E517B"/>
    <w:rsid w:val="069E0FFE"/>
    <w:rsid w:val="06D62A91"/>
    <w:rsid w:val="070B125C"/>
    <w:rsid w:val="07A82607"/>
    <w:rsid w:val="08456C18"/>
    <w:rsid w:val="08F547FF"/>
    <w:rsid w:val="093C1AD6"/>
    <w:rsid w:val="094E71DE"/>
    <w:rsid w:val="09976DD7"/>
    <w:rsid w:val="0A0F2E11"/>
    <w:rsid w:val="0B1F0E32"/>
    <w:rsid w:val="0BC77185"/>
    <w:rsid w:val="0BF71DAF"/>
    <w:rsid w:val="0C4329AD"/>
    <w:rsid w:val="0D0D5CBB"/>
    <w:rsid w:val="0D350454"/>
    <w:rsid w:val="0D59473B"/>
    <w:rsid w:val="0D5A6B19"/>
    <w:rsid w:val="0D8D4ACB"/>
    <w:rsid w:val="0D962CBC"/>
    <w:rsid w:val="0DDE4FD5"/>
    <w:rsid w:val="0E1B7FD7"/>
    <w:rsid w:val="0E2258F9"/>
    <w:rsid w:val="0E8A0CB9"/>
    <w:rsid w:val="0EC03E6B"/>
    <w:rsid w:val="0EDF2201"/>
    <w:rsid w:val="0F761D3D"/>
    <w:rsid w:val="0FD06BBA"/>
    <w:rsid w:val="100131FC"/>
    <w:rsid w:val="10044C1C"/>
    <w:rsid w:val="10833C11"/>
    <w:rsid w:val="10993BAF"/>
    <w:rsid w:val="114710E3"/>
    <w:rsid w:val="119F2CCD"/>
    <w:rsid w:val="11A02A7B"/>
    <w:rsid w:val="13C51B57"/>
    <w:rsid w:val="150C76B9"/>
    <w:rsid w:val="15420741"/>
    <w:rsid w:val="154871D8"/>
    <w:rsid w:val="16473933"/>
    <w:rsid w:val="16493207"/>
    <w:rsid w:val="165F6ECF"/>
    <w:rsid w:val="16653DA4"/>
    <w:rsid w:val="17321EED"/>
    <w:rsid w:val="176127D3"/>
    <w:rsid w:val="17B00EC4"/>
    <w:rsid w:val="17EE4066"/>
    <w:rsid w:val="182E5846"/>
    <w:rsid w:val="183879D7"/>
    <w:rsid w:val="194F3A62"/>
    <w:rsid w:val="19785394"/>
    <w:rsid w:val="1998697F"/>
    <w:rsid w:val="19E021C5"/>
    <w:rsid w:val="19E35721"/>
    <w:rsid w:val="1A0D1D61"/>
    <w:rsid w:val="1A1A0607"/>
    <w:rsid w:val="1A577055"/>
    <w:rsid w:val="1AD5775F"/>
    <w:rsid w:val="1AEF4AED"/>
    <w:rsid w:val="1AFE2B82"/>
    <w:rsid w:val="1B76764E"/>
    <w:rsid w:val="1C250761"/>
    <w:rsid w:val="1C520B0E"/>
    <w:rsid w:val="1C823380"/>
    <w:rsid w:val="1CC61A56"/>
    <w:rsid w:val="1D0C6E7A"/>
    <w:rsid w:val="1D5C4D6D"/>
    <w:rsid w:val="1D9439D4"/>
    <w:rsid w:val="1E122B69"/>
    <w:rsid w:val="1E58492F"/>
    <w:rsid w:val="1EA14212"/>
    <w:rsid w:val="1ED61CF8"/>
    <w:rsid w:val="1F0B30E5"/>
    <w:rsid w:val="1F0E1492"/>
    <w:rsid w:val="202F7912"/>
    <w:rsid w:val="20803CC9"/>
    <w:rsid w:val="20880004"/>
    <w:rsid w:val="208E4638"/>
    <w:rsid w:val="20E92A99"/>
    <w:rsid w:val="21042B4C"/>
    <w:rsid w:val="211C4B58"/>
    <w:rsid w:val="21493635"/>
    <w:rsid w:val="21870AC8"/>
    <w:rsid w:val="224C33B7"/>
    <w:rsid w:val="22930D0B"/>
    <w:rsid w:val="22AD78F2"/>
    <w:rsid w:val="22B92079"/>
    <w:rsid w:val="22CA3922"/>
    <w:rsid w:val="24150BCD"/>
    <w:rsid w:val="247507F8"/>
    <w:rsid w:val="24DB3BC4"/>
    <w:rsid w:val="25434182"/>
    <w:rsid w:val="25592D92"/>
    <w:rsid w:val="25C24D84"/>
    <w:rsid w:val="25D36F91"/>
    <w:rsid w:val="25DA5525"/>
    <w:rsid w:val="26357304"/>
    <w:rsid w:val="26CE1737"/>
    <w:rsid w:val="27673E35"/>
    <w:rsid w:val="27C37A22"/>
    <w:rsid w:val="27E42422"/>
    <w:rsid w:val="289E73E3"/>
    <w:rsid w:val="291432EC"/>
    <w:rsid w:val="29211DC2"/>
    <w:rsid w:val="2950728E"/>
    <w:rsid w:val="2964687E"/>
    <w:rsid w:val="297D74C4"/>
    <w:rsid w:val="29AD102D"/>
    <w:rsid w:val="2A2045F7"/>
    <w:rsid w:val="2ABF1879"/>
    <w:rsid w:val="2B061407"/>
    <w:rsid w:val="2B0B1193"/>
    <w:rsid w:val="2B2362C5"/>
    <w:rsid w:val="2B4029D3"/>
    <w:rsid w:val="2BEE4C6E"/>
    <w:rsid w:val="2C056264"/>
    <w:rsid w:val="2C0C0B07"/>
    <w:rsid w:val="2C353361"/>
    <w:rsid w:val="2C532BDA"/>
    <w:rsid w:val="2C5C51D5"/>
    <w:rsid w:val="2CF05C9A"/>
    <w:rsid w:val="2D2B1461"/>
    <w:rsid w:val="2D441559"/>
    <w:rsid w:val="2E5A3DAC"/>
    <w:rsid w:val="2FB256D5"/>
    <w:rsid w:val="30330D58"/>
    <w:rsid w:val="30481917"/>
    <w:rsid w:val="305F38FB"/>
    <w:rsid w:val="30CA6485"/>
    <w:rsid w:val="30DD2358"/>
    <w:rsid w:val="30ED546B"/>
    <w:rsid w:val="31424DA9"/>
    <w:rsid w:val="31880C30"/>
    <w:rsid w:val="31975317"/>
    <w:rsid w:val="31BA15B6"/>
    <w:rsid w:val="3207203C"/>
    <w:rsid w:val="32286871"/>
    <w:rsid w:val="322A618B"/>
    <w:rsid w:val="323F6225"/>
    <w:rsid w:val="32485BA7"/>
    <w:rsid w:val="324A2389"/>
    <w:rsid w:val="32760AEE"/>
    <w:rsid w:val="32786EF6"/>
    <w:rsid w:val="32957AA8"/>
    <w:rsid w:val="32B86B33"/>
    <w:rsid w:val="32C35DB5"/>
    <w:rsid w:val="33416AFD"/>
    <w:rsid w:val="33DB1BFF"/>
    <w:rsid w:val="34BB30CA"/>
    <w:rsid w:val="34D0311F"/>
    <w:rsid w:val="34D6468B"/>
    <w:rsid w:val="352930DB"/>
    <w:rsid w:val="35415191"/>
    <w:rsid w:val="356B1732"/>
    <w:rsid w:val="35C34EA9"/>
    <w:rsid w:val="35EF5040"/>
    <w:rsid w:val="3615778C"/>
    <w:rsid w:val="362F059F"/>
    <w:rsid w:val="366323BD"/>
    <w:rsid w:val="367232F1"/>
    <w:rsid w:val="36C27A33"/>
    <w:rsid w:val="36D668E1"/>
    <w:rsid w:val="37853062"/>
    <w:rsid w:val="37A7012D"/>
    <w:rsid w:val="37FC4B89"/>
    <w:rsid w:val="383C1EAC"/>
    <w:rsid w:val="38467C11"/>
    <w:rsid w:val="38675A43"/>
    <w:rsid w:val="38763ED8"/>
    <w:rsid w:val="38D94467"/>
    <w:rsid w:val="38EA60B4"/>
    <w:rsid w:val="3914724D"/>
    <w:rsid w:val="3A316FE0"/>
    <w:rsid w:val="3B1A534B"/>
    <w:rsid w:val="3B530501"/>
    <w:rsid w:val="3B5B266B"/>
    <w:rsid w:val="3B985F13"/>
    <w:rsid w:val="3C1277A8"/>
    <w:rsid w:val="3C1329D6"/>
    <w:rsid w:val="3C3519B4"/>
    <w:rsid w:val="3C3D6D89"/>
    <w:rsid w:val="3C695E4A"/>
    <w:rsid w:val="3CB45DD5"/>
    <w:rsid w:val="3D0F7592"/>
    <w:rsid w:val="3DB76AFC"/>
    <w:rsid w:val="3DBA3451"/>
    <w:rsid w:val="3DDD0555"/>
    <w:rsid w:val="3EB61016"/>
    <w:rsid w:val="3F62228A"/>
    <w:rsid w:val="3F917849"/>
    <w:rsid w:val="3FA171C1"/>
    <w:rsid w:val="40F41E3E"/>
    <w:rsid w:val="41192025"/>
    <w:rsid w:val="41391F84"/>
    <w:rsid w:val="41474664"/>
    <w:rsid w:val="416747E6"/>
    <w:rsid w:val="41A86B0C"/>
    <w:rsid w:val="41B713A8"/>
    <w:rsid w:val="41F76C92"/>
    <w:rsid w:val="42125AB0"/>
    <w:rsid w:val="423170C2"/>
    <w:rsid w:val="42C73481"/>
    <w:rsid w:val="43222110"/>
    <w:rsid w:val="437D4C43"/>
    <w:rsid w:val="44466E54"/>
    <w:rsid w:val="444E3F5B"/>
    <w:rsid w:val="44F85C75"/>
    <w:rsid w:val="45833790"/>
    <w:rsid w:val="45A5700C"/>
    <w:rsid w:val="45B538D4"/>
    <w:rsid w:val="45BB6187"/>
    <w:rsid w:val="45E761D4"/>
    <w:rsid w:val="462E1B80"/>
    <w:rsid w:val="465158A2"/>
    <w:rsid w:val="46C10A14"/>
    <w:rsid w:val="4729480B"/>
    <w:rsid w:val="47376F28"/>
    <w:rsid w:val="475F022D"/>
    <w:rsid w:val="478A07D1"/>
    <w:rsid w:val="47AC3472"/>
    <w:rsid w:val="47BB1907"/>
    <w:rsid w:val="47BC742D"/>
    <w:rsid w:val="47CA3009"/>
    <w:rsid w:val="47E744AA"/>
    <w:rsid w:val="486F37D5"/>
    <w:rsid w:val="489E5603"/>
    <w:rsid w:val="4A48711D"/>
    <w:rsid w:val="4A9F71C0"/>
    <w:rsid w:val="4AA05BA7"/>
    <w:rsid w:val="4ADD7448"/>
    <w:rsid w:val="4B1F21AD"/>
    <w:rsid w:val="4B8D7117"/>
    <w:rsid w:val="4B991F60"/>
    <w:rsid w:val="4CF3569F"/>
    <w:rsid w:val="4D4C6E86"/>
    <w:rsid w:val="4D946928"/>
    <w:rsid w:val="4D9C1893"/>
    <w:rsid w:val="4DA30E74"/>
    <w:rsid w:val="4DB10520"/>
    <w:rsid w:val="4E977706"/>
    <w:rsid w:val="4EA6156D"/>
    <w:rsid w:val="4EB67177"/>
    <w:rsid w:val="4ECF3EEA"/>
    <w:rsid w:val="4F4707FA"/>
    <w:rsid w:val="4FBD24FE"/>
    <w:rsid w:val="4FFE4B95"/>
    <w:rsid w:val="5000622F"/>
    <w:rsid w:val="501E5516"/>
    <w:rsid w:val="506B05BE"/>
    <w:rsid w:val="50A712FF"/>
    <w:rsid w:val="510C4F82"/>
    <w:rsid w:val="51343E13"/>
    <w:rsid w:val="513D60B1"/>
    <w:rsid w:val="514D3353"/>
    <w:rsid w:val="51BD44CE"/>
    <w:rsid w:val="527173E6"/>
    <w:rsid w:val="52734B8D"/>
    <w:rsid w:val="52B76D0A"/>
    <w:rsid w:val="53966E7F"/>
    <w:rsid w:val="53AE10BD"/>
    <w:rsid w:val="53C314AE"/>
    <w:rsid w:val="53F06E40"/>
    <w:rsid w:val="541303D5"/>
    <w:rsid w:val="54442C85"/>
    <w:rsid w:val="54D34040"/>
    <w:rsid w:val="54D559E2"/>
    <w:rsid w:val="552B6326"/>
    <w:rsid w:val="554D5B69"/>
    <w:rsid w:val="565D1DDC"/>
    <w:rsid w:val="57081D47"/>
    <w:rsid w:val="570F757A"/>
    <w:rsid w:val="571F64CE"/>
    <w:rsid w:val="573D758D"/>
    <w:rsid w:val="576467FF"/>
    <w:rsid w:val="57AC6B77"/>
    <w:rsid w:val="57F87F21"/>
    <w:rsid w:val="58FE1672"/>
    <w:rsid w:val="59114B7D"/>
    <w:rsid w:val="598503ED"/>
    <w:rsid w:val="5996335D"/>
    <w:rsid w:val="59A87812"/>
    <w:rsid w:val="59C07238"/>
    <w:rsid w:val="5A0E58C7"/>
    <w:rsid w:val="5A160C1F"/>
    <w:rsid w:val="5A5F3B43"/>
    <w:rsid w:val="5AB53F94"/>
    <w:rsid w:val="5ADB43A7"/>
    <w:rsid w:val="5B6C3A48"/>
    <w:rsid w:val="5BC36B85"/>
    <w:rsid w:val="5BE36A00"/>
    <w:rsid w:val="5BFF1FE5"/>
    <w:rsid w:val="5C0004BE"/>
    <w:rsid w:val="5C67138E"/>
    <w:rsid w:val="5CE2128D"/>
    <w:rsid w:val="5D1659FC"/>
    <w:rsid w:val="5E0D78CD"/>
    <w:rsid w:val="5E1470CA"/>
    <w:rsid w:val="5E2A2EEB"/>
    <w:rsid w:val="5F2B6F1B"/>
    <w:rsid w:val="5FCD1184"/>
    <w:rsid w:val="60002155"/>
    <w:rsid w:val="60A46F85"/>
    <w:rsid w:val="60BD4284"/>
    <w:rsid w:val="60C46857"/>
    <w:rsid w:val="60C64988"/>
    <w:rsid w:val="612C6F7A"/>
    <w:rsid w:val="613F6CAD"/>
    <w:rsid w:val="6223037D"/>
    <w:rsid w:val="62265A2C"/>
    <w:rsid w:val="622F7D46"/>
    <w:rsid w:val="62BE56A2"/>
    <w:rsid w:val="62ED3A57"/>
    <w:rsid w:val="63AE4B35"/>
    <w:rsid w:val="63E92F01"/>
    <w:rsid w:val="63F42D3E"/>
    <w:rsid w:val="64B207F9"/>
    <w:rsid w:val="64BB6FF0"/>
    <w:rsid w:val="64C2160D"/>
    <w:rsid w:val="64D140C0"/>
    <w:rsid w:val="64E979F1"/>
    <w:rsid w:val="654F4FE5"/>
    <w:rsid w:val="65870C23"/>
    <w:rsid w:val="6589499B"/>
    <w:rsid w:val="65BD63F3"/>
    <w:rsid w:val="667D55E1"/>
    <w:rsid w:val="66A76EAB"/>
    <w:rsid w:val="67091CDD"/>
    <w:rsid w:val="678B6EDC"/>
    <w:rsid w:val="67E92EA9"/>
    <w:rsid w:val="68463EA2"/>
    <w:rsid w:val="68594AF9"/>
    <w:rsid w:val="68746BAB"/>
    <w:rsid w:val="687C4E75"/>
    <w:rsid w:val="689A2A1B"/>
    <w:rsid w:val="699D4F2A"/>
    <w:rsid w:val="69E20B1E"/>
    <w:rsid w:val="6A060785"/>
    <w:rsid w:val="6A3C022E"/>
    <w:rsid w:val="6A801256"/>
    <w:rsid w:val="6B217BC8"/>
    <w:rsid w:val="6B2976F6"/>
    <w:rsid w:val="6C507FC1"/>
    <w:rsid w:val="6C8D2FC3"/>
    <w:rsid w:val="6D5B7F81"/>
    <w:rsid w:val="6D9D3C67"/>
    <w:rsid w:val="6DB9350B"/>
    <w:rsid w:val="6E8201DA"/>
    <w:rsid w:val="6EA3225C"/>
    <w:rsid w:val="6EC71BE7"/>
    <w:rsid w:val="6F63625D"/>
    <w:rsid w:val="6FA137D1"/>
    <w:rsid w:val="6FAB61DB"/>
    <w:rsid w:val="70C45A5D"/>
    <w:rsid w:val="70CF57BA"/>
    <w:rsid w:val="71362873"/>
    <w:rsid w:val="715A4420"/>
    <w:rsid w:val="71B44B4E"/>
    <w:rsid w:val="71EF1B96"/>
    <w:rsid w:val="72DF5BFA"/>
    <w:rsid w:val="73993FFB"/>
    <w:rsid w:val="7454460B"/>
    <w:rsid w:val="75284EDA"/>
    <w:rsid w:val="753F7C0B"/>
    <w:rsid w:val="762F6E99"/>
    <w:rsid w:val="76351364"/>
    <w:rsid w:val="769431A0"/>
    <w:rsid w:val="76960176"/>
    <w:rsid w:val="7700568B"/>
    <w:rsid w:val="77286C33"/>
    <w:rsid w:val="772A2B49"/>
    <w:rsid w:val="772C5186"/>
    <w:rsid w:val="77DB72D8"/>
    <w:rsid w:val="78106856"/>
    <w:rsid w:val="785C2AE2"/>
    <w:rsid w:val="78816041"/>
    <w:rsid w:val="78C37D6C"/>
    <w:rsid w:val="79066E53"/>
    <w:rsid w:val="795D5018"/>
    <w:rsid w:val="797177C8"/>
    <w:rsid w:val="79E93803"/>
    <w:rsid w:val="7A56058C"/>
    <w:rsid w:val="7A6C3A6C"/>
    <w:rsid w:val="7A7635A2"/>
    <w:rsid w:val="7A9D6AC7"/>
    <w:rsid w:val="7B544DE1"/>
    <w:rsid w:val="7B5644A0"/>
    <w:rsid w:val="7BD52290"/>
    <w:rsid w:val="7BF24BF0"/>
    <w:rsid w:val="7C134B67"/>
    <w:rsid w:val="7C8A307B"/>
    <w:rsid w:val="7CA57EB5"/>
    <w:rsid w:val="7CA611C0"/>
    <w:rsid w:val="7CBC51FE"/>
    <w:rsid w:val="7CDC31AB"/>
    <w:rsid w:val="7DAB14FB"/>
    <w:rsid w:val="7E0230E5"/>
    <w:rsid w:val="7F392B36"/>
    <w:rsid w:val="7F8F2756"/>
    <w:rsid w:val="7F91423F"/>
    <w:rsid w:val="7FA110CE"/>
    <w:rsid w:val="7FF50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styleId="2">
    <w:name w:val="heading 1"/>
    <w:basedOn w:val="1"/>
    <w:next w:val="1"/>
    <w:link w:val="26"/>
    <w:autoRedefine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autoRedefine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next w:val="1"/>
    <w:link w:val="40"/>
    <w:autoRedefine/>
    <w:qFormat/>
    <w:uiPriority w:val="0"/>
    <w:pPr>
      <w:spacing w:before="200" w:after="200"/>
      <w:outlineLvl w:val="2"/>
    </w:pPr>
    <w:rPr>
      <w:rFonts w:ascii="宋体" w:hAnsi="宋体" w:eastAsia="宋体" w:cs="宋体"/>
      <w:b/>
      <w:sz w:val="24"/>
      <w:szCs w:val="24"/>
      <w:lang w:val="en-US" w:eastAsia="zh-CN" w:bidi="ar-SA"/>
    </w:rPr>
  </w:style>
  <w:style w:type="paragraph" w:styleId="5">
    <w:name w:val="heading 4"/>
    <w:basedOn w:val="1"/>
    <w:next w:val="1"/>
    <w:link w:val="41"/>
    <w:autoRedefine/>
    <w:semiHidden/>
    <w:unhideWhenUsed/>
    <w:qFormat/>
    <w:uiPriority w:val="9"/>
    <w:pPr>
      <w:keepNext/>
      <w:keepLines/>
      <w:spacing w:before="280" w:after="290" w:line="376" w:lineRule="auto"/>
      <w:ind w:firstLine="200" w:firstLineChars="200"/>
      <w:outlineLvl w:val="3"/>
    </w:pPr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default="1" w:styleId="22">
    <w:name w:val="Default Paragraph Font"/>
    <w:autoRedefine/>
    <w:semiHidden/>
    <w:unhideWhenUsed/>
    <w:qFormat/>
    <w:uiPriority w:val="1"/>
  </w:style>
  <w:style w:type="table" w:default="1" w:styleId="2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autoRedefine/>
    <w:unhideWhenUsed/>
    <w:qFormat/>
    <w:uiPriority w:val="39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7">
    <w:name w:val="toc 5"/>
    <w:basedOn w:val="1"/>
    <w:next w:val="1"/>
    <w:autoRedefine/>
    <w:unhideWhenUsed/>
    <w:qFormat/>
    <w:uiPriority w:val="39"/>
    <w:pPr>
      <w:ind w:left="800"/>
      <w:jc w:val="left"/>
    </w:pPr>
    <w:rPr>
      <w:rFonts w:asciiTheme="minorHAnsi" w:eastAsiaTheme="minorHAnsi"/>
      <w:sz w:val="18"/>
      <w:szCs w:val="18"/>
    </w:rPr>
  </w:style>
  <w:style w:type="paragraph" w:styleId="8">
    <w:name w:val="toc 3"/>
    <w:basedOn w:val="1"/>
    <w:next w:val="1"/>
    <w:autoRedefine/>
    <w:unhideWhenUsed/>
    <w:qFormat/>
    <w:uiPriority w:val="39"/>
    <w:pPr>
      <w:ind w:left="400"/>
      <w:jc w:val="left"/>
    </w:pPr>
    <w:rPr>
      <w:rFonts w:asciiTheme="minorHAnsi" w:eastAsiaTheme="minorHAnsi"/>
      <w:i/>
      <w:iCs/>
    </w:rPr>
  </w:style>
  <w:style w:type="paragraph" w:styleId="9">
    <w:name w:val="toc 8"/>
    <w:basedOn w:val="1"/>
    <w:next w:val="1"/>
    <w:autoRedefine/>
    <w:unhideWhenUsed/>
    <w:qFormat/>
    <w:uiPriority w:val="39"/>
    <w:pPr>
      <w:ind w:left="1400"/>
      <w:jc w:val="left"/>
    </w:pPr>
    <w:rPr>
      <w:rFonts w:asciiTheme="minorHAnsi" w:eastAsiaTheme="minorHAnsi"/>
      <w:sz w:val="18"/>
      <w:szCs w:val="18"/>
    </w:rPr>
  </w:style>
  <w:style w:type="paragraph" w:styleId="10">
    <w:name w:val="Balloon Text"/>
    <w:basedOn w:val="1"/>
    <w:link w:val="30"/>
    <w:autoRedefine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9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kern w:val="2"/>
      <w:sz w:val="18"/>
      <w:szCs w:val="18"/>
    </w:rPr>
  </w:style>
  <w:style w:type="paragraph" w:styleId="12">
    <w:name w:val="header"/>
    <w:basedOn w:val="1"/>
    <w:link w:val="28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13">
    <w:name w:val="toc 1"/>
    <w:basedOn w:val="1"/>
    <w:next w:val="1"/>
    <w:autoRedefine/>
    <w:unhideWhenUsed/>
    <w:qFormat/>
    <w:uiPriority w:val="39"/>
    <w:pPr>
      <w:tabs>
        <w:tab w:val="left" w:pos="400"/>
        <w:tab w:val="right" w:leader="dot" w:pos="8296"/>
      </w:tabs>
      <w:spacing w:before="120" w:after="120"/>
      <w:jc w:val="center"/>
    </w:pPr>
    <w:rPr>
      <w:rFonts w:asciiTheme="minorHAnsi" w:eastAsiaTheme="minorHAnsi"/>
      <w:b/>
      <w:bCs/>
      <w:caps/>
    </w:rPr>
  </w:style>
  <w:style w:type="paragraph" w:styleId="14">
    <w:name w:val="toc 4"/>
    <w:basedOn w:val="1"/>
    <w:next w:val="1"/>
    <w:autoRedefine/>
    <w:unhideWhenUsed/>
    <w:qFormat/>
    <w:uiPriority w:val="39"/>
    <w:pPr>
      <w:ind w:left="600"/>
      <w:jc w:val="left"/>
    </w:pPr>
    <w:rPr>
      <w:rFonts w:asciiTheme="minorHAnsi" w:eastAsiaTheme="minorHAnsi"/>
      <w:sz w:val="18"/>
      <w:szCs w:val="18"/>
    </w:rPr>
  </w:style>
  <w:style w:type="paragraph" w:styleId="15">
    <w:name w:val="toc 6"/>
    <w:basedOn w:val="1"/>
    <w:next w:val="1"/>
    <w:autoRedefine/>
    <w:unhideWhenUsed/>
    <w:qFormat/>
    <w:uiPriority w:val="39"/>
    <w:pPr>
      <w:ind w:left="1000"/>
      <w:jc w:val="left"/>
    </w:pPr>
    <w:rPr>
      <w:rFonts w:asciiTheme="minorHAnsi" w:eastAsiaTheme="minorHAnsi"/>
      <w:sz w:val="18"/>
      <w:szCs w:val="18"/>
    </w:rPr>
  </w:style>
  <w:style w:type="paragraph" w:styleId="16">
    <w:name w:val="toc 2"/>
    <w:basedOn w:val="1"/>
    <w:next w:val="1"/>
    <w:autoRedefine/>
    <w:unhideWhenUsed/>
    <w:qFormat/>
    <w:uiPriority w:val="39"/>
    <w:pPr>
      <w:ind w:left="200"/>
      <w:jc w:val="left"/>
    </w:pPr>
    <w:rPr>
      <w:rFonts w:asciiTheme="minorHAnsi" w:eastAsiaTheme="minorHAnsi"/>
      <w:smallCaps/>
    </w:rPr>
  </w:style>
  <w:style w:type="paragraph" w:styleId="17">
    <w:name w:val="toc 9"/>
    <w:basedOn w:val="1"/>
    <w:next w:val="1"/>
    <w:autoRedefine/>
    <w:unhideWhenUsed/>
    <w:qFormat/>
    <w:uiPriority w:val="39"/>
    <w:pPr>
      <w:ind w:left="1600"/>
      <w:jc w:val="left"/>
    </w:pPr>
    <w:rPr>
      <w:rFonts w:asciiTheme="minorHAnsi" w:eastAsiaTheme="minorHAnsi"/>
      <w:sz w:val="18"/>
      <w:szCs w:val="18"/>
    </w:rPr>
  </w:style>
  <w:style w:type="paragraph" w:styleId="18">
    <w:name w:val="HTML Preformatted"/>
    <w:basedOn w:val="1"/>
    <w:autoRedefine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9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cs="Times New Roman" w:eastAsiaTheme="minorEastAsia"/>
      <w:sz w:val="24"/>
      <w:szCs w:val="24"/>
    </w:rPr>
  </w:style>
  <w:style w:type="table" w:styleId="21">
    <w:name w:val="Table Grid"/>
    <w:basedOn w:val="20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FollowedHyperlink"/>
    <w:basedOn w:val="22"/>
    <w:autoRedefine/>
    <w:semiHidden/>
    <w:unhideWhenUsed/>
    <w:qFormat/>
    <w:uiPriority w:val="99"/>
    <w:rPr>
      <w:color w:val="954F72"/>
      <w:u w:val="single"/>
    </w:rPr>
  </w:style>
  <w:style w:type="character" w:styleId="24">
    <w:name w:val="Emphasis"/>
    <w:basedOn w:val="22"/>
    <w:autoRedefine/>
    <w:qFormat/>
    <w:uiPriority w:val="20"/>
    <w:rPr>
      <w:i/>
      <w:iCs/>
    </w:rPr>
  </w:style>
  <w:style w:type="character" w:styleId="25">
    <w:name w:val="Hyperlink"/>
    <w:basedOn w:val="22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6">
    <w:name w:val="标题 1 字符"/>
    <w:basedOn w:val="22"/>
    <w:link w:val="2"/>
    <w:autoRedefine/>
    <w:qFormat/>
    <w:uiPriority w:val="9"/>
    <w:rPr>
      <w:rFonts w:ascii="Arial" w:hAnsi="Arial" w:eastAsia="宋体" w:cs="Arial"/>
      <w:b/>
      <w:bCs/>
      <w:kern w:val="44"/>
      <w:sz w:val="44"/>
      <w:szCs w:val="44"/>
    </w:rPr>
  </w:style>
  <w:style w:type="character" w:customStyle="1" w:styleId="27">
    <w:name w:val="标题 2 字符"/>
    <w:basedOn w:val="22"/>
    <w:link w:val="3"/>
    <w:autoRedefine/>
    <w:qFormat/>
    <w:uiPriority w:val="0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customStyle="1" w:styleId="28">
    <w:name w:val="页眉 字符"/>
    <w:basedOn w:val="22"/>
    <w:link w:val="12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9">
    <w:name w:val="页脚 字符"/>
    <w:basedOn w:val="22"/>
    <w:link w:val="11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0">
    <w:name w:val="批注框文本 字符"/>
    <w:basedOn w:val="22"/>
    <w:link w:val="10"/>
    <w:autoRedefine/>
    <w:semiHidden/>
    <w:qFormat/>
    <w:uiPriority w:val="99"/>
    <w:rPr>
      <w:rFonts w:ascii="Arial" w:hAnsi="Arial" w:eastAsia="宋体" w:cs="Arial"/>
      <w:kern w:val="0"/>
      <w:sz w:val="18"/>
      <w:szCs w:val="18"/>
    </w:rPr>
  </w:style>
  <w:style w:type="paragraph" w:styleId="31">
    <w:name w:val="List Paragraph"/>
    <w:basedOn w:val="1"/>
    <w:autoRedefine/>
    <w:qFormat/>
    <w:uiPriority w:val="34"/>
    <w:pPr>
      <w:ind w:firstLine="420" w:firstLineChars="200"/>
    </w:pPr>
  </w:style>
  <w:style w:type="table" w:customStyle="1" w:styleId="32">
    <w:name w:val="网格型浅色1"/>
    <w:basedOn w:val="20"/>
    <w:autoRedefine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33">
    <w:name w:val="msonormal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customStyle="1" w:styleId="34">
    <w:name w:val="font5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sz w:val="18"/>
      <w:szCs w:val="18"/>
    </w:rPr>
  </w:style>
  <w:style w:type="paragraph" w:customStyle="1" w:styleId="35">
    <w:name w:val="xl63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sz w:val="24"/>
      <w:szCs w:val="24"/>
    </w:rPr>
  </w:style>
  <w:style w:type="paragraph" w:customStyle="1" w:styleId="36">
    <w:name w:val="xl65"/>
    <w:basedOn w:val="1"/>
    <w:autoRedefine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7">
    <w:name w:val="xl66"/>
    <w:basedOn w:val="1"/>
    <w:autoRedefine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8">
    <w:name w:val="xl67"/>
    <w:basedOn w:val="1"/>
    <w:autoRedefine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paragraph" w:customStyle="1" w:styleId="39">
    <w:name w:val="xl68"/>
    <w:basedOn w:val="1"/>
    <w:autoRedefine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character" w:customStyle="1" w:styleId="40">
    <w:name w:val="标题 3 字符"/>
    <w:basedOn w:val="22"/>
    <w:link w:val="4"/>
    <w:autoRedefine/>
    <w:qFormat/>
    <w:uiPriority w:val="0"/>
    <w:rPr>
      <w:rFonts w:ascii="宋体" w:hAnsi="宋体" w:eastAsia="宋体" w:cs="宋体"/>
      <w:b/>
      <w:kern w:val="0"/>
      <w:sz w:val="24"/>
      <w:szCs w:val="24"/>
    </w:rPr>
  </w:style>
  <w:style w:type="character" w:customStyle="1" w:styleId="41">
    <w:name w:val="标题 4 字符"/>
    <w:basedOn w:val="22"/>
    <w:link w:val="5"/>
    <w:autoRedefine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table" w:customStyle="1" w:styleId="42">
    <w:name w:val="myOwnTableStyle"/>
    <w:autoRedefine/>
    <w:qFormat/>
    <w:uiPriority w:val="99"/>
    <w:rPr>
      <w:rFonts w:ascii="Arial" w:hAnsi="Arial" w:cs="Arial"/>
    </w:rPr>
    <w:tblPr>
      <w:tblBorders>
        <w:top w:val="single" w:color="006699" w:sz="6" w:space="0"/>
        <w:left w:val="single" w:color="006699" w:sz="6" w:space="0"/>
        <w:bottom w:val="single" w:color="006699" w:sz="6" w:space="0"/>
        <w:right w:val="single" w:color="006699" w:sz="6" w:space="0"/>
        <w:insideH w:val="single" w:color="006699" w:sz="6" w:space="0"/>
        <w:insideV w:val="single" w:color="006699" w:sz="6" w:space="0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43">
    <w:name w:val="No Spacing"/>
    <w:autoRedefine/>
    <w:qFormat/>
    <w:uiPriority w:val="1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customStyle="1" w:styleId="44">
    <w:name w:val="font6"/>
    <w:basedOn w:val="1"/>
    <w:autoRedefine/>
    <w:qFormat/>
    <w:uiPriority w:val="0"/>
    <w:pPr>
      <w:widowControl/>
      <w:spacing w:before="100" w:beforeAutospacing="1" w:after="100" w:afterAutospacing="1" w:line="360" w:lineRule="auto"/>
      <w:ind w:firstLine="200" w:firstLineChars="200"/>
      <w:jc w:val="left"/>
    </w:pPr>
    <w:rPr>
      <w:color w:val="000000"/>
    </w:rPr>
  </w:style>
  <w:style w:type="paragraph" w:customStyle="1" w:styleId="45">
    <w:name w:val="NERCIS-正文"/>
    <w:basedOn w:val="1"/>
    <w:autoRedefine/>
    <w:qFormat/>
    <w:uiPriority w:val="0"/>
    <w:pPr>
      <w:spacing w:line="360" w:lineRule="auto"/>
      <w:ind w:firstLine="480" w:firstLineChars="200"/>
    </w:pPr>
    <w:rPr>
      <w:rFonts w:ascii="宋体" w:hAnsi="宋体" w:cs="宋体"/>
      <w:sz w:val="24"/>
    </w:rPr>
  </w:style>
  <w:style w:type="table" w:customStyle="1" w:styleId="46">
    <w:name w:val="Table Normal"/>
    <w:autoRedefine/>
    <w:semiHidden/>
    <w:unhideWhenUsed/>
    <w:qFormat/>
    <w:uiPriority w:val="2"/>
    <w:pPr>
      <w:widowControl w:val="0"/>
      <w:autoSpaceDE w:val="0"/>
      <w:autoSpaceDN w:val="0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7">
    <w:name w:val="Table Paragraph"/>
    <w:basedOn w:val="1"/>
    <w:autoRedefine/>
    <w:qFormat/>
    <w:uiPriority w:val="1"/>
    <w:pPr>
      <w:autoSpaceDE w:val="0"/>
      <w:autoSpaceDN w:val="0"/>
      <w:ind w:left="110"/>
      <w:jc w:val="left"/>
    </w:pPr>
    <w:rPr>
      <w:rFonts w:ascii="宋体" w:hAnsi="宋体" w:cs="宋体"/>
      <w:sz w:val="22"/>
      <w:szCs w:val="22"/>
      <w:lang w:val="zh-CN" w:bidi="zh-CN"/>
    </w:rPr>
  </w:style>
  <w:style w:type="character" w:customStyle="1" w:styleId="48">
    <w:name w:val="font11"/>
    <w:basedOn w:val="22"/>
    <w:autoRedefine/>
    <w:qFormat/>
    <w:uiPriority w:val="0"/>
    <w:rPr>
      <w:rFonts w:hint="default" w:ascii="Times New Roman" w:hAnsi="Times New Roman" w:cs="Times New Roman"/>
      <w:b/>
      <w:color w:val="000000"/>
      <w:sz w:val="20"/>
      <w:szCs w:val="20"/>
      <w:u w:val="none"/>
    </w:rPr>
  </w:style>
  <w:style w:type="character" w:customStyle="1" w:styleId="49">
    <w:name w:val="font21"/>
    <w:basedOn w:val="22"/>
    <w:autoRedefine/>
    <w:qFormat/>
    <w:uiPriority w:val="0"/>
    <w:rPr>
      <w:rFonts w:hint="eastAsia" w:ascii="宋体" w:hAnsi="宋体" w:eastAsia="宋体" w:cs="宋体"/>
      <w:b/>
      <w:color w:val="000000"/>
      <w:sz w:val="20"/>
      <w:szCs w:val="20"/>
      <w:u w:val="none"/>
    </w:rPr>
  </w:style>
  <w:style w:type="paragraph" w:customStyle="1" w:styleId="50">
    <w:name w:val="titlepage_title"/>
    <w:autoRedefine/>
    <w:qFormat/>
    <w:uiPriority w:val="0"/>
    <w:pPr>
      <w:spacing w:after="200" w:line="360" w:lineRule="auto"/>
    </w:pPr>
    <w:rPr>
      <w:rFonts w:ascii="黑体" w:hAnsi="黑体" w:eastAsia="黑体" w:cs="Times New Roman"/>
      <w:b/>
      <w:sz w:val="36"/>
      <w:lang w:val="en-US" w:eastAsia="zh-CN" w:bidi="ar-SA"/>
    </w:rPr>
  </w:style>
  <w:style w:type="paragraph" w:customStyle="1" w:styleId="51">
    <w:name w:val="title_date_title"/>
    <w:autoRedefine/>
    <w:qFormat/>
    <w:uiPriority w:val="0"/>
    <w:pPr>
      <w:spacing w:after="200" w:line="360" w:lineRule="auto"/>
    </w:pPr>
    <w:rPr>
      <w:rFonts w:ascii="黑体" w:hAnsi="黑体" w:eastAsia="黑体" w:cs="Times New Roman"/>
      <w:b/>
      <w:sz w:val="24"/>
      <w:lang w:val="en-US" w:eastAsia="zh-CN" w:bidi="ar-SA"/>
    </w:rPr>
  </w:style>
  <w:style w:type="paragraph" w:customStyle="1" w:styleId="52">
    <w:name w:val="normal_para"/>
    <w:autoRedefine/>
    <w:qFormat/>
    <w:uiPriority w:val="0"/>
    <w:pPr>
      <w:spacing w:line="360" w:lineRule="auto"/>
      <w:ind w:firstLine="624"/>
      <w:jc w:val="left"/>
    </w:pPr>
    <w:rPr>
      <w:rFonts w:ascii="宋体" w:hAnsi="宋体" w:eastAsia="宋体" w:cs="Times New Roman"/>
      <w:sz w:val="24"/>
      <w:lang w:val="en-US" w:eastAsia="zh-CN" w:bidi="ar-SA"/>
    </w:rPr>
  </w:style>
  <w:style w:type="character" w:customStyle="1" w:styleId="53">
    <w:name w:val="special_para"/>
    <w:autoRedefine/>
    <w:qFormat/>
    <w:uiPriority w:val="0"/>
    <w:rPr>
      <w:rFonts w:ascii="宋体" w:hAnsi="宋体" w:eastAsia="宋体"/>
      <w:sz w:val="24"/>
    </w:rPr>
  </w:style>
  <w:style w:type="paragraph" w:customStyle="1" w:styleId="54">
    <w:name w:val="table_para"/>
    <w:autoRedefine/>
    <w:qFormat/>
    <w:uiPriority w:val="0"/>
    <w:pPr>
      <w:jc w:val="center"/>
    </w:pPr>
    <w:rPr>
      <w:rFonts w:ascii="仿宋" w:hAnsi="仿宋" w:eastAsia="仿宋" w:cs="Times New Roman"/>
      <w:sz w:val="21"/>
      <w:lang w:val="en-US" w:eastAsia="zh-CN" w:bidi="ar-SA"/>
    </w:rPr>
  </w:style>
  <w:style w:type="table" w:customStyle="1" w:styleId="55">
    <w:name w:val="Grid Table 4 Accent 1"/>
    <w:basedOn w:val="20"/>
    <w:autoRedefine/>
    <w:qFormat/>
    <w:uiPriority w:val="49"/>
    <w:pPr>
      <w:spacing w:after="0" w:line="240" w:lineRule="auto"/>
    </w:pPr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character" w:customStyle="1" w:styleId="56">
    <w:name w:val="font31"/>
    <w:basedOn w:val="22"/>
    <w:autoRedefine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7">
    <w:name w:val="font41"/>
    <w:basedOn w:val="22"/>
    <w:autoRedefine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8">
    <w:name w:val="font61"/>
    <w:basedOn w:val="22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59">
    <w:name w:val="font01"/>
    <w:basedOn w:val="22"/>
    <w:autoRedefine/>
    <w:qFormat/>
    <w:uiPriority w:val="0"/>
    <w:rPr>
      <w:rFonts w:ascii="Arial" w:hAnsi="Arial" w:cs="Arial"/>
      <w:color w:val="000000"/>
      <w:sz w:val="20"/>
      <w:szCs w:val="20"/>
      <w:u w:val="none"/>
    </w:rPr>
  </w:style>
  <w:style w:type="character" w:customStyle="1" w:styleId="60">
    <w:name w:val="font51"/>
    <w:basedOn w:val="22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4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9081D9-BF29-4F5B-88EA-4CA3BC1B79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45</Pages>
  <Words>19649</Words>
  <Characters>48044</Characters>
  <Lines>14</Lines>
  <Paragraphs>4</Paragraphs>
  <TotalTime>33</TotalTime>
  <ScaleCrop>false</ScaleCrop>
  <LinksUpToDate>false</LinksUpToDate>
  <CharactersWithSpaces>48741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2020-03-09T05:09:00Z</dcterms:created>
  <dc:creator>政务云服务团队</dc:creator>
  <cp:lastModifiedBy>谢艳</cp:lastModifiedBy>
  <dcterms:modified xsi:type="dcterms:W3CDTF">2025-12-26T07:53:35Z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4B1D7AB9A9CB4D0E9DEDD82D99B495D9_13</vt:lpwstr>
  </property>
</Properties>
</file>