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  <w:lang w:val="en-US" w:eastAsia="zh-CN"/>
        </w:rPr>
        <w:t>文化和旅游局办公及业务系统信息基础支撑项目</w:t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  <w:lang w:val="en-US" w:eastAsia="zh-CN"/>
        </w:rPr>
        <w:t>月度运维报告--基础服务</w:t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bidi w:val="0"/>
        <w:rPr>
          <w:rFonts w:hint="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</w:rPr>
        <w:t>北京金山云网络技术有限公司</w:t>
      </w:r>
    </w:p>
    <w:p>
      <w:pPr>
        <w:pStyle w:val="7"/>
        <w:pageBreakBefore w:val="0"/>
        <w:tabs>
          <w:tab w:val="left" w:pos="960"/>
          <w:tab w:val="right" w:leader="dot" w:pos="8296"/>
        </w:tabs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Theme="majorEastAsia" w:hAnsiTheme="majorEastAsia" w:eastAsiaTheme="majorEastAsia" w:cstheme="majorEastAsia"/>
          <w:b/>
          <w:bCs w:val="0"/>
          <w:caps w:val="0"/>
          <w:sz w:val="36"/>
          <w:szCs w:val="36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 w:val="0"/>
          <w:caps w:val="0"/>
          <w:sz w:val="36"/>
          <w:szCs w:val="36"/>
          <w:lang w:val="en-US" w:eastAsia="zh-CN" w:bidi="ar-SA"/>
        </w:rPr>
        <w:t>2025年11月</w:t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Theme="majorEastAsia" w:hAnsiTheme="majorEastAsia" w:eastAsiaTheme="majorEastAsia" w:cstheme="majorEastAsia"/>
          <w:b/>
          <w:bCs/>
          <w:caps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</w:rPr>
        <w:br w:type="page"/>
      </w:r>
    </w:p>
    <w:p>
      <w:pPr>
        <w:pStyle w:val="3"/>
        <w:pageBreakBefore w:val="0"/>
        <w:kinsoku/>
        <w:wordWrap/>
        <w:topLinePunct w:val="0"/>
        <w:autoSpaceDE/>
        <w:autoSpaceDN/>
        <w:bidi w:val="0"/>
        <w:spacing w:line="360" w:lineRule="auto"/>
        <w:ind w:left="-200" w:leftChars="0" w:firstLine="20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  <w:sectPr>
          <w:headerReference r:id="rId3" w:type="default"/>
          <w:footerReference r:id="rId4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>目录</w:t>
      </w:r>
      <w:bookmarkStart w:id="25" w:name="_GoBack"/>
      <w:bookmarkEnd w:id="25"/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TOC \o "1-3" \h \z \u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_Toc12422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一、 </w:t>
      </w:r>
      <w:r>
        <w:rPr>
          <w:rFonts w:hint="eastAsia" w:asciiTheme="minorEastAsia" w:hAnsiTheme="minorEastAsia" w:eastAsiaTheme="minorEastAsia" w:cstheme="minorEastAsia"/>
        </w:rPr>
        <w:t>基础资源台账概况</w:t>
      </w:r>
      <w:r>
        <w:tab/>
      </w:r>
      <w:r>
        <w:fldChar w:fldCharType="begin"/>
      </w:r>
      <w:r>
        <w:instrText xml:space="preserve"> PAGEREF _Toc12422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_Toc4612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二、 </w:t>
      </w:r>
      <w:r>
        <w:rPr>
          <w:rFonts w:hint="eastAsia"/>
        </w:rPr>
        <w:t>本月技术支撑统计</w:t>
      </w:r>
      <w:r>
        <w:tab/>
      </w:r>
      <w:r>
        <w:fldChar w:fldCharType="begin"/>
      </w:r>
      <w:r>
        <w:instrText xml:space="preserve"> PAGEREF _Toc4612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_Toc24318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三、 </w:t>
      </w:r>
      <w:r>
        <w:rPr>
          <w:rFonts w:hint="eastAsia"/>
        </w:rPr>
        <w:t>业务系统资源使用情况统计（CPU、内存、存储）</w:t>
      </w:r>
      <w:r>
        <w:tab/>
      </w:r>
      <w:r>
        <w:fldChar w:fldCharType="begin"/>
      </w:r>
      <w:r>
        <w:instrText xml:space="preserve"> PAGEREF _Toc24318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_Toc24733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四、 </w:t>
      </w:r>
      <w:r>
        <w:rPr>
          <w:rFonts w:hint="eastAsia"/>
          <w:lang w:val="en-US" w:eastAsia="zh-CN"/>
        </w:rPr>
        <w:t>物理机台账</w:t>
      </w:r>
      <w:r>
        <w:tab/>
      </w:r>
      <w:r>
        <w:fldChar w:fldCharType="begin"/>
      </w:r>
      <w:r>
        <w:instrText xml:space="preserve"> PAGEREF _Toc24733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_Toc8183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五、 </w:t>
      </w:r>
      <w:r>
        <w:rPr>
          <w:rFonts w:hint="eastAsia"/>
          <w:lang w:val="en-US" w:eastAsia="zh-CN"/>
        </w:rPr>
        <w:t>政务云基础资源台账</w:t>
      </w:r>
      <w:r>
        <w:tab/>
      </w:r>
      <w:r>
        <w:fldChar w:fldCharType="begin"/>
      </w:r>
      <w:r>
        <w:instrText xml:space="preserve"> PAGEREF _Toc8183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_Toc8997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六、 </w:t>
      </w:r>
      <w:r>
        <w:rPr>
          <w:rFonts w:hint="eastAsia"/>
          <w:lang w:val="en-US" w:eastAsia="zh-CN"/>
        </w:rPr>
        <w:t>计算服务</w:t>
      </w:r>
      <w:r>
        <w:tab/>
      </w:r>
      <w:r>
        <w:fldChar w:fldCharType="begin"/>
      </w:r>
      <w:r>
        <w:instrText xml:space="preserve"> PAGEREF _Toc8997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_Toc6153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</w:rPr>
        <w:t>CPU使用率详情</w:t>
      </w:r>
      <w:r>
        <w:tab/>
      </w:r>
      <w:r>
        <w:fldChar w:fldCharType="begin"/>
      </w:r>
      <w:r>
        <w:instrText xml:space="preserve"> PAGEREF _Toc6153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_Toc14849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七、 </w:t>
      </w:r>
      <w:r>
        <w:rPr>
          <w:rFonts w:hint="eastAsia"/>
          <w:lang w:val="en-US" w:eastAsia="zh-CN"/>
        </w:rPr>
        <w:t>存储服务</w:t>
      </w:r>
      <w:r>
        <w:tab/>
      </w:r>
      <w:r>
        <w:fldChar w:fldCharType="begin"/>
      </w:r>
      <w:r>
        <w:instrText xml:space="preserve"> PAGEREF _Toc14849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_Toc7770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本地备份和静态存储服务</w:t>
      </w:r>
      <w:r>
        <w:tab/>
      </w:r>
      <w:r>
        <w:fldChar w:fldCharType="begin"/>
      </w:r>
      <w:r>
        <w:instrText xml:space="preserve"> PAGEREF _Toc7770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_Toc13996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八、 </w:t>
      </w:r>
      <w:r>
        <w:rPr>
          <w:rFonts w:hint="eastAsia"/>
          <w:lang w:val="en-US" w:eastAsia="zh-CN"/>
        </w:rPr>
        <w:t>网络服务</w:t>
      </w:r>
      <w:r>
        <w:tab/>
      </w:r>
      <w:r>
        <w:fldChar w:fldCharType="begin"/>
      </w:r>
      <w:r>
        <w:instrText xml:space="preserve"> PAGEREF _Toc13996 \h </w:instrText>
      </w:r>
      <w:r>
        <w:fldChar w:fldCharType="separate"/>
      </w:r>
      <w:r>
        <w:t>49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_Toc27830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互联网链路带宽</w:t>
      </w:r>
      <w:r>
        <w:tab/>
      </w:r>
      <w:r>
        <w:fldChar w:fldCharType="begin"/>
      </w:r>
      <w:r>
        <w:instrText xml:space="preserve"> PAGEREF _Toc27830 \h </w:instrText>
      </w:r>
      <w:r>
        <w:fldChar w:fldCharType="separate"/>
      </w:r>
      <w:r>
        <w:t>49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_Toc13729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互联网IP地址租用服务</w:t>
      </w:r>
      <w:r>
        <w:tab/>
      </w:r>
      <w:r>
        <w:fldChar w:fldCharType="begin"/>
      </w:r>
      <w:r>
        <w:instrText xml:space="preserve"> PAGEREF _Toc13729 \h </w:instrText>
      </w:r>
      <w:r>
        <w:fldChar w:fldCharType="separate"/>
      </w:r>
      <w:r>
        <w:t>49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_Toc32038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3．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网络负载均衡服务</w:t>
      </w:r>
      <w:r>
        <w:tab/>
      </w:r>
      <w:r>
        <w:fldChar w:fldCharType="begin"/>
      </w:r>
      <w:r>
        <w:instrText xml:space="preserve"> PAGEREF _Toc32038 \h </w:instrText>
      </w:r>
      <w:r>
        <w:fldChar w:fldCharType="separate"/>
      </w:r>
      <w:r>
        <w:t>53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_Toc14905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4．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远程接入服务</w:t>
      </w:r>
      <w:r>
        <w:tab/>
      </w:r>
      <w:r>
        <w:fldChar w:fldCharType="begin"/>
      </w:r>
      <w:r>
        <w:instrText xml:space="preserve"> PAGEREF _Toc14905 \h </w:instrText>
      </w:r>
      <w:r>
        <w:fldChar w:fldCharType="separate"/>
      </w:r>
      <w:r>
        <w:t>54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_Toc18828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九、 </w:t>
      </w:r>
      <w:r>
        <w:rPr>
          <w:rFonts w:hint="eastAsia"/>
          <w:lang w:val="en-US" w:eastAsia="zh-CN"/>
        </w:rPr>
        <w:t>云主机深度监控服务</w:t>
      </w:r>
      <w:r>
        <w:tab/>
      </w:r>
      <w:r>
        <w:fldChar w:fldCharType="begin"/>
      </w:r>
      <w:r>
        <w:instrText xml:space="preserve"> PAGEREF _Toc18828 \h </w:instrText>
      </w:r>
      <w:r>
        <w:fldChar w:fldCharType="separate"/>
      </w:r>
      <w:r>
        <w:t>56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_Toc14683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7*24小时云主机深度监控服务</w:t>
      </w:r>
      <w:r>
        <w:tab/>
      </w:r>
      <w:r>
        <w:fldChar w:fldCharType="begin"/>
      </w:r>
      <w:r>
        <w:instrText xml:space="preserve"> PAGEREF _Toc14683 \h </w:instrText>
      </w:r>
      <w:r>
        <w:fldChar w:fldCharType="separate"/>
      </w:r>
      <w:r>
        <w:t>56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8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_Toc31815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lang w:val="en-US" w:eastAsia="zh-CN"/>
        </w:rPr>
        <w:t>WAF防护服务</w:t>
      </w:r>
      <w:r>
        <w:tab/>
      </w:r>
      <w:r>
        <w:fldChar w:fldCharType="begin"/>
      </w:r>
      <w:r>
        <w:instrText xml:space="preserve"> PAGEREF _Toc31815 \h </w:instrText>
      </w:r>
      <w:r>
        <w:fldChar w:fldCharType="separate"/>
      </w:r>
      <w:r>
        <w:t>57</w:t>
      </w:r>
      <w: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spacing w:line="360" w:lineRule="auto"/>
        <w:rPr>
          <w:rFonts w:hint="eastAsia" w:ascii="宋体" w:hAnsi="宋体" w:eastAsia="宋体" w:cs="宋体"/>
        </w:rPr>
        <w:sectPr>
          <w:headerReference r:id="rId5" w:type="default"/>
          <w:footerReference r:id="rId6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sz w:val="28"/>
        </w:rPr>
      </w:pPr>
      <w:bookmarkStart w:id="0" w:name="_Toc12422"/>
      <w:r>
        <w:rPr>
          <w:rFonts w:hint="eastAsia" w:asciiTheme="minorEastAsia" w:hAnsiTheme="minorEastAsia" w:eastAsiaTheme="minorEastAsia" w:cstheme="minorEastAsia"/>
          <w:b w:val="0"/>
          <w:sz w:val="28"/>
        </w:rPr>
        <w:t>基础资源台账概况</w:t>
      </w:r>
      <w:bookmarkEnd w:id="0"/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2025年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11月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bookmarkStart w:id="1" w:name="OLE_LINK2"/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文化和旅游局</w:t>
      </w:r>
      <w:bookmarkEnd w:id="1"/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办公及业务系统信息基础支撑项目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共有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个业务系统在北京市级政务云金山云平台（以下简称“金山云”）运行,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67台云主机，558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颗CPU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1292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GB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内存，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70740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GB存储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包含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47498GB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普通性能存储、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23242GB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高性能存储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numPr>
          <w:ilvl w:val="0"/>
          <w:numId w:val="1"/>
        </w:numPr>
        <w:bidi w:val="0"/>
        <w:rPr>
          <w:rFonts w:hint="eastAsia"/>
        </w:rPr>
      </w:pPr>
      <w:bookmarkStart w:id="2" w:name="_Toc4612"/>
      <w:r>
        <w:rPr>
          <w:rFonts w:hint="eastAsia"/>
        </w:rPr>
        <w:t>本月技术支撑统计</w:t>
      </w:r>
      <w:bookmarkEnd w:id="2"/>
    </w:p>
    <w:tbl>
      <w:tblPr>
        <w:tblStyle w:val="9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3183"/>
        <w:gridCol w:w="325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工作类型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需求处理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</w:tr>
    </w:tbl>
    <w:p>
      <w:pPr>
        <w:pStyle w:val="2"/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,具体工单处理详情见日常工单记录：</w:t>
      </w:r>
    </w:p>
    <w:p>
      <w:pPr>
        <w:pStyle w:val="3"/>
        <w:numPr>
          <w:ilvl w:val="0"/>
          <w:numId w:val="1"/>
        </w:numPr>
        <w:bidi w:val="0"/>
        <w:rPr>
          <w:rFonts w:hint="eastAsia"/>
        </w:rPr>
        <w:sectPr>
          <w:footerReference r:id="rId7" w:type="default"/>
          <w:pgSz w:w="11906" w:h="16838"/>
          <w:pgMar w:top="1440" w:right="1803" w:bottom="1440" w:left="1803" w:header="851" w:footer="992" w:gutter="0"/>
          <w:pgNumType w:fmt="decimal" w:start="1"/>
          <w:cols w:space="0" w:num="1"/>
          <w:rtlGutter w:val="0"/>
          <w:docGrid w:type="lines" w:linePitch="317" w:charSpace="0"/>
        </w:sectPr>
      </w:pPr>
    </w:p>
    <w:p>
      <w:pPr>
        <w:pStyle w:val="3"/>
        <w:numPr>
          <w:ilvl w:val="0"/>
          <w:numId w:val="1"/>
        </w:numPr>
        <w:bidi w:val="0"/>
        <w:rPr>
          <w:rFonts w:hint="eastAsia"/>
        </w:rPr>
      </w:pPr>
      <w:bookmarkStart w:id="3" w:name="_Toc24318"/>
      <w:r>
        <w:rPr>
          <w:rFonts w:hint="eastAsia"/>
        </w:rPr>
        <w:t>业务系统资源使用情况统计（CPU、内存、存储）</w:t>
      </w:r>
      <w:bookmarkEnd w:id="3"/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4816"/>
        <w:gridCol w:w="939"/>
        <w:gridCol w:w="895"/>
        <w:gridCol w:w="12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50" w:hRule="atLeast"/>
        </w:trPr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CPU总量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bookmarkStart w:id="4" w:name="OLE_LINK1" w:colFirst="1" w:colLast="1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北京礼物网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北京市旅行社业务管理系统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北京市旅游景区业务管理系统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旅游产业数据共享服务平台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16.09 </w:t>
            </w:r>
          </w:p>
        </w:tc>
      </w:tr>
      <w:bookmarkEnd w:id="4"/>
    </w:tbl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4816"/>
        <w:gridCol w:w="939"/>
        <w:gridCol w:w="939"/>
        <w:gridCol w:w="12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北京礼物网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228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北京市旅行社业务管理系统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北京市旅游景区业务管理系统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272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旅游产业数据共享服务平台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22.20 </w:t>
            </w:r>
          </w:p>
        </w:tc>
      </w:tr>
    </w:tbl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"/>
        <w:gridCol w:w="4816"/>
        <w:gridCol w:w="939"/>
        <w:gridCol w:w="939"/>
        <w:gridCol w:w="12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0" w:type="auto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北京礼物网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2690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10950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北京市旅行社业务管理系统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2674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北京市旅游景区业务管理系统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4800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3110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2650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2150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20092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旅游产业数据共享服务平台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1574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8150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47.39 </w:t>
            </w:r>
          </w:p>
        </w:tc>
      </w:tr>
    </w:tbl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宋体" w:hAnsi="宋体" w:eastAsia="宋体" w:cs="宋体"/>
          <w:sz w:val="32"/>
          <w:szCs w:val="32"/>
        </w:rPr>
        <w:sectPr>
          <w:footerReference r:id="rId8" w:type="default"/>
          <w:pgSz w:w="11906" w:h="16838"/>
          <w:pgMar w:top="1440" w:right="1803" w:bottom="1440" w:left="1803" w:header="851" w:footer="992" w:gutter="0"/>
          <w:pgNumType w:fmt="decimal" w:start="1"/>
          <w:cols w:space="0" w:num="1"/>
          <w:rtlGutter w:val="0"/>
          <w:docGrid w:type="lines" w:linePitch="317" w:charSpace="0"/>
        </w:sect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page"/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5" w:name="_Toc4136"/>
      <w:bookmarkStart w:id="6" w:name="_Toc27240"/>
      <w:bookmarkStart w:id="7" w:name="_Toc24733"/>
      <w:r>
        <w:rPr>
          <w:rFonts w:hint="eastAsia"/>
          <w:lang w:val="en-US" w:eastAsia="zh-CN"/>
        </w:rPr>
        <w:t>物理机台账</w:t>
      </w:r>
      <w:bookmarkEnd w:id="5"/>
      <w:bookmarkEnd w:id="6"/>
      <w:bookmarkEnd w:id="7"/>
    </w:p>
    <w:p>
      <w:pPr>
        <w:numPr>
          <w:ilvl w:val="0"/>
          <w:numId w:val="0"/>
        </w:numPr>
        <w:bidi w:val="0"/>
        <w:spacing w:line="360" w:lineRule="auto"/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</w:rPr>
        <w:t>x86物理服务器配置1: 2 路12核（主频≥2.0Ghz），64G内存，2块600G SAS硬盘，2个HBA卡，2个万兆端口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每月提供5台物理机。</w:t>
      </w:r>
    </w:p>
    <w:p>
      <w:pPr>
        <w:numPr>
          <w:ilvl w:val="0"/>
          <w:numId w:val="0"/>
        </w:numPr>
        <w:bidi w:val="0"/>
        <w:spacing w:line="360" w:lineRule="auto"/>
        <w:ind w:leftChars="0" w:firstLine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通过提供物理机方式实现物理机交付</w:t>
      </w:r>
    </w:p>
    <w:p>
      <w:pPr>
        <w:numPr>
          <w:ilvl w:val="0"/>
          <w:numId w:val="0"/>
        </w:numPr>
        <w:bidi w:val="0"/>
        <w:spacing w:line="360" w:lineRule="auto"/>
        <w:ind w:leftChars="0" w:firstLine="420" w:firstLineChars="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物理机配置信息如下：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2996"/>
        <w:gridCol w:w="2310"/>
        <w:gridCol w:w="1995"/>
        <w:gridCol w:w="1965"/>
        <w:gridCol w:w="2085"/>
        <w:gridCol w:w="15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34" w:type="pct"/>
            <w:shd w:val="clear" w:color="auto" w:fill="BEBEBE" w:themeFill="background1" w:themeFillShade="B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056" w:type="pct"/>
            <w:shd w:val="clear" w:color="auto" w:fill="BEBEBE" w:themeFill="background1" w:themeFillShade="B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名称</w:t>
            </w:r>
          </w:p>
        </w:tc>
        <w:tc>
          <w:tcPr>
            <w:tcW w:w="815" w:type="pct"/>
            <w:shd w:val="clear" w:color="auto" w:fill="BEBEBE" w:themeFill="background1" w:themeFillShade="B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物理机ILO_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IP</w:t>
            </w:r>
          </w:p>
        </w:tc>
        <w:tc>
          <w:tcPr>
            <w:tcW w:w="703" w:type="pct"/>
            <w:shd w:val="clear" w:color="auto" w:fill="BEBEBE" w:themeFill="background1" w:themeFillShade="B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cpu配置</w:t>
            </w:r>
          </w:p>
        </w:tc>
        <w:tc>
          <w:tcPr>
            <w:tcW w:w="693" w:type="pct"/>
            <w:shd w:val="clear" w:color="auto" w:fill="BEBEBE" w:themeFill="background1" w:themeFillShade="B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内存配置（GB）</w:t>
            </w:r>
          </w:p>
        </w:tc>
        <w:tc>
          <w:tcPr>
            <w:tcW w:w="735" w:type="pct"/>
            <w:shd w:val="clear" w:color="auto" w:fill="BEBEBE" w:themeFill="background1" w:themeFillShade="B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磁盘配置</w:t>
            </w:r>
          </w:p>
        </w:tc>
        <w:tc>
          <w:tcPr>
            <w:tcW w:w="560" w:type="pct"/>
            <w:shd w:val="clear" w:color="auto" w:fill="BEBEBE" w:themeFill="background1" w:themeFillShade="B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05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bjllq-server-wuliji35h0962.bjllq.ksyun.com</w:t>
            </w:r>
          </w:p>
        </w:tc>
        <w:tc>
          <w:tcPr>
            <w:tcW w:w="8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192.169.128.39</w:t>
            </w:r>
          </w:p>
        </w:tc>
        <w:tc>
          <w:tcPr>
            <w:tcW w:w="70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69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3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560" w:type="pct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2个HBA卡，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2个万兆端口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05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bjllq-yinhe-zw-cloud6100788801013569.bjllq.ksyun.com</w:t>
            </w:r>
          </w:p>
        </w:tc>
        <w:tc>
          <w:tcPr>
            <w:tcW w:w="8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192.169.128.35</w:t>
            </w:r>
          </w:p>
        </w:tc>
        <w:tc>
          <w:tcPr>
            <w:tcW w:w="70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69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3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560" w:type="pct"/>
            <w:vMerge w:val="continue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05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bjllq-yinhe-zw-cloud817343906.bjllq.ksyun.com</w:t>
            </w:r>
          </w:p>
        </w:tc>
        <w:tc>
          <w:tcPr>
            <w:tcW w:w="8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192.169.128.38</w:t>
            </w:r>
          </w:p>
        </w:tc>
        <w:tc>
          <w:tcPr>
            <w:tcW w:w="70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69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3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560" w:type="pct"/>
            <w:vMerge w:val="continue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5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bjllq-server-wuliji168192007.bjllq.ksyun.com</w:t>
            </w:r>
          </w:p>
        </w:tc>
        <w:tc>
          <w:tcPr>
            <w:tcW w:w="8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192.168.194.7</w:t>
            </w:r>
          </w:p>
        </w:tc>
        <w:tc>
          <w:tcPr>
            <w:tcW w:w="70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69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3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560" w:type="pct"/>
            <w:vMerge w:val="continue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05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bjllq-server-wuliji016200224.bjllq.ksyun.com</w:t>
            </w:r>
          </w:p>
        </w:tc>
        <w:tc>
          <w:tcPr>
            <w:tcW w:w="81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192.168.136.140</w:t>
            </w:r>
          </w:p>
        </w:tc>
        <w:tc>
          <w:tcPr>
            <w:tcW w:w="70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69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3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560" w:type="pct"/>
            <w:vMerge w:val="continue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8" w:name="_Toc8183"/>
      <w:r>
        <w:rPr>
          <w:rFonts w:hint="eastAsia"/>
          <w:lang w:val="en-US" w:eastAsia="zh-CN"/>
        </w:rPr>
        <w:t>政务云基础资源台账</w:t>
      </w:r>
      <w:bookmarkEnd w:id="8"/>
    </w:p>
    <w:p>
      <w:pPr>
        <w:widowControl/>
        <w:spacing w:line="360" w:lineRule="auto"/>
        <w:ind w:firstLine="482" w:firstLineChars="200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合同要求：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提供12个月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542颗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CPU服务；提供12个月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1244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GB内存服务；提供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12个月68640GB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存储服务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包含47648GB普通性能存储、20992GB高性能存储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widowControl/>
        <w:spacing w:line="360" w:lineRule="auto"/>
        <w:ind w:firstLine="482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实现方式：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通过云服务器方式开通云主机资源，分配cpu、内存及存储资源。</w:t>
      </w:r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下表为本月云资源列表，cpu、内存、高性能存储资源分配情况：</w:t>
      </w:r>
    </w:p>
    <w:tbl>
      <w:tblPr>
        <w:tblStyle w:val="9"/>
        <w:tblW w:w="841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5"/>
        <w:gridCol w:w="1440"/>
        <w:gridCol w:w="2150"/>
        <w:gridCol w:w="1810"/>
        <w:gridCol w:w="610"/>
        <w:gridCol w:w="720"/>
        <w:gridCol w:w="10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IP地址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存储总量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北京礼物网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市文旅局-资源开发处-北京礼物网-小程序服务器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北京礼物网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市文旅局-资源开发处-北京礼物网-应用服务器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192.168.181.134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市文旅局-宣传中心-北京旅游网-备份服务器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1590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192.168.179.22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192.168.179.29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北京市公共文化服务管理品台-视频监控平台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192.168.187.199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北京市公共文化服务管理平台-图片处理服务器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192.168.187.200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北京市文化和旅游局公共文化服务管理平台-web从服务器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北京市文化和旅游局公共文化服务管理平台-web主服务器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192.168.184.175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北京市文化和旅游局公共文化服务管理平台-负载均衡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192.168.184.174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北京市文化和旅游局公共文化服务管理平台-数据备份服务器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北京市文化和旅游局公共文化服务管理平台-数据库服务器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北京市旅行社业务管理系统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市旅游委与市政务服务中心行政审批数据交互系统_前置机_-景区导游证识别管理系统-旅行社质保金业务8家银行数据对接接口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192.168.181.129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北京市旅行社业务管理系统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市文旅局-市场管理一处-北京市旅行社业务管理系统-应用服务器-前置共享交换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市文旅局-行业管理二处-北京市旅游饭店业务管理系统-数据库服务器(mysql数据库)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192.169.225.89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192.169.225.83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市文旅局-行业管理二处-北京市旅游饭店业务管理系统-应用服务器(旅游调度中心安全局调用对接数据接口)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北京市旅游景区业务管理系统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北京市旅游景区业务管理系统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市文旅局-市场管理一处-北京市景区业务管理系系统-应用服务器(景区预约识别小程序后台)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市文旅局-市场管理一处-北京市旅游团队电子行程单(二期)和电子合同项目系统(京办小程序)-新文旅场所检查服务器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192.169.225.123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192.169.225.124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192.169.225.99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市文旅局-市场管理一处-北京市旅游团队电子行程单(二期)和电子合同项目系统-领队证业务管理服务器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192.168.181.135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市文旅局-市场管理一处-北京市旅游团队电子行程单(二期)和电子合同项目系统-旅游团队服务管理服务器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192.168.181.133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市文旅局-市场管理一处-北京市旅游团队电子行程单(二期)和电子合同项目系统-应急演练测试(靶机)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市文旅局-市场管理一处-北京市旅游团队电子行程单(二期)和电子合同项目系统-应用服务器(app升级后台)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市文旅局-市场管理一处-北京市旅游团队电子行程单(二期)和电子合同项目系统-应用服务器(北京市监察局前置机服务接口)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市文旅局-市场管理一处-北京市旅游团队电子行程单(二期)和电子合同项目系统-政务数据共享服务器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192.169.203.127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市文旅局-市场管理一处-北京市旅游行业信用监管平台-MySQL数据库服务器-重新部署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市文旅局-市场管理一处-北京市旅游行业信用监管平台-数据分析服务器-重新部署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192.168.181.144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192.168.181.145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北京市旅游行业信用监管平台-信创环境适配数据库服务器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北京市文化和旅游局-互联网至政务外网服务器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信创OA短信前置机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旅游专项资金综合财务项目管理信息系统-内控系统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市文旅局-财务审计处-北京市文化和旅游局财务内控综合管理信息平台-数据库服务器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192.171.155.148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市文旅局-财务审计处-北京市文化和旅游局财务内控综合管理信息平台-应用服务器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192.171.155.124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市文旅局-宣传中心-北京市文化和旅游局网站-结果公示应用服务器1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192.168.181.142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192.168.181.143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whj3-app-3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whj3-db-2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11194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whj3-db-3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whj3-qianzhi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192.168.147.235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whj-wzdb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192.168.145.235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8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whj-wzexchange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行政审批系统-测试服务器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172.26.68.47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市文旅局-研究室-假日旅游数据监测系统-应用服务器(入口)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192.168.181.113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市文旅局-研究室-假日旅游数据统计监测系统-应用服务器(负载测试)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192.169.225.92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市文旅局-研究室-假日旅游数据统计监测系统-应用服务器(数据上报小程序)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旅游产业数据共享服务平台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市文旅局-宣传中心-旅游产业数据共享服务平台-监测调度移动应用系统服务器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旅游产业数据共享服务平台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市文旅局-宣传中心-旅游产业数据共享服务平台-应用服务器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市文旅局-首都旅游产业运行监测调度平台一期(局网络安全态势感知系统)-安全服务器(天眼分析平台)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192.169.225.51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市文旅局-首都旅游产业运行监测调度平台一期(局网络安全态势感知系统)-安全服务器(天眼流量传感器)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市文旅局-首都旅游产业运行监测调度平台一期-web应用服务器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172.26.67.92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市文旅局-宣传中心-首都旅游产业运行监测调度平台一期(局网络安全态势感知系统)-安全服务器(VNTA控制台)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192.169.225.43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首都旅游云数据分析平台-应用服务器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172.26.67.94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市文旅局-宣传中心-影像资料库(北京旅游杂志)-文件服务器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192.168.178.96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市文旅局-宣传中心-影像资料库-Web服务器(windows-server)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172.26.67.101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市文旅局-宣传中心-影像资料库-数据库服务器(SQL-service)</w:t>
            </w:r>
          </w:p>
        </w:tc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</w:tr>
    </w:tbl>
    <w:p>
      <w:pPr>
        <w:pStyle w:val="2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9" w:name="_Toc8997"/>
      <w:r>
        <w:rPr>
          <w:rFonts w:hint="eastAsia"/>
          <w:lang w:val="en-US" w:eastAsia="zh-CN"/>
        </w:rPr>
        <w:t>计算服务</w:t>
      </w:r>
      <w:bookmarkEnd w:id="9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10" w:name="_Toc34654844"/>
      <w:bookmarkEnd w:id="10"/>
      <w:bookmarkStart w:id="11" w:name="_Toc27974732"/>
      <w:bookmarkEnd w:id="11"/>
      <w:bookmarkStart w:id="12" w:name="_Toc6153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  <w:t>CPU使用率详情</w:t>
      </w:r>
      <w:bookmarkEnd w:id="12"/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下表为本月云主机cpu使用率详情，各主机CPU使用率符合</w:t>
      </w:r>
      <w:r>
        <w:rPr>
          <w:rFonts w:ascii="宋体" w:hAnsi="宋体" w:eastAsia="宋体" w:cs="宋体"/>
          <w:sz w:val="24"/>
          <w:szCs w:val="24"/>
        </w:rPr>
        <w:t>市政务和数据局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要求：</w:t>
      </w:r>
    </w:p>
    <w:tbl>
      <w:tblPr>
        <w:tblStyle w:val="9"/>
        <w:tblW w:w="841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1696"/>
        <w:gridCol w:w="2300"/>
        <w:gridCol w:w="1730"/>
        <w:gridCol w:w="580"/>
        <w:gridCol w:w="840"/>
        <w:gridCol w:w="7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IP地址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CPU平均使用率（%）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CPU最大使用率（%）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北京礼物网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市文旅局-资源开发处-北京礼物网-小程序服务器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0.23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北京礼物网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市文旅局-资源开发处-北京礼物网-应用服务器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192.168.181.134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27.02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市文旅局-宣传中心-北京旅游网-备份服务器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192.168.179.31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52.92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市文旅局-宣传中心-北京旅游网-程序服务器APP服务器1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192.168.179.20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48.83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市文旅局-宣传中心-北京旅游网-程序服务器APP服务器2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192.168.179.22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15.62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市文旅局-宣传中心-北京旅游网-电子杂志服务器1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192.168.179.29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27.02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市文旅局-宣传中心-北京旅游网-电子杂志服务器2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192.168.179.30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27.04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市文旅局-宣传中心-北京旅游网-虚拟旅游服务器1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192.168.179.26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64.00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市文旅局-宣传中心-北京旅游网-虚拟旅游服务器2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192.168.179.38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15.81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北京市公共文化服务管理品台-视频监控平台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192.168.187.199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27.07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北京市公共文化服务管理平台-图片处理服务器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192.168.187.200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16.31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北京市文化和旅游局公共文化服务管理平台-web从服务器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192.168.184.176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4.30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北京市文化和旅游局公共文化服务管理平台-web主服务器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192.168.184.175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80.35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北京市文化和旅游局公共文化服务管理平台-负载均衡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192.168.184.174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17.66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北京市文化和旅游局公共文化服务管理平台-数据备份服务器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192.168.184.177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27.02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北京市文化和旅游局公共文化服务管理平台-数据库服务器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192.168.184.178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11.81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北京市旅行社业务管理系统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市旅游委与市政务服务中心行政审批数据交互系统_前置机_-景区导游证识别管理系统-旅行社质保金业务8家银行数据对接接口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192.168.181.129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北京市旅行社业务管理系统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市文旅局-市场管理一处-北京市旅行社业务管理系统-应用服务器-前置共享交换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172.26.67.96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3.94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市文旅局-行业管理二处-北京市旅游饭店业务管理系统-数据库服务器(mysql数据库)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192.169.225.89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62.94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192.169.225.83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6.53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市文旅局-行业管理二处-北京市旅游饭店业务管理系统-应用服务器(旅游调度中心安全局调用对接数据接口)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192.168.181.128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11.11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北京市旅游景区业务管理系统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192.168.181.120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10.32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北京市旅游景区业务管理系统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市文旅局-市场管理一处-北京市景区业务管理系系统-应用服务器(景区预约识别小程序后台)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192.168.181.130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50.81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市文旅局-市场管理一处-北京市旅游团队电子行程单(二期)和电子合同项目系统(京办小程序)-新文旅场所检查服务器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192.169.225.123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25.68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市文旅局-市场管理一处-北京市旅游团队电子行程单(二期)和电子合同项目系统-web应用服务器1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192.169.225.124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47.55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市文旅局-市场管理一处-北京市旅游团队电子行程单(二期)和电子合同项目系统-web应用服务器2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192.169.225.99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17.18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60.59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市文旅局-市场管理一处-北京市旅游团队电子行程单(二期)和电子合同项目系统-领队证业务管理服务器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192.168.181.135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27.02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市文旅局-市场管理一处-北京市旅游团队电子行程单(二期)和电子合同项目系统-旅游团队服务管理服务器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192.168.181.133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61.52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市文旅局-市场管理一处-北京市旅游团队电子行程单(二期)和电子合同项目系统-应急演练测试(靶机)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192.169.225.121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市文旅局-市场管理一处-北京市旅游团队电子行程单(二期)和电子合同项目系统-应用服务器(app升级后台)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192.168.181.131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7.01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市文旅局-市场管理一处-北京市旅游团队电子行程单(二期)和电子合同项目系统-应用服务器(北京市监察局前置机服务接口)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192.168.181.136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市文旅局-市场管理一处-北京市旅游团队电子行程单(二期)和电子合同项目系统-政务数据共享服务器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192.169.203.127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11.87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市文旅局-市场管理一处-北京市旅游行业信用监管平台-MySQL数据库服务器-重新部署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172.26.67.97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12.05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市文旅局-市场管理一处-北京市旅游行业信用监管平台-数据分析服务器-重新部署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172.26.67.98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11.21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市文旅局-市场管理一处-北京市旅游行业信用监管平台-应用服务器1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192.168.181.144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市文旅局-市场管理一处-北京市旅游行业信用监管平台-应用服务器2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192.168.181.145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11.89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北京市旅游行业信用监管平台-信创环境适配数据库服务器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192.168.224.156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10.48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北京市文化和旅游局-互联网至政务外网服务器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192.169.225.111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信创OA短信前置机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192.169.202.138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旅游专项资金综合财务项目管理信息系统-内控系统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192.168.224.158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27.06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市文旅局-财务审计处-北京市文化和旅游局财务内控综合管理信息平台-数据库服务器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192.171.155.148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0.07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市文旅局-财务审计处-北京市文化和旅游局财务内控综合管理信息平台-应用服务器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192.171.155.124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0.06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市文旅局-宣传中心-北京市文化和旅游局网站-公共代理Web服务器1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192.168.181.140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62.20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市文旅局-宣传中心-北京市文化和旅游局网站-公共代理Web服务器2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192.168.181.141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52.06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市文旅局-宣传中心-北京市文化和旅游局网站-结果公示应用服务器1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192.168.181.142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12.81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市文旅局-宣传中心-北京市文化和旅游局网站-结果公示应用服务器2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192.168.181.143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11.90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whj3-app-2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172.26.66.107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11.43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whj3-app-3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172.26.66.108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10.35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whj3-db-2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172.26.66.110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14.09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whj3-db-3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172.26.66.111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10.07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whj3-qianzhi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192.168.147.235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11.47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whj-wzdb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192.168.145.235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2.87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8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whj-wzexchange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192.168.145.237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53.13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行政审批系统-测试服务器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172.26.68.47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11.90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市文旅局-研究室-假日旅游数据监测系统-应用服务器(入口)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192.168.181.113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18.31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市文旅局-研究室-假日旅游数据统计监测系统-应用服务器(负载测试)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192.169.225.92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17.97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市文旅局-研究室-假日旅游数据统计监测系统-应用服务器(数据上报小程序)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50.18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旅游产业数据共享服务平台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市文旅局-宣传中心-旅游产业数据共享服务平台-监测调度移动应用系统服务器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192.168.178.41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23.36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旅游产业数据共享服务平台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市文旅局-宣传中心-旅游产业数据共享服务平台-应用服务器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14.70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市文旅局-首都旅游产业运行监测调度平台一期(局网络安全态势感知系统)-安全服务器(天眼分析平台)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192.169.225.51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27.02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4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市文旅局-首都旅游产业运行监测调度平台一期(局网络安全态势感知系统)-安全服务器(天眼流量传感器)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192.169.225.46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27.04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市文旅局-首都旅游产业运行监测调度平台一期-web应用服务器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172.26.67.92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12.02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市文旅局-宣传中心-首都旅游产业运行监测调度平台一期(局网络安全态势感知系统)-安全服务器(VNTA控制台)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192.169.225.43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首都旅游云数据分析平台-应用服务器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172.26.67.94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27.12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市文旅局-宣传中心-影像资料库(北京旅游杂志)-文件服务器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192.168.178.96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10.35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市文旅局-宣传中心-影像资料库-Web服务器(windows-server)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172.26.67.101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27.02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</w:t>
            </w:r>
          </w:p>
        </w:tc>
        <w:tc>
          <w:tcPr>
            <w:tcW w:w="1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市文旅局-宣传中心-影像资料库-数据库服务器(SQL-service)</w:t>
            </w:r>
          </w:p>
        </w:tc>
        <w:tc>
          <w:tcPr>
            <w:tcW w:w="1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192.168.181.147</w:t>
            </w:r>
          </w:p>
        </w:tc>
        <w:tc>
          <w:tcPr>
            <w:tcW w:w="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10.90 </w:t>
            </w:r>
          </w:p>
        </w:tc>
        <w:tc>
          <w:tcPr>
            <w:tcW w:w="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</w:tbl>
    <w:p>
      <w:pPr>
        <w:pStyle w:val="2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  <w:t>内存使用率详情</w:t>
      </w:r>
    </w:p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下表为本月云主机内存使用率详情，各主机内存使用率符合</w:t>
      </w:r>
      <w:r>
        <w:rPr>
          <w:rFonts w:ascii="宋体" w:hAnsi="宋体" w:eastAsia="宋体" w:cs="宋体"/>
          <w:sz w:val="24"/>
          <w:szCs w:val="24"/>
        </w:rPr>
        <w:t>市政务和数据局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要求：</w:t>
      </w:r>
    </w:p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16"/>
          <w:szCs w:val="16"/>
          <w:u w:val="none"/>
          <w:lang w:val="en-US" w:eastAsia="zh-CN" w:bidi="ar"/>
        </w:rPr>
      </w:pPr>
    </w:p>
    <w:tbl>
      <w:tblPr>
        <w:tblStyle w:val="9"/>
        <w:tblW w:w="841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1328"/>
        <w:gridCol w:w="2020"/>
        <w:gridCol w:w="1800"/>
        <w:gridCol w:w="690"/>
        <w:gridCol w:w="890"/>
        <w:gridCol w:w="10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IP地址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内存平均使用率（%）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内存最大使用率（%）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北京礼物网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市文旅局-资源开发处-北京礼物网-小程序服务器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19.63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北京礼物网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市文旅局-资源开发处-北京礼物网-应用服务器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33.04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市文旅局-宣传中心-北京旅游网-备份服务器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43.98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37.44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40.16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33.04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33.01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39.50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39.59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北京市公共文化服务管理品台-视频监控平台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192.168.187.199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33.05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北京市公共文化服务管理平台-图片处理服务器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192.168.187.200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29.88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北京市文化和旅游局公共文化服务管理平台-web从服务器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60.43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北京市文化和旅游局公共文化服务管理平台-web主服务器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45.73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北京市文化和旅游局公共文化服务管理平台-负载均衡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47.61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北京市文化和旅游局公共文化服务管理平台-数据备份服务器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33.09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北京市文化和旅游局公共文化服务管理平台-数据库服务器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19.81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北京市旅行社业务管理系统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市旅游委与市政务服务中心行政审批数据交互系统_前置机_-景区导游证识别管理系统-旅行社质保金业务8家银行数据对接接口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33.01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北京市旅行社业务管理系统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市文旅局-市场管理一处-北京市旅行社业务管理系统-应用服务器-前置共享交换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41.00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市文旅局-行业管理二处-北京市旅游饭店业务管理系统-数据库服务器(mysql数据库)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45.78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192.169.225.83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8.45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市文旅局-行业管理二处-北京市旅游饭店业务管理系统-应用服务器(旅游调度中心安全局调用对接数据接口)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35.10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北京市旅游景区业务管理系统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8.42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北京市旅游景区业务管理系统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市文旅局-市场管理一处-北京市景区业务管理系系统-应用服务器(景区预约识别小程序后台)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65.20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市文旅局-市场管理一处-北京市旅游团队电子行程单(二期)和电子合同项目系统(京办小程序)-新文旅场所检查服务器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192.169.225.123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49.33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36.61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192.169.225.99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25.22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市文旅局-市场管理一处-北京市旅游团队电子行程单(二期)和电子合同项目系统-领队证业务管理服务器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33.03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市文旅局-市场管理一处-北京市旅游团队电子行程单(二期)和电子合同项目系统-旅游团队服务管理服务器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192.168.181.133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82.16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市文旅局-市场管理一处-北京市旅游团队电子行程单(二期)和电子合同项目系统-应急演练测试(靶机)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市文旅局-市场管理一处-北京市旅游团队电子行程单(二期)和电子合同项目系统-应用服务器(app升级后台)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69.98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市文旅局-市场管理一处-北京市旅游团队电子行程单(二期)和电子合同项目系统-应用服务器(北京市监察局前置机服务接口)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33.08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市文旅局-市场管理一处-北京市旅游团队电子行程单(二期)和电子合同项目系统-政务数据共享服务器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192.169.203.127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88.24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市文旅局-市场管理一处-北京市旅游行业信用监管平台-MySQL数据库服务器-重新部署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39.22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市文旅局-市场管理一处-北京市旅游行业信用监管平台-数据分析服务器-重新部署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66.55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33.01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39.67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北京市旅游行业信用监管平台-信创环境适配数据库服务器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39.05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北京市文化和旅游局-互联网至政务外网服务器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信创OA短信前置机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旅游专项资金综合财务项目管理信息系统-内控系统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32.89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市文旅局-财务审计处-北京市文化和旅游局财务内控综合管理信息平台-数据库服务器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192.171.155.148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7.06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市文旅局-财务审计处-北京市文化和旅游局财务内控综合管理信息平台-应用服务器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192.171.155.124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12.87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59.45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64.05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44.60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192.168.181.143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59.57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20.18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172.26.66.108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25.17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172.26.66.110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64.69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69.94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whj3-qianzhi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192.168.147.235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whj-wzdb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29.42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whj-wzexchange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76.72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行政审批系统-测试服务器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172.26.68.47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57.62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市文旅局-研究室-假日旅游数据监测系统-应用服务器(入口)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192.168.181.113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13.45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市文旅局-研究室-假日旅游数据统计监测系统-应用服务器(负载测试)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8.34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市文旅局-研究室-假日旅游数据统计监测系统-应用服务器(数据上报小程序)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37.36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旅游产业数据共享服务平台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市文旅局-宣传中心-旅游产业数据共享服务平台-监测调度移动应用系统服务器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69.70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旅游产业数据共享服务平台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市文旅局-宣传中心-旅游产业数据共享服务平台-应用服务器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54.18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市文旅局-首都旅游产业运行监测调度平台一期(局网络安全态势感知系统)-安全服务器(天眼分析平台)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192.169.225.51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33.08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市文旅局-首都旅游产业运行监测调度平台一期(局网络安全态势感知系统)-安全服务器(天眼流量传感器)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33.04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市文旅局-首都旅游产业运行监测调度平台一期-web应用服务器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172.26.67.92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63.10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市文旅局-宣传中心-首都旅游产业运行监测调度平台一期(局网络安全态势感知系统)-安全服务器(VNTA控制台)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192.169.225.43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33.02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首都旅游云数据分析平台-应用服务器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172.26.67.94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33.10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市文旅局-宣传中心-影像资料库(北京旅游杂志)-文件服务器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192.168.178.96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10.20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市文旅局-宣传中心-影像资料库-Web服务器(windows-server)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172.26.67.101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33.08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市文旅局-宣传中心-影像资料库-数据库服务器(SQL-service)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192.168.181.147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23.32 </w:t>
            </w:r>
          </w:p>
        </w:tc>
        <w:tc>
          <w:tcPr>
            <w:tcW w:w="10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</w:tbl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3" w:name="_Toc14849"/>
      <w:r>
        <w:rPr>
          <w:rFonts w:hint="eastAsia"/>
          <w:lang w:val="en-US" w:eastAsia="zh-CN"/>
        </w:rPr>
        <w:t>存储服务</w:t>
      </w:r>
      <w:bookmarkEnd w:id="13"/>
    </w:p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  <w:t>磁盘使用率详情</w:t>
      </w:r>
      <w:bookmarkStart w:id="14" w:name="_Toc21919"/>
    </w:p>
    <w:p>
      <w:pPr>
        <w:shd w:val="clear"/>
        <w:spacing w:line="360" w:lineRule="auto"/>
        <w:ind w:firstLine="420" w:firstLineChars="0"/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下表为本月云主机高性能存储使用率详情，各主机高性能存储使用率符合</w:t>
      </w:r>
      <w:r>
        <w:rPr>
          <w:rFonts w:ascii="宋体" w:hAnsi="宋体" w:eastAsia="宋体" w:cs="宋体"/>
          <w:sz w:val="24"/>
          <w:szCs w:val="24"/>
        </w:rPr>
        <w:t>市政务和数据局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要求：</w:t>
      </w:r>
    </w:p>
    <w:tbl>
      <w:tblPr>
        <w:tblStyle w:val="9"/>
        <w:tblW w:w="841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1496"/>
        <w:gridCol w:w="2297"/>
        <w:gridCol w:w="1803"/>
        <w:gridCol w:w="610"/>
        <w:gridCol w:w="710"/>
        <w:gridCol w:w="72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IP地址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存储最大使用率（%）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北京礼物网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市文旅局-资源开发处-北京礼物网-小程序服务器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北京礼物网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市文旅局-资源开发处-北京礼物网-应用服务器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192.168.181.134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市文旅局-宣传中心-北京旅游网-备份服务器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1590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市文旅局-宣传中心-北京旅游网-程序服务器APP服务器1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市文旅局-宣传中心-北京旅游网-程序服务器APP服务器2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192.168.179.22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市文旅局-宣传中心-北京旅游网-电子杂志服务器1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192.168.179.29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市文旅局-宣传中心-北京旅游网-电子杂志服务器2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市文旅局-宣传中心-北京旅游网-虚拟旅游服务器1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北京旅游网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市文旅局-宣传中心-北京旅游网-虚拟旅游服务器2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北京市公共文化服务管理品台-视频监控平台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192.168.187.199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北京市公共文化服务管理平台-图片处理服务器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192.168.187.200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北京市文化和旅游局公共文化服务管理平台-web从服务器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北京市文化和旅游局公共文化服务管理平台-web主服务器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192.168.184.175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北京市文化和旅游局公共文化服务管理平台-负载均衡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192.168.184.174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北京市文化和旅游局公共文化服务管理平台-数据备份服务器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北京市文化和旅游局公共文化服务管理平台-数据库服务器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北京市旅行社业务管理系统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市旅游委与市政务服务中心行政审批数据交互系统_前置机_-景区导游证识别管理系统-旅行社质保金业务8家银行数据对接接口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192.168.181.129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北京市旅行社业务管理系统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市文旅局-市场管理一处-北京市旅行社业务管理系统-应用服务器-前置共享交换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2124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市文旅局-行业管理二处-北京市旅游饭店业务管理系统-数据库服务器(mysql数据库)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192.169.225.89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65.77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192.169.225.83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北京市旅游饭店业务管理系统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市文旅局-行业管理二处-北京市旅游饭店业务管理系统-应用服务器(旅游调度中心安全局调用对接数据接口)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北京市旅游景区业务管理系统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北京市旅游景区业务管理系统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市文旅局-市场管理一处-北京市景区业务管理系系统-应用服务器(景区预约识别小程序后台)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市文旅局-市场管理一处-北京市旅游团队电子行程单(二期)和电子合同项目系统(京办小程序)-新文旅场所检查服务器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192.169.225.123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市文旅局-市场管理一处-北京市旅游团队电子行程单(二期)和电子合同项目系统-web应用服务器1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192.169.225.124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市文旅局-市场管理一处-北京市旅游团队电子行程单(二期)和电子合同项目系统-web应用服务器2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192.169.225.99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市文旅局-市场管理一处-北京市旅游团队电子行程单(二期)和电子合同项目系统-领队证业务管理服务器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192.168.181.135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市文旅局-市场管理一处-北京市旅游团队电子行程单(二期)和电子合同项目系统-旅游团队服务管理服务器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192.168.181.133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市文旅局-市场管理一处-北京市旅游团队电子行程单(二期)和电子合同项目系统-应急演练测试(靶机)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市文旅局-市场管理一处-北京市旅游团队电子行程单(二期)和电子合同项目系统-应用服务器(app升级后台)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市文旅局-市场管理一处-北京市旅游团队电子行程单(二期)和电子合同项目系统-应用服务器(北京市监察局前置机服务接口)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北京市旅游团队电子行程单（二期）和电子合同项目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市文旅局-市场管理一处-北京市旅游团队电子行程单(二期)和电子合同项目系统-政务数据共享服务器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192.169.203.127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市文旅局-市场管理一处-北京市旅游行业信用监管平台-MySQL数据库服务器-重新部署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市文旅局-市场管理一处-北京市旅游行业信用监管平台-数据分析服务器-重新部署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市文旅局-市场管理一处-北京市旅游行业信用监管平台-应用服务器1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192.168.181.144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市文旅局-市场管理一处-北京市旅游行业信用监管平台-应用服务器2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192.168.181.145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北京市旅游行业信用监管平台-信创环境适配数据库服务器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北京市文化和旅游局-互联网至政务外网服务器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北京市文化和旅游局办公系统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信创OA短信前置机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旅游专项资金综合财务项目管理信息系统-内控系统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市文旅局-财务审计处-北京市文化和旅游局财务内控综合管理信息平台-数据库服务器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192.171.155.148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北京市文化和旅游局财务内控综合管理信息平台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市文旅局-财务审计处-北京市文化和旅游局财务内控综合管理信息平台-应用服务器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192.171.155.124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市文旅局-宣传中心-北京市文化和旅游局网站-公共代理Web服务器1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市文旅局-宣传中心-北京市文化和旅游局网站-公共代理Web服务器2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市文旅局-宣传中心-北京市文化和旅游局网站-结果公示应用服务器1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192.168.181.142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73.55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北京市文化和旅游局网站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市文旅局-宣传中心-北京市文化和旅游局网站-结果公示应用服务器2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192.168.181.143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whj3-app-2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whj3-app-3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172.26.66.108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whj3-db-2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172.26.66.110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11194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whj3-db-3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3074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whj3-qianzhi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192.168.147.235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whj-wzdb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192.168.145.235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whj-wzexchange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1574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北京市文化市场行政审批系统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行政审批系统-测试服务器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172.26.68.47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88.55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市文旅局-研究室-假日旅游数据监测系统-应用服务器(入口)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192.168.181.113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市文旅局-研究室-假日旅游数据统计监测系统-应用服务器(负载测试)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192.169.225.92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假日旅游数据统计监测系统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市文旅局-研究室-假日旅游数据统计监测系统-应用服务器(数据上报小程序)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旅游产业数据共享服务平台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市文旅局-宣传中心-旅游产业数据共享服务平台-监测调度移动应用系统服务器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旅游产业数据共享服务平台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市文旅局-宣传中心-旅游产业数据共享服务平台-应用服务器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市文旅局-首都旅游产业运行监测调度平台一期(局网络安全态势感知系统)-安全服务器(天眼分析平台)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192.169.225.51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市文旅局-首都旅游产业运行监测调度平台一期(局网络安全态势感知系统)-安全服务器(天眼流量传感器)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市文旅局-首都旅游产业运行监测调度平台一期-web应用服务器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172.26.67.92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63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首都旅游产业运行监测调度平台（一期）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市文旅局-宣传中心-首都旅游产业运行监测调度平台一期(局网络安全态势感知系统)-安全服务器(VNTA控制台)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192.169.225.43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64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首都旅游云数据分析平台-应用服务器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172.26.67.94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1574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65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市文旅局-宣传中心-影像资料库(北京旅游杂志)-文件服务器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192.168.178.96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66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市文旅局-宣传中心-影像资料库-Web服务器(windows-server)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172.26.67.101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58.59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67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影像资料库</w:t>
            </w:r>
          </w:p>
        </w:tc>
        <w:tc>
          <w:tcPr>
            <w:tcW w:w="2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市文旅局-宣传中心-影像资料库-数据库服务器(SQL-service)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192.168.181.147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1050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62.88 </w:t>
            </w:r>
          </w:p>
        </w:tc>
      </w:tr>
    </w:tbl>
    <w:p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15" w:name="_Toc777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本地备份和静态存储服务</w:t>
      </w:r>
      <w:bookmarkEnd w:id="15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快照备份服务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包含：本地备份和静态存储两项服务</w:t>
      </w:r>
    </w:p>
    <w:p>
      <w:pPr>
        <w:spacing w:line="360" w:lineRule="auto"/>
        <w:ind w:firstLine="420" w:firstLineChars="0"/>
        <w:rPr>
          <w:rFonts w:hint="default" w:ascii="宋体" w:hAnsi="宋体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cs="Times New Roman"/>
          <w:b/>
          <w:bCs/>
          <w:kern w:val="0"/>
          <w:sz w:val="24"/>
          <w:szCs w:val="20"/>
          <w:lang w:val="en-US" w:eastAsia="zh-CN" w:bidi="ar-SA"/>
        </w:rPr>
        <w:t>合同要求：本地备份：</w:t>
      </w:r>
      <w:r>
        <w:rPr>
          <w:rFonts w:hint="eastAsia" w:ascii="宋体" w:hAnsi="宋体" w:cs="Times New Roman"/>
          <w:kern w:val="0"/>
          <w:sz w:val="24"/>
          <w:szCs w:val="20"/>
          <w:lang w:val="en-US" w:eastAsia="zh-CN" w:bidi="ar-SA"/>
        </w:rPr>
        <w:t>通过备份策略实现文件、操作系统、数据库的本地备份（不包含备份存储空间费用）</w:t>
      </w:r>
      <w:r>
        <w:rPr>
          <w:rFonts w:hint="eastAsia" w:ascii="宋体" w:hAnsi="宋体" w:cs="Times New Roman"/>
          <w:b/>
          <w:bCs/>
          <w:kern w:val="0"/>
          <w:sz w:val="24"/>
          <w:szCs w:val="20"/>
          <w:lang w:val="en-US" w:eastAsia="zh-CN" w:bidi="ar-SA"/>
        </w:rPr>
        <w:t>静态存储</w:t>
      </w:r>
      <w:r>
        <w:rPr>
          <w:rFonts w:hint="eastAsia" w:ascii="宋体" w:hAnsi="宋体" w:cs="Times New Roman"/>
          <w:kern w:val="0"/>
          <w:sz w:val="24"/>
          <w:szCs w:val="20"/>
          <w:lang w:val="en-US" w:eastAsia="zh-CN" w:bidi="ar-SA"/>
        </w:rPr>
        <w:t>：大容量、高可靠的数据存储服务，具备PB级线性扩展能力。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：对云主机每月进行一次快照，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由金山云与用户共同分析业务主机备份需求，确定业务重要性与恢复优先级。通过备份策略实现对用户数据（文件、操作系统、数据库）的本地备份。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备份空间具体包含静态存储大容量、高可靠的数据存储服务，具备PB级线性扩展能力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备份方式：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金山云提供云主机系统的备份，主要采用快照方式进行系统备份。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恢复方式：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对快照进行恢复，覆盖原有主机数据，使数据恢复到备份前的状态。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进行备份与恢复的文档记录，其内容包括备份时间、备份内容、备份操作人、备份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截止时间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等。</w:t>
      </w:r>
    </w:p>
    <w:p>
      <w:pPr>
        <w:keepNext w:val="0"/>
        <w:keepLines w:val="0"/>
        <w:widowControl w:val="0"/>
        <w:suppressLineNumbers w:val="0"/>
        <w:shd w:val="clear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下表为本月备份记录：</w:t>
      </w:r>
    </w:p>
    <w:p>
      <w:pPr>
        <w:pStyle w:val="2"/>
        <w:rPr>
          <w:rFonts w:hint="eastAsia"/>
          <w:lang w:val="en-US" w:eastAsia="zh-CN"/>
        </w:rPr>
      </w:pPr>
    </w:p>
    <w:tbl>
      <w:tblPr>
        <w:tblStyle w:val="9"/>
        <w:tblW w:w="841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2655"/>
        <w:gridCol w:w="1885"/>
        <w:gridCol w:w="1470"/>
        <w:gridCol w:w="960"/>
        <w:gridCol w:w="7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IP地址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市文旅局-资源开发处-北京礼物网-小程序服务器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市文旅局-宣传中心-北京旅游网-备份服务器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北京市公共文化服务管理品台-视频监控平台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192.168.187.199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北京市公共文化服务管理平台-图片处理服务器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192.168.187.200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北京市文化和旅游局公共文化服务管理平台-web从服务器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北京市文化和旅游局公共文化服务管理平台-web主服务器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北京市文化和旅游局公共文化服务管理平台-负载均衡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北京市文化和旅游局公共文化服务管理平台-数据备份服务器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北京市文化和旅游局公共文化服务管理平台-数据库服务器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市旅游委与市政务服务中心行政审批数据交互系统_前置机_-景区导游证识别管理系统-旅行社质保金业务8家银行数据对接接口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市文旅局-市场管理一处-北京市旅行社业务管理系统-应用服务器-前置共享交换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市文旅局-行业管理二处-北京市旅游饭店业务管理系统-数据库服务器(mysql数据库)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市文旅局-行业管理二处-北京市旅游饭店业务管理系统-应用服务器(旅游调度中心安全局调用对接数据接口)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市文旅局-市场管理一处-北京市景区业务管理系系统-应用服务器(景区预约识别小程序后台)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市文旅局-市场管理一处-北京市旅游团队电子行程单(二期)和电子合同项目系统(京办小程序)-新文旅场所检查服务器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市文旅局-市场管理一处-北京市旅游团队电子行程单(二期)和电子合同项目系统-领队证业务管理服务器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市文旅局-市场管理一处-北京市旅游团队电子行程单(二期)和电子合同项目系统-旅游团队服务管理服务器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市文旅局-市场管理一处-北京市旅游团队电子行程单(二期)和电子合同项目系统-应急演练测试(靶机)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市文旅局-市场管理一处-北京市旅游团队电子行程单(二期)和电子合同项目系统-应用服务器(app升级后台)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市文旅局-市场管理一处-北京市旅游团队电子行程单(二期)和电子合同项目系统-应用服务器(北京市监察局前置机服务接口)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市文旅局-市场管理一处-北京市旅游团队电子行程单(二期)和电子合同项目系统-政务数据共享服务器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192.169.203.127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市文旅局-市场管理一处-北京市旅游行业信用监管平台-MySQL数据库服务器-重新部署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市文旅局-市场管理一处-北京市旅游行业信用监管平台-数据分析服务器-重新部署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北京市旅游行业信用监管平台-信创环境适配数据库服务器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北京市文化和旅游局-互联网至政务外网服务器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信创OA短信前置机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旅游专项资金综合财务项目管理信息系统-内控系统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市文旅局-财务审计处-北京市文化和旅游局财务内控综合管理信息平台-数据库服务器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192.171.155.148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192.171.155.124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whj3-app-3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whj3-db-3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whj3-qianzhi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whj-wzdb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whj-wzexchange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行政审批系统-测试服务器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172.26.68.47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市文旅局-研究室-假日旅游数据监测系统-应用服务器(入口)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192.168.181.113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市文旅局-研究室-假日旅游数据统计监测系统-应用服务器(负载测试)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市文旅局-研究室-假日旅游数据统计监测系统-应用服务器(数据上报小程序)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市文旅局-宣传中心-旅游产业数据共享服务平台-监测调度移动应用系统服务器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1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市文旅局-首都旅游产业运行监测调度平台一期(局网络安全态势感知系统)-安全服务器(天眼分析平台)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192.169.225.51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市文旅局-首都旅游产业运行监测调度平台一期(局网络安全态势感知系统)-安全服务器(天眼流量传感器)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市文旅局-首都旅游产业运行监测调度平台一期-web应用服务器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市文旅局-宣传中心-首都旅游产业运行监测调度平台一期(局网络安全态势感知系统)-安全服务器(VNTA控制台)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市文旅局-宣传中心-影像资料库(北京旅游杂志)-文件服务器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192.168.178.96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市文旅局-宣传中心-影像资料库-Web服务器(windows-server)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172.26.67.101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市文旅局-宣传中心-影像资料库-数据库服务器(SQL-service)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市文旅局-资源开发处-北京礼物网-小程序服务器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市文旅局-宣传中心-北京旅游网-备份服务器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北京市公共文化服务管理品台-视频监控平台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192.168.187.199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北京市公共文化服务管理平台-图片处理服务器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192.168.187.200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北京市文化和旅游局公共文化服务管理平台-web从服务器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北京市文化和旅游局公共文化服务管理平台-web主服务器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北京市文化和旅游局公共文化服务管理平台-负载均衡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北京市文化和旅游局公共文化服务管理平台-数据备份服务器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北京市文化和旅游局公共文化服务管理平台-数据库服务器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市旅游委与市政务服务中心行政审批数据交互系统_前置机_-景区导游证识别管理系统-旅行社质保金业务8家银行数据对接接口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市文旅局-市场管理一处-北京市旅行社业务管理系统-应用服务器-前置共享交换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市文旅局-行业管理二处-北京市旅游饭店业务管理系统-数据库服务器(mysql数据库)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市文旅局-行业管理二处-北京市旅游饭店业务管理系统-应用服务器(旅游调度中心安全局调用对接数据接口)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市文旅局-市场管理一处-北京市景区业务管理系系统-应用服务器(景区预约识别小程序后台)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市文旅局-市场管理一处-北京市旅游团队电子行程单(二期)和电子合同项目系统(京办小程序)-新文旅场所检查服务器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市文旅局-市场管理一处-北京市旅游团队电子行程单(二期)和电子合同项目系统-领队证业务管理服务器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市文旅局-市场管理一处-北京市旅游团队电子行程单(二期)和电子合同项目系统-旅游团队服务管理服务器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市文旅局-市场管理一处-北京市旅游团队电子行程单(二期)和电子合同项目系统-应急演练测试(靶机)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市文旅局-市场管理一处-北京市旅游团队电子行程单(二期)和电子合同项目系统-应用服务器(app升级后台)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市文旅局-市场管理一处-北京市旅游团队电子行程单(二期)和电子合同项目系统-应用服务器(北京市监察局前置机服务接口)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市文旅局-市场管理一处-北京市旅游团队电子行程单(二期)和电子合同项目系统-政务数据共享服务器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192.169.203.127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市文旅局-市场管理一处-北京市旅游行业信用监管平台-MySQL数据库服务器-重新部署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市文旅局-市场管理一处-北京市旅游行业信用监管平台-数据分析服务器-重新部署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北京市旅游行业信用监管平台-信创环境适配数据库服务器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北京市文化和旅游局-互联网至政务外网服务器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信创OA短信前置机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旅游专项资金综合财务项目管理信息系统-内控系统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市文旅局-财务审计处-北京市文化和旅游局财务内控综合管理信息平台-数据库服务器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192.171.155.148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192.171.155.124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whj3-app-3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whj3-db-3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whj3-qianzhi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whj-wzdb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whj-wzexchange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行政审批系统-测试服务器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172.26.68.47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市文旅局-研究室-假日旅游数据监测系统-应用服务器(入口)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192.168.181.113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市文旅局-研究室-假日旅游数据统计监测系统-应用服务器(负载测试)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市文旅局-研究室-假日旅游数据统计监测系统-应用服务器(数据上报小程序)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市文旅局-宣传中心-旅游产业数据共享服务平台-监测调度移动应用系统服务器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市文旅局-首都旅游产业运行监测调度平台一期(局网络安全态势感知系统)-安全服务器(天眼分析平台)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192.169.225.51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市文旅局-首都旅游产业运行监测调度平台一期(局网络安全态势感知系统)-安全服务器(天眼流量传感器)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市文旅局-首都旅游产业运行监测调度平台一期-web应用服务器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市文旅局-宣传中心-首都旅游产业运行监测调度平台一期(局网络安全态势感知系统)-安全服务器(VNTA控制台)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市文旅局-宣传中心-影像资料库(北京旅游杂志)-文件服务器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192.168.178.96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市文旅局-宣传中心-影像资料库-Web服务器(windows-server)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172.26.67.101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市文旅局-宣传中心-影像资料库-数据库服务器(SQL-service)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市文旅局-资源开发处-北京礼物网-小程序服务器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市文旅局-宣传中心-北京旅游网-备份服务器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北京市公共文化服务管理品台-视频监控平台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192.168.187.199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北京市公共文化服务管理平台-图片处理服务器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192.168.187.200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北京市文化和旅游局公共文化服务管理平台-web从服务器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北京市文化和旅游局公共文化服务管理平台-web主服务器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北京市文化和旅游局公共文化服务管理平台-负载均衡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北京市文化和旅游局公共文化服务管理平台-数据备份服务器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北京市文化和旅游局公共文化服务管理平台-数据库服务器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市旅游委与市政务服务中心行政审批数据交互系统_前置机_-景区导游证识别管理系统-旅行社质保金业务8家银行数据对接接口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市文旅局-市场管理一处-北京市旅行社业务管理系统-应用服务器-前置共享交换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市文旅局-行业管理二处-北京市旅游饭店业务管理系统-数据库服务器(mysql数据库)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市文旅局-行业管理二处-北京市旅游饭店业务管理系统-应用服务器(旅游调度中心安全局调用对接数据接口)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市文旅局-市场管理一处-北京市景区业务管理系系统-应用服务器(景区预约识别小程序后台)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市文旅局-市场管理一处-北京市旅游团队电子行程单(二期)和电子合同项目系统(京办小程序)-新文旅场所检查服务器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市文旅局-市场管理一处-北京市旅游团队电子行程单(二期)和电子合同项目系统-领队证业务管理服务器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市文旅局-市场管理一处-北京市旅游团队电子行程单(二期)和电子合同项目系统-旅游团队服务管理服务器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市文旅局-市场管理一处-北京市旅游团队电子行程单(二期)和电子合同项目系统-应急演练测试(靶机)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市文旅局-市场管理一处-北京市旅游团队电子行程单(二期)和电子合同项目系统-应用服务器(app升级后台)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市文旅局-市场管理一处-北京市旅游团队电子行程单(二期)和电子合同项目系统-应用服务器(北京市监察局前置机服务接口)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市文旅局-市场管理一处-北京市旅游团队电子行程单(二期)和电子合同项目系统-政务数据共享服务器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192.169.203.127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市文旅局-市场管理一处-北京市旅游行业信用监管平台-MySQL数据库服务器-重新部署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市文旅局-市场管理一处-北京市旅游行业信用监管平台-数据分析服务器-重新部署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北京市旅游行业信用监管平台-信创环境适配数据库服务器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北京市文化和旅游局-互联网至政务外网服务器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信创OA短信前置机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旅游专项资金综合财务项目管理信息系统-内控系统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市文旅局-财务审计处-北京市文化和旅游局财务内控综合管理信息平台-数据库服务器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192.171.155.148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192.171.155.124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whj3-app-3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whj3-db-3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whj3-qianzhi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whj-wzdb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whj-wzexchange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行政审批系统-测试服务器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172.26.68.47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市文旅局-研究室-假日旅游数据监测系统-应用服务器(入口)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192.168.181.113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市文旅局-研究室-假日旅游数据统计监测系统-应用服务器(负载测试)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市文旅局-研究室-假日旅游数据统计监测系统-应用服务器(数据上报小程序)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市文旅局-宣传中心-旅游产业数据共享服务平台-监测调度移动应用系统服务器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市文旅局-首都旅游产业运行监测调度平台一期(局网络安全态势感知系统)-安全服务器(天眼分析平台)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192.169.225.51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市文旅局-首都旅游产业运行监测调度平台一期(局网络安全态势感知系统)-安全服务器(天眼流量传感器)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市文旅局-首都旅游产业运行监测调度平台一期-web应用服务器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市文旅局-宣传中心-首都旅游产业运行监测调度平台一期(局网络安全态势感知系统)-安全服务器(VNTA控制台)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市文旅局-宣传中心-影像资料库(北京旅游杂志)-文件服务器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192.168.178.96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市文旅局-宣传中心-影像资料库-Web服务器(windows-server)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172.26.67.101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市文旅局-宣传中心-影像资料库-数据库服务器(SQL-service)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市文旅局-资源开发处-北京礼物网-小程序服务器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市文旅局-资源开发处-北京礼物网-应用服务器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市文旅局-宣传中心-北京旅游网-备份服务器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市文旅局-宣传中心-北京旅游网-程序服务器APP服务器2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市文旅局-宣传中心-北京旅游网-电子杂志服务器2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市文旅局-宣传中心-北京旅游网-虚拟旅游服务器2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北京市公共文化服务管理品台-视频监控平台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192.168.187.199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北京市公共文化服务管理平台-图片处理服务器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192.168.187.200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北京市文化和旅游局公共文化服务管理平台-web从服务器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北京市文化和旅游局公共文化服务管理平台-web主服务器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北京市文化和旅游局公共文化服务管理平台-负载均衡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北京市文化和旅游局公共文化服务管理平台-数据备份服务器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北京市文化和旅游局公共文化服务管理平台-数据库服务器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192.168.184.178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市旅游委与市政务服务中心行政审批数据交互系统_前置机_-景区导游证识别管理系统-旅行社质保金业务8家银行数据对接接口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市文旅局-市场管理一处-北京市旅行社业务管理系统-应用服务器-前置共享交换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市文旅局-行业管理二处-北京市旅游饭店业务管理系统-数据库服务器(mysql数据库)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192.169.225.83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市文旅局-行业管理二处-北京市旅游饭店业务管理系统-应用服务器(旅游调度中心安全局调用对接数据接口)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192.168.181.120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市文旅局-市场管理一处-北京市景区业务管理系系统-应用服务器(景区预约识别小程序后台)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市文旅局-市场管理一处-北京市旅游团队电子行程单(二期)和电子合同项目系统(京办小程序)-新文旅场所检查服务器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市文旅局-市场管理一处-北京市旅游团队电子行程单(二期)和电子合同项目系统-web应用服务器2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192.169.225.99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市文旅局-市场管理一处-北京市旅游团队电子行程单(二期)和电子合同项目系统-领队证业务管理服务器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市文旅局-市场管理一处-北京市旅游团队电子行程单(二期)和电子合同项目系统-旅游团队服务管理服务器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市文旅局-市场管理一处-北京市旅游团队电子行程单(二期)和电子合同项目系统-应急演练测试(靶机)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192.169.225.121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市文旅局-市场管理一处-北京市旅游团队电子行程单(二期)和电子合同项目系统-应用服务器(app升级后台)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市文旅局-市场管理一处-北京市旅游团队电子行程单(二期)和电子合同项目系统-应用服务器(北京市监察局前置机服务接口)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192.168.181.136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市文旅局-市场管理一处-北京市旅游团队电子行程单(二期)和电子合同项目系统-政务数据共享服务器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192.169.203.127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市文旅局-市场管理一处-北京市旅游行业信用监管平台-MySQL数据库服务器-重新部署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市文旅局-市场管理一处-北京市旅游行业信用监管平台-数据分析服务器-重新部署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市文旅局-市场管理一处-北京市旅游行业信用监管平台-应用服务器2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北京市旅游行业信用监管平台-信创环境适配数据库服务器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北京市文化和旅游局-互联网至政务外网服务器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192.169.225.111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信创OA短信前置机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192.169.202.138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旅游专项资金综合财务项目管理信息系统-内控系统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192.168.224.158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市文旅局-财务审计处-北京市文化和旅游局财务内控综合管理信息平台-数据库服务器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192.171.155.148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市文旅局-财务审计处-北京市文化和旅游局财务内控综合管理信息平台-应用服务器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192.171.155.124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市文旅局-宣传中心-北京市文化和旅游局网站-公共代理Web服务器2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市文旅局-宣传中心-北京市文化和旅游局网站-结果公示应用服务器1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市文旅局-宣传中心-北京市文化和旅游局网站-结果公示应用服务器2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whj3-app-3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172.26.66.108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whj3-db-2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172.26.66.110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whj3-db-3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172.26.66.111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whj3-qianzhi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192.168.147.235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whj-wzdb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whj-wzexchange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192.168.145.237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行政审批系统-测试服务器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172.26.68.47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市文旅局-研究室-假日旅游数据监测系统-应用服务器(入口)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192.168.181.113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市文旅局-研究室-假日旅游数据统计监测系统-应用服务器(负载测试)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192.169.225.92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市文旅局-研究室-假日旅游数据统计监测系统-应用服务器(数据上报小程序)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市文旅局-宣传中心-旅游产业数据共享服务平台-监测调度移动应用系统服务器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192.168.178.41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市文旅局-宣传中心-旅游产业数据共享服务平台-应用服务器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192.169.225.15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市文旅局-首都旅游产业运行监测调度平台一期(局网络安全态势感知系统)-安全服务器(天眼分析平台)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192.169.225.51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市文旅局-首都旅游产业运行监测调度平台一期(局网络安全态势感知系统)-安全服务器(天眼流量传感器)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市文旅局-首都旅游产业运行监测调度平台一期-web应用服务器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172.26.67.92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市文旅局-宣传中心-首都旅游产业运行监测调度平台一期(局网络安全态势感知系统)-安全服务器(VNTA控制台)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192.169.225.43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首都旅游云数据分析平台-应用服务器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172.26.67.94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市文旅局-宣传中心-影像资料库(北京旅游杂志)-文件服务器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192.168.178.96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市文旅局-宣传中心-影像资料库-Web服务器(windows-server)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172.26.67.101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市文旅局-宣传中心-影像资料库-数据库服务器(SQL-service)</w:t>
            </w:r>
          </w:p>
        </w:tc>
        <w:tc>
          <w:tcPr>
            <w:tcW w:w="1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192.168.181.147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</w:tr>
    </w:tbl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6" w:name="_Toc13996"/>
      <w:r>
        <w:rPr>
          <w:rFonts w:hint="eastAsia"/>
          <w:lang w:val="en-US" w:eastAsia="zh-CN"/>
        </w:rPr>
        <w:t>网络服务</w:t>
      </w:r>
      <w:bookmarkEnd w:id="16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</w:rPr>
      </w:pPr>
      <w:bookmarkStart w:id="17" w:name="_Toc2783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互联网链路带宽</w:t>
      </w:r>
      <w:bookmarkEnd w:id="17"/>
    </w:p>
    <w:p>
      <w:pPr>
        <w:pStyle w:val="11"/>
        <w:widowControl/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提供互联网链路带宽服务</w:t>
      </w:r>
      <w:r>
        <w:rPr>
          <w:rFonts w:hint="eastAsia" w:cs="宋体"/>
          <w:sz w:val="24"/>
          <w:szCs w:val="24"/>
          <w:lang w:val="en-US" w:eastAsia="zh-CN"/>
        </w:rPr>
        <w:t>360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Mb/月。</w:t>
      </w:r>
    </w:p>
    <w:p>
      <w:pPr>
        <w:pStyle w:val="11"/>
        <w:widowControl/>
        <w:spacing w:line="360" w:lineRule="auto"/>
        <w:ind w:firstLine="482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通过在控制台配置互联网地址流量带宽方式实现</w:t>
      </w:r>
      <w:r>
        <w:rPr>
          <w:rFonts w:hint="eastAsia" w:cs="宋体"/>
          <w:sz w:val="24"/>
          <w:szCs w:val="24"/>
          <w:lang w:val="en-US" w:eastAsia="zh-CN"/>
        </w:rPr>
        <w:t>360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Mb/月流量带宽。</w:t>
      </w:r>
    </w:p>
    <w:p>
      <w:pPr>
        <w:pStyle w:val="11"/>
        <w:widowControl/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配置截图：已完成合同约定提供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360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Mb/月流量带宽内容，如下图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：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r>
        <w:drawing>
          <wp:inline distT="0" distB="0" distL="114300" distR="114300">
            <wp:extent cx="5124450" cy="2428875"/>
            <wp:effectExtent l="0" t="0" r="0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18" w:name="_Toc13729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互联网IP地址租用服务</w:t>
      </w:r>
      <w:bookmarkEnd w:id="18"/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提供网络地址租用，并且提供网站域名备案服务。提供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24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个互联网ip地址租用。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通过在控制台配置服务器地址与互联网地址的映射关系实现。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根据合同要求，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已按合同要求分配24个互联网地址。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下表为已提供互联网地址列表，图为控制台映射关系截图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3389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670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990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互联网地址</w:t>
            </w:r>
          </w:p>
        </w:tc>
        <w:tc>
          <w:tcPr>
            <w:tcW w:w="2339" w:type="pct"/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使用单位名称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120.52.185.42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120.52.186.53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120.52.186.52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120.52.186.99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120.52.186.106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120.52.191.140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116.181.2.214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120.52.185.44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120.52.185.43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111.206.218.167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120.52.186.66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120.52.186.56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120.52.186.55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120.52.186.54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120.52.186.64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120.52.191.180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120.52.186.105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2"/>
                <w:lang w:val="en-US" w:eastAsia="zh-CN" w:bidi="ar"/>
              </w:rPr>
              <w:t>110.43.204.8</w:t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"http://192.168.151.220:5000/bj_gov_nat/bjinternetstaticnat/831337/change/?_changelist_filters=q=192.168.151.57" \o "http://192.168.151.220:5000/bj_gov_nat/bjinternetstaticnat/831337/change/?_changelist_filters=q=192.168.151.57" </w:instrTex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120.52.185.186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"http://192.168.151.220:5000/bj_gov_nat/bjinternetstaticnat/831345/change/?_changelist_filters=q=192.168.151.69" \o "http://192.168.151.220:5000/bj_gov_nat/bjinternetstaticnat/831345/change/?_changelist_filters=q=192.168.151.69" </w:instrTex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120.52.185.199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"http://192.168.151.220:5000/bj_gov_nat/bjinternetstaticnat/831872/change/?_changelist_filters=q=192.168.151.135" \o "http://192.168.151.220:5000/bj_gov_nat/bjinternetstaticnat/831872/change/?_changelist_filters=q=192.168.151.135" </w:instrTex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110.43.204.180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"http://192.168.151.220:5000/bj_gov_nat/bjinternetstaticnat/831346/change/?_changelist_filters=q=192.168.151.70" \o "http://192.168.151.220:5000/bj_gov_nat/bjinternetstaticnat/831346/change/?_changelist_filters=q=192.168.151.70" </w:instrTex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120.52.185.200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"http://192.168.151.220:5000/bj_gov_nat/bjinternetstaticnat/831189/change/?_changelist_filters=q=192.168.151.28" \o "http://192.168.151.220:5000/bj_gov_nat/bjinternetstaticnat/831189/change/?_changelist_filters=q=192.168.151.28" </w:instrTex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120.52.186.100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7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99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"http://192.168.151.220:5000/bj_gov_nat/bjinternetstaticnat/831873/change/?_changelist_filters=q=192.168.151.136" \o "http://192.168.151.220:5000/bj_gov_nat/bjinternetstaticnat/831873/change/?_changelist_filters=q=192.168.151.136" </w:instrTex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110.43.204.188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23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</w:t>
            </w:r>
          </w:p>
        </w:tc>
      </w:tr>
    </w:tbl>
    <w:p>
      <w:pPr>
        <w:bidi w:val="0"/>
        <w:rPr>
          <w:rFonts w:hint="eastAsia"/>
        </w:rPr>
      </w:pPr>
      <w:r>
        <w:drawing>
          <wp:inline distT="0" distB="0" distL="114300" distR="114300">
            <wp:extent cx="5705475" cy="86677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33290" cy="523875"/>
            <wp:effectExtent l="0" t="0" r="1016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01235" cy="628650"/>
            <wp:effectExtent l="0" t="0" r="18415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9625" cy="742950"/>
            <wp:effectExtent l="0" t="0" r="9525" b="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91660" cy="704850"/>
            <wp:effectExtent l="0" t="0" r="889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95875" cy="723900"/>
            <wp:effectExtent l="0" t="0" r="9525" b="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14950" cy="723900"/>
            <wp:effectExtent l="0" t="0" r="0" b="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15635" cy="676275"/>
            <wp:effectExtent l="0" t="0" r="18415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0810" cy="657225"/>
            <wp:effectExtent l="0" t="0" r="8890" b="952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85815" cy="781050"/>
            <wp:effectExtent l="0" t="0" r="635" b="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810250" cy="733425"/>
            <wp:effectExtent l="0" t="0" r="0" b="952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67375" cy="714375"/>
            <wp:effectExtent l="0" t="0" r="9525" b="952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43575" cy="800100"/>
            <wp:effectExtent l="0" t="0" r="9525" b="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91200" cy="657225"/>
            <wp:effectExtent l="0" t="0" r="0" b="952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657225"/>
            <wp:effectExtent l="0" t="0" r="8890" b="9525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48935" cy="628650"/>
            <wp:effectExtent l="0" t="0" r="18415" b="0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893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710" cy="600075"/>
            <wp:effectExtent l="0" t="0" r="8890" b="9525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53710" cy="590550"/>
            <wp:effectExtent l="0" t="0" r="8890" b="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72760" cy="527050"/>
            <wp:effectExtent l="0" t="0" r="8890" b="6350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16170" cy="632460"/>
            <wp:effectExtent l="0" t="0" r="17780" b="15240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51120" cy="629920"/>
            <wp:effectExtent l="0" t="0" r="11430" b="17780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21665"/>
            <wp:effectExtent l="0" t="0" r="6985" b="6985"/>
            <wp:docPr id="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617855"/>
            <wp:effectExtent l="0" t="0" r="7620" b="10795"/>
            <wp:docPr id="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629920"/>
            <wp:effectExtent l="0" t="0" r="11430" b="17780"/>
            <wp:docPr id="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19" w:name="_Toc32038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网络负载均衡服务</w:t>
      </w:r>
      <w:bookmarkEnd w:id="19"/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提供主机应用集群负载均衡服务，提供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lang w:val="en-US" w:eastAsia="zh-CN" w:bidi="ar-SA"/>
        </w:rPr>
        <w:t>6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lang w:val="en-US" w:eastAsia="zh-CN" w:bidi="ar-SA"/>
        </w:rPr>
        <w:t>个IP的提供主机应用集群负载均衡服务。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在负载均衡设备上配置负载地址，负载地址配置后端服务器集群。根据开发需求配置后端集群节点数。能够为用户的应用发布提供包括多数据中 心负载均衡、多链路负载均衡、服务器负载均衡的全方位解决方案。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根据合同要求，下表为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按合同要求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已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分配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负载均衡服务列表，包含负载地址与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6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个IP的主机应用集群对应关系，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6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个应用集群地址为后端server地址：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1215"/>
        <w:gridCol w:w="1665"/>
        <w:gridCol w:w="1260"/>
        <w:gridCol w:w="1035"/>
        <w:gridCol w:w="1500"/>
        <w:gridCol w:w="11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7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名称</w:t>
            </w:r>
          </w:p>
        </w:tc>
        <w:tc>
          <w:tcPr>
            <w:tcW w:w="9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负载均衡ip</w:t>
            </w:r>
          </w:p>
        </w:tc>
        <w:tc>
          <w:tcPr>
            <w:tcW w:w="7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监听器名称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监听端口(前端)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后端server</w:t>
            </w:r>
          </w:p>
        </w:tc>
        <w:tc>
          <w:tcPr>
            <w:tcW w:w="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监听端口(后端)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1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北京市文化和旅游局_192_168_151_57</w:t>
            </w:r>
          </w:p>
        </w:tc>
        <w:tc>
          <w:tcPr>
            <w:tcW w:w="97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192.168.151.57</w:t>
            </w:r>
          </w:p>
        </w:tc>
        <w:tc>
          <w:tcPr>
            <w:tcW w:w="73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listen_53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TCP-443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listen_443</w:t>
            </w:r>
          </w:p>
        </w:tc>
        <w:tc>
          <w:tcPr>
            <w:tcW w:w="60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UDP-53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TCP-80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TCP-443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192.168.179.29</w:t>
            </w:r>
          </w:p>
        </w:tc>
        <w:tc>
          <w:tcPr>
            <w:tcW w:w="6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1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7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60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192.168.179.30</w:t>
            </w:r>
          </w:p>
        </w:tc>
        <w:tc>
          <w:tcPr>
            <w:tcW w:w="6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71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北京市文化和旅游局_192_168_151_69</w:t>
            </w:r>
          </w:p>
        </w:tc>
        <w:tc>
          <w:tcPr>
            <w:tcW w:w="97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192.168.151.69</w:t>
            </w:r>
          </w:p>
        </w:tc>
        <w:tc>
          <w:tcPr>
            <w:tcW w:w="73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listen_80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listen_443</w:t>
            </w:r>
          </w:p>
        </w:tc>
        <w:tc>
          <w:tcPr>
            <w:tcW w:w="60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TCP-80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TCP-443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192.168.179.20</w:t>
            </w:r>
          </w:p>
        </w:tc>
        <w:tc>
          <w:tcPr>
            <w:tcW w:w="6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1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7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60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192.168.179.22</w:t>
            </w:r>
          </w:p>
        </w:tc>
        <w:tc>
          <w:tcPr>
            <w:tcW w:w="6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71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北京市文化和旅游局_192_168_151_70</w:t>
            </w:r>
          </w:p>
        </w:tc>
        <w:tc>
          <w:tcPr>
            <w:tcW w:w="97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192.168.151.70</w:t>
            </w:r>
          </w:p>
        </w:tc>
        <w:tc>
          <w:tcPr>
            <w:tcW w:w="73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listen_80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listen_443</w:t>
            </w:r>
          </w:p>
        </w:tc>
        <w:tc>
          <w:tcPr>
            <w:tcW w:w="60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TCP-80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TCP-443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192.168.179.26</w:t>
            </w:r>
          </w:p>
        </w:tc>
        <w:tc>
          <w:tcPr>
            <w:tcW w:w="6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71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7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3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60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192.168.179.38</w:t>
            </w:r>
          </w:p>
        </w:tc>
        <w:tc>
          <w:tcPr>
            <w:tcW w:w="6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333333"/>
                <w:sz w:val="20"/>
                <w:szCs w:val="20"/>
                <w:u w:val="none"/>
              </w:rPr>
            </w:pPr>
          </w:p>
        </w:tc>
      </w:tr>
    </w:tbl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</w:pPr>
      <w:bookmarkStart w:id="20" w:name="_Toc14905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远程接入服务</w:t>
      </w:r>
      <w:bookmarkEnd w:id="20"/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bookmarkStart w:id="21" w:name="_Hlk490832354"/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每个账号结合身份验通过VPN远程接入堡垒机进行维护，共提供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16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个远程接入账号。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在北京市政务云平台的SSL VPN设备中创建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16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个进行远程访问账号。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根据合同要求，已提供完成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16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个远程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接入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账号提供。下表为已提供远程接入账号列表，图为北京市政务云平台的SSL VPN设备为本项目提供账号截图。</w:t>
      </w:r>
    </w:p>
    <w:bookmarkEnd w:id="21"/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3861"/>
        <w:gridCol w:w="3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836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2267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远程接入账号</w:t>
            </w:r>
          </w:p>
        </w:tc>
        <w:tc>
          <w:tcPr>
            <w:tcW w:w="189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使用单位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lyw-whsp2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lyw-whsp1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lywcwgl-2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bjswhjvpn2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hwjl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lvwsjk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lyw-n8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Bjswhjwzvpn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bjswhjwzvpn2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lywshenyang-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slywshenyang-2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lyw-n2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lyw-n3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lyw-n4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lyw-n5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3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26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lyw-n6</w:t>
            </w:r>
          </w:p>
        </w:tc>
        <w:tc>
          <w:tcPr>
            <w:tcW w:w="189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北京市文化和旅游局</w:t>
            </w:r>
          </w:p>
        </w:tc>
      </w:tr>
    </w:tbl>
    <w:p>
      <w:pPr>
        <w:bidi w:val="0"/>
        <w:rPr>
          <w:rFonts w:hint="eastAsia"/>
        </w:rPr>
      </w:pPr>
      <w:r>
        <w:drawing>
          <wp:inline distT="0" distB="0" distL="114300" distR="114300">
            <wp:extent cx="5270500" cy="1237615"/>
            <wp:effectExtent l="0" t="0" r="6350" b="635"/>
            <wp:docPr id="5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46675" cy="340360"/>
            <wp:effectExtent l="0" t="0" r="15875" b="2540"/>
            <wp:docPr id="5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01590" cy="334010"/>
            <wp:effectExtent l="0" t="0" r="3810" b="8890"/>
            <wp:docPr id="5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91125" cy="494030"/>
            <wp:effectExtent l="0" t="0" r="9525" b="1270"/>
            <wp:docPr id="5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64125" cy="297180"/>
            <wp:effectExtent l="0" t="0" r="3175" b="7620"/>
            <wp:docPr id="6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/>
        </w:rPr>
      </w:pPr>
    </w:p>
    <w:p>
      <w:pPr>
        <w:bidi w:val="0"/>
        <w:rPr>
          <w:rFonts w:hint="eastAsia"/>
          <w:lang w:val="en-US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3"/>
        <w:numPr>
          <w:ilvl w:val="0"/>
          <w:numId w:val="1"/>
        </w:numPr>
        <w:bidi w:val="0"/>
        <w:rPr>
          <w:rFonts w:hint="eastAsia" w:ascii="宋体" w:hAnsi="宋体" w:eastAsia="宋体" w:cs="宋体"/>
        </w:rPr>
      </w:pPr>
      <w:bookmarkStart w:id="22" w:name="_Toc18828"/>
      <w:r>
        <w:rPr>
          <w:rFonts w:hint="eastAsia"/>
          <w:lang w:val="en-US" w:eastAsia="zh-CN"/>
        </w:rPr>
        <w:t>云主机深度监控服务</w:t>
      </w:r>
      <w:bookmarkEnd w:id="22"/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eastAsia="zh-CN"/>
        </w:rPr>
      </w:pPr>
      <w:bookmarkStart w:id="23" w:name="_Toc14683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7*24小时云主机深度监控服务</w:t>
      </w:r>
      <w:bookmarkEnd w:id="23"/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在主机中部署探针深度监测主机运行情况。提供7x24小时运维值守、30分钟内应急响应，不仅限于机房巡检、云平台和硬件监控，同时提供应急问题排查协助、协助处理应用故障等服务，并提供相关报告。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：通过每日白天及晚上对云主机性能进行1次监控，判断云主机是否正常。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提供7x24小时运维值守、30分钟内应急响应，不仅限于机房巡检、云平台和硬件监控，同时提供应急问题排查协助、协助处理应用故障等服务，并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根据实际场景按客户要求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提供相关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月报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。</w:t>
      </w:r>
    </w:p>
    <w:p>
      <w:pPr>
        <w:pStyle w:val="11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主机监控及重要业务升级时限：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30分钟</w:t>
      </w:r>
    </w:p>
    <w:p>
      <w:pPr>
        <w:pStyle w:val="11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通告范围：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运维群，电话通知</w:t>
      </w:r>
    </w:p>
    <w:p>
      <w:pPr>
        <w:pStyle w:val="11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首次通告：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需在故障确认后10分钟内，通告故障基本影响、故障初步分析、故障处理安排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故障处理进展同步：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首次通告后，每20分钟在通告范围指定的群内同步故障处理进展，无进展也要同步，直至故障处理完成。</w:t>
      </w:r>
    </w:p>
    <w:p>
      <w:pPr>
        <w:pStyle w:val="11"/>
        <w:spacing w:line="360" w:lineRule="auto"/>
        <w:ind w:firstLine="480" w:firstLineChars="20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本月监控数据如下：</w:t>
      </w:r>
    </w:p>
    <w:bookmarkEnd w:id="14"/>
    <w:tbl>
      <w:tblPr>
        <w:tblStyle w:val="9"/>
        <w:tblW w:w="821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2000"/>
        <w:gridCol w:w="2025"/>
        <w:gridCol w:w="186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日期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白班负责人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夜班负责人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是否正常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王春光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杨涵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30日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张昊</w:t>
            </w:r>
          </w:p>
        </w:tc>
        <w:tc>
          <w:tcPr>
            <w:tcW w:w="1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</w:t>
            </w:r>
          </w:p>
        </w:tc>
      </w:tr>
    </w:tbl>
    <w:p>
      <w:pPr>
        <w:tabs>
          <w:tab w:val="left" w:pos="894"/>
        </w:tabs>
        <w:bidi w:val="0"/>
        <w:jc w:val="left"/>
        <w:rPr>
          <w:lang w:val="en-US" w:eastAsia="zh-CN"/>
        </w:rPr>
      </w:pPr>
    </w:p>
    <w:p>
      <w:pPr>
        <w:pStyle w:val="4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/>
        </w:rPr>
      </w:pPr>
      <w:bookmarkStart w:id="24" w:name="_Toc31815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lang w:val="en-US" w:eastAsia="zh-CN"/>
        </w:rPr>
        <w:t>WAF防护服务</w:t>
      </w:r>
      <w:bookmarkEnd w:id="24"/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合同要求: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在网站前端架设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24个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WAF防护服务，保证用户网站对已知安全隐患进行防护，实时升级漏洞补丁，配置防护策略，可起到前端防护作用。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Style w:val="13"/>
          <w:rFonts w:hint="eastAsia" w:ascii="宋体" w:hAnsi="宋体" w:eastAsia="宋体" w:cs="宋体"/>
          <w:b/>
          <w:bCs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通过在网站前端部署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24个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WAF防护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ip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服务，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预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启动WAF防护模式，实现用户网站对已知安全隐患进行防护，下图为本项目WAF服务部署上线截图：</w:t>
      </w:r>
    </w:p>
    <w:p>
      <w:pPr>
        <w:pStyle w:val="14"/>
        <w:spacing w:line="360" w:lineRule="auto"/>
        <w:rPr>
          <w:rFonts w:hint="default" w:ascii="宋体" w:hAnsi="宋体" w:eastAsia="宋体" w:cs="宋体"/>
          <w:i w:val="0"/>
          <w:iCs w:val="0"/>
          <w:color w:val="000000"/>
          <w:kern w:val="0"/>
          <w:sz w:val="16"/>
          <w:szCs w:val="16"/>
          <w:u w:val="none"/>
          <w:lang w:val="en-US" w:eastAsia="zh-CN" w:bidi="ar"/>
        </w:rPr>
      </w:pPr>
      <w:r>
        <w:drawing>
          <wp:inline distT="0" distB="0" distL="114300" distR="114300">
            <wp:extent cx="5222875" cy="4460875"/>
            <wp:effectExtent l="0" t="0" r="9525" b="9525"/>
            <wp:docPr id="4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9" w:type="default"/>
      <w:footerReference r:id="rId10" w:type="default"/>
      <w:pgSz w:w="11906" w:h="16838"/>
      <w:pgMar w:top="1440" w:right="1803" w:bottom="1440" w:left="1803" w:header="851" w:footer="992" w:gutter="0"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clear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1" name="文本框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UJagQ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FCWo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5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L3o+8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kwpMUyj4pfv3y4/&#10;fl1+fiU4g0C1C3PE7RwiY/PWNmib4TzgMPFuSq/TF4wI/JD3fJVXNJHwdGk2nc3GcHH4hg3ws8fr&#10;zof4TlhNkpFTj/q1srLTNsQudAhJ2YzdSKXaGipDapB4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gvej7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16" w:lineRule="auto"/>
      <w:jc w:val="both"/>
      <w:textAlignment w:val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6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192" w:lineRule="auto"/>
      <w:jc w:val="both"/>
      <w:textAlignment w:val="auto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  <w:rPr>
        <w:rFonts w:hint="default"/>
        <w:lang w:val="en-US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30" name="图片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BD49F"/>
    <w:multiLevelType w:val="multilevel"/>
    <w:tmpl w:val="181BD49F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 w:ascii="宋体" w:hAnsi="宋体" w:eastAsia="宋体" w:cs="宋体"/>
        <w:sz w:val="28"/>
        <w:szCs w:val="28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  <w:sz w:val="28"/>
        <w:szCs w:val="28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yYWI1NmY4MDFmNmEwYmE0MjNlZDc4NzA3ZThlODYifQ=="/>
  </w:docVars>
  <w:rsids>
    <w:rsidRoot w:val="00000000"/>
    <w:rsid w:val="04A647CA"/>
    <w:rsid w:val="059E7538"/>
    <w:rsid w:val="08F03AD4"/>
    <w:rsid w:val="08FD2E27"/>
    <w:rsid w:val="097C01EF"/>
    <w:rsid w:val="0B1B4E9F"/>
    <w:rsid w:val="0BA15CEB"/>
    <w:rsid w:val="13D326C9"/>
    <w:rsid w:val="14504752"/>
    <w:rsid w:val="14E44553"/>
    <w:rsid w:val="160C28FB"/>
    <w:rsid w:val="16CD208A"/>
    <w:rsid w:val="1770232A"/>
    <w:rsid w:val="19681569"/>
    <w:rsid w:val="1B6B3888"/>
    <w:rsid w:val="1D8E2B76"/>
    <w:rsid w:val="1DE321E7"/>
    <w:rsid w:val="1EF74148"/>
    <w:rsid w:val="1F0005DA"/>
    <w:rsid w:val="1F7A6B27"/>
    <w:rsid w:val="21A1710B"/>
    <w:rsid w:val="223618C6"/>
    <w:rsid w:val="24615EF2"/>
    <w:rsid w:val="2718187C"/>
    <w:rsid w:val="285F2D5E"/>
    <w:rsid w:val="289065BB"/>
    <w:rsid w:val="289E3886"/>
    <w:rsid w:val="29226266"/>
    <w:rsid w:val="29272553"/>
    <w:rsid w:val="2B82123D"/>
    <w:rsid w:val="2D4B5BDA"/>
    <w:rsid w:val="2D9139BA"/>
    <w:rsid w:val="306F7E5D"/>
    <w:rsid w:val="3169211B"/>
    <w:rsid w:val="32566F80"/>
    <w:rsid w:val="328D0D4A"/>
    <w:rsid w:val="348312B7"/>
    <w:rsid w:val="36935099"/>
    <w:rsid w:val="36A91D74"/>
    <w:rsid w:val="39994CA8"/>
    <w:rsid w:val="39E41315"/>
    <w:rsid w:val="3AD62A0C"/>
    <w:rsid w:val="3C1854D1"/>
    <w:rsid w:val="3C6C5574"/>
    <w:rsid w:val="3C7324DC"/>
    <w:rsid w:val="400C0527"/>
    <w:rsid w:val="40BA3621"/>
    <w:rsid w:val="46026DAB"/>
    <w:rsid w:val="462F1B6A"/>
    <w:rsid w:val="466E2692"/>
    <w:rsid w:val="48032EE4"/>
    <w:rsid w:val="484D421B"/>
    <w:rsid w:val="49D86900"/>
    <w:rsid w:val="4A6F76D2"/>
    <w:rsid w:val="4B4D6D1A"/>
    <w:rsid w:val="4C8E75EA"/>
    <w:rsid w:val="4F204746"/>
    <w:rsid w:val="5248023B"/>
    <w:rsid w:val="52E42162"/>
    <w:rsid w:val="55F06C20"/>
    <w:rsid w:val="58285D72"/>
    <w:rsid w:val="59835FFD"/>
    <w:rsid w:val="59E049DA"/>
    <w:rsid w:val="5B74034D"/>
    <w:rsid w:val="5B824A07"/>
    <w:rsid w:val="60145C01"/>
    <w:rsid w:val="641206A9"/>
    <w:rsid w:val="67AE2630"/>
    <w:rsid w:val="68116CE0"/>
    <w:rsid w:val="68A531EF"/>
    <w:rsid w:val="6A6017CF"/>
    <w:rsid w:val="6A90057A"/>
    <w:rsid w:val="6AED777A"/>
    <w:rsid w:val="6B6A4927"/>
    <w:rsid w:val="6C727F37"/>
    <w:rsid w:val="6CD73AC3"/>
    <w:rsid w:val="6DE309C1"/>
    <w:rsid w:val="70A22DB5"/>
    <w:rsid w:val="74A62A55"/>
    <w:rsid w:val="75D565B0"/>
    <w:rsid w:val="76013341"/>
    <w:rsid w:val="763E3A84"/>
    <w:rsid w:val="7860333A"/>
    <w:rsid w:val="79892D64"/>
    <w:rsid w:val="7A0348D0"/>
    <w:rsid w:val="7AAD65DE"/>
    <w:rsid w:val="7B971768"/>
    <w:rsid w:val="7DD722F0"/>
    <w:rsid w:val="7DFB58B2"/>
    <w:rsid w:val="7ED92098"/>
    <w:rsid w:val="7F43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spacing w:before="340" w:after="330" w:line="360" w:lineRule="auto"/>
      <w:jc w:val="left"/>
      <w:outlineLvl w:val="0"/>
    </w:pPr>
    <w:rPr>
      <w:rFonts w:ascii="宋体" w:hAnsi="宋体" w:eastAsia="宋体"/>
      <w:bCs/>
      <w:kern w:val="44"/>
      <w:sz w:val="28"/>
      <w:szCs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宋体" w:hAnsi="宋体" w:eastAsia="宋体" w:cstheme="majorBidi"/>
      <w:bCs/>
      <w:sz w:val="28"/>
      <w:szCs w:val="32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autoRedefine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5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6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7">
    <w:name w:val="toc 1"/>
    <w:basedOn w:val="1"/>
    <w:next w:val="1"/>
    <w:autoRedefine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8">
    <w:name w:val="toc 2"/>
    <w:basedOn w:val="1"/>
    <w:next w:val="1"/>
    <w:autoRedefine/>
    <w:unhideWhenUsed/>
    <w:qFormat/>
    <w:uiPriority w:val="39"/>
    <w:pPr>
      <w:spacing w:line="360" w:lineRule="auto"/>
      <w:ind w:left="200"/>
      <w:jc w:val="left"/>
    </w:pPr>
    <w:rPr>
      <w:rFonts w:ascii="宋体" w:hAnsi="宋体" w:eastAsia="宋体"/>
      <w:smallCaps/>
      <w:sz w:val="24"/>
    </w:rPr>
  </w:style>
  <w:style w:type="paragraph" w:customStyle="1" w:styleId="11">
    <w:name w:val="normal_para"/>
    <w:autoRedefine/>
    <w:qFormat/>
    <w:uiPriority w:val="0"/>
    <w:pPr>
      <w:spacing w:line="360" w:lineRule="auto"/>
      <w:ind w:firstLine="624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12">
    <w:name w:val="font31"/>
    <w:basedOn w:val="10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">
    <w:name w:val="special_para"/>
    <w:autoRedefine/>
    <w:qFormat/>
    <w:uiPriority w:val="0"/>
    <w:rPr>
      <w:rFonts w:ascii="宋体" w:hAnsi="宋体" w:eastAsia="宋体"/>
      <w:sz w:val="24"/>
    </w:rPr>
  </w:style>
  <w:style w:type="paragraph" w:styleId="14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character" w:customStyle="1" w:styleId="15">
    <w:name w:val="font11"/>
    <w:basedOn w:val="10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  <w:style w:type="character" w:customStyle="1" w:styleId="16">
    <w:name w:val="font21"/>
    <w:basedOn w:val="10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7">
    <w:name w:val="font01"/>
    <w:basedOn w:val="10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18">
    <w:name w:val="font41"/>
    <w:basedOn w:val="10"/>
    <w:autoRedefine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footer" Target="footer1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谢艳</cp:lastModifiedBy>
  <dcterms:modified xsi:type="dcterms:W3CDTF">2025-12-01T09:05:12Z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1B24D958E1FF40DA9AF07536E458D370_13</vt:lpwstr>
  </property>
</Properties>
</file>