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FF5900"/>
          <w:sz w:val="44"/>
        </w:rPr>
        <w:t>AgroCalc КЛМ</w:t>
      </w:r>
    </w:p>
    <w:p>
      <w:pPr>
        <w:spacing w:after="40"/>
        <w:jc w:val="center"/>
      </w:pPr>
      <w:r>
        <w:rPr>
          <w:b/>
          <w:color w:val="4D4D4D"/>
          <w:sz w:val="26"/>
        </w:rPr>
        <w:t>Инструкция пользователя</w:t>
      </w:r>
    </w:p>
    <w:p>
      <w:pPr>
        <w:spacing w:after="320"/>
        <w:jc w:val="center"/>
      </w:pPr>
      <w:r>
        <w:rPr>
          <w:color w:val="0072C6"/>
          <w:sz w:val="20"/>
          <w:u w:val="single"/>
        </w:rPr>
        <w:t>calc.klm-fid.by</w:t>
      </w:r>
    </w:p>
    <w:p>
      <w:pPr>
        <w:spacing w:before="280" w:after="80"/>
      </w:pPr>
      <w:r>
        <w:rPr>
          <w:b/>
          <w:color w:val="FF5900"/>
          <w:sz w:val="26"/>
        </w:rPr>
        <w:t>1. Что такое AgroCalc КЛМ</w:t>
      </w:r>
    </w:p>
    <w:p>
      <w:pPr>
        <w:spacing w:before="40" w:after="40"/>
      </w:pPr>
      <w:r>
        <w:rPr>
          <w:b w:val="0"/>
          <w:i w:val="0"/>
          <w:color w:val="4D4D4D"/>
          <w:sz w:val="20"/>
        </w:rPr>
        <w:t>Мобильный веб-калькулятор для расчёта дозы консерванта при заготовке силоса и сенажа. Работает в браузере на телефоне и компьютере — устанавливать ничего не нужно. Результаты сохраняются в истории и синхронизируются с Google Таблицей ООО «КЛМ».</w:t>
      </w:r>
    </w:p>
    <w:p>
      <w:pPr>
        <w:spacing w:before="280" w:after="80"/>
      </w:pPr>
      <w:r>
        <w:rPr>
          <w:b/>
          <w:color w:val="FF5900"/>
          <w:sz w:val="26"/>
        </w:rPr>
        <w:t>2. Выбор консерванта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СилКорм® Про</w:t>
      </w:r>
      <w:r>
        <w:rPr>
          <w:color w:val="4D4D4D"/>
          <w:sz w:val="20"/>
        </w:rPr>
        <w:t xml:space="preserve"> — химический жидкий консервант (муравьиная кислота). Работает при любой влажности.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EGALIS Ferment</w:t>
      </w:r>
      <w:r>
        <w:rPr>
          <w:color w:val="4D4D4D"/>
          <w:sz w:val="20"/>
        </w:rPr>
        <w:t xml:space="preserve"> — биологический порошковый консервант (МКБ-штаммы). Эффективен только при влажности 45–75 %.</w:t>
      </w:r>
    </w:p>
    <w:p>
      <w:pPr>
        <w:spacing w:before="280" w:after="80"/>
      </w:pPr>
      <w:r>
        <w:rPr>
          <w:b/>
          <w:color w:val="FF5900"/>
          <w:sz w:val="26"/>
        </w:rPr>
        <w:t>3. Выбор сырья</w:t>
      </w:r>
    </w:p>
    <w:p>
      <w:pPr>
        <w:spacing w:before="40" w:after="40"/>
      </w:pPr>
      <w:r>
        <w:rPr>
          <w:b w:val="0"/>
          <w:i w:val="0"/>
          <w:color w:val="4D4D4D"/>
          <w:sz w:val="20"/>
        </w:rPr>
        <w:t>Нажмите нужную культуру: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Злаковые травы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Бобовые / Однолетние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Кукуруза (силос)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Пшеничное зерно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Злаково-клеверная смесь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Люцерна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Бобовые культуры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Сорго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Целые растения / wholecrop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Смешанная масса</w:t>
      </w:r>
    </w:p>
    <w:p>
      <w:pPr>
        <w:spacing w:before="280" w:after="80"/>
      </w:pPr>
      <w:r>
        <w:rPr>
          <w:b/>
          <w:color w:val="FF5900"/>
          <w:sz w:val="26"/>
        </w:rPr>
        <w:t>4. Параметры заготовки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F5900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520"/>
            <w:shd w:val="clear" w:color="auto" w:fill="FF5900"/>
          </w:tcPr>
          <w:p>
            <w:r>
              <w:rPr>
                <w:b/>
                <w:color w:val="FFFFFF"/>
                <w:sz w:val="20"/>
              </w:rPr>
              <w:t>Что вводить</w:t>
            </w:r>
          </w:p>
        </w:tc>
      </w:tr>
      <w:tr>
        <w:tc>
          <w:tcPr>
            <w:tcW w:type="dxa" w:w="3118"/>
            <w:shd w:val="clear" w:color="auto" w:fill="FFF8F5"/>
          </w:tcPr>
          <w:p>
            <w:r>
              <w:rPr>
                <w:b/>
                <w:color w:val="4D4D4D"/>
                <w:sz w:val="19"/>
              </w:rPr>
              <w:t>Масса, т</w:t>
            </w:r>
          </w:p>
        </w:tc>
        <w:tc>
          <w:tcPr>
            <w:tcW w:type="dxa" w:w="6520"/>
            <w:shd w:val="clear" w:color="auto" w:fill="FFF8F5"/>
          </w:tcPr>
          <w:p>
            <w:r>
              <w:rPr>
                <w:b w:val="0"/>
                <w:color w:val="4D4D4D"/>
                <w:sz w:val="19"/>
              </w:rPr>
              <w:t>Общая масса закладываемого сырья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4D4D4D"/>
                <w:sz w:val="19"/>
              </w:rPr>
              <w:t>Влажность, %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4D4D4D"/>
                <w:sz w:val="19"/>
              </w:rPr>
              <w:t>Влажность сырья — ползунком или вводом цифры. Влияет на дозу и выбор консерванта</w:t>
            </w:r>
          </w:p>
        </w:tc>
      </w:tr>
      <w:tr>
        <w:tc>
          <w:tcPr>
            <w:tcW w:type="dxa" w:w="3118"/>
            <w:shd w:val="clear" w:color="auto" w:fill="FFF8F5"/>
          </w:tcPr>
          <w:p>
            <w:r>
              <w:rPr>
                <w:b/>
                <w:color w:val="4D4D4D"/>
                <w:sz w:val="19"/>
              </w:rPr>
              <w:t>Производительность, т/ч</w:t>
            </w:r>
          </w:p>
        </w:tc>
        <w:tc>
          <w:tcPr>
            <w:tcW w:type="dxa" w:w="6520"/>
            <w:shd w:val="clear" w:color="auto" w:fill="FFF8F5"/>
          </w:tcPr>
          <w:p>
            <w:r>
              <w:rPr>
                <w:b w:val="0"/>
                <w:color w:val="4D4D4D"/>
                <w:sz w:val="19"/>
              </w:rPr>
              <w:t>Часовая производительность техники — для расчёта расхода насоса</w:t>
            </w:r>
          </w:p>
        </w:tc>
      </w:tr>
    </w:tbl>
    <w:p>
      <w:pPr>
        <w:spacing w:before="280" w:after="80"/>
      </w:pPr>
      <w:r>
        <w:rPr>
          <w:b/>
          <w:color w:val="FF5900"/>
          <w:sz w:val="26"/>
        </w:rPr>
        <w:t>5. Способ внесения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Через комбайн</w:t>
      </w:r>
      <w:r>
        <w:rPr>
          <w:color w:val="4D4D4D"/>
          <w:sz w:val="20"/>
        </w:rPr>
        <w:t xml:space="preserve"> — стандартный. Расчёт расхода насоса. Переключатель «Послойное внесение» задаёт дозу 75% / 100% / 125% по слоям.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Опрыскиватель</w:t>
      </w:r>
      <w:r>
        <w:rPr>
          <w:color w:val="4D4D4D"/>
          <w:sz w:val="20"/>
        </w:rPr>
        <w:t xml:space="preserve"> — расчёт с разбавлением водой.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Ручное внесение</w:t>
      </w:r>
      <w:r>
        <w:rPr>
          <w:color w:val="4D4D4D"/>
          <w:sz w:val="20"/>
        </w:rPr>
        <w:t xml:space="preserve"> — без дополнительных коэффициентов.</w:t>
      </w:r>
    </w:p>
    <w:p>
      <w:pPr>
        <w:spacing w:before="280" w:after="80"/>
      </w:pPr>
      <w:r>
        <w:rPr>
          <w:b/>
          <w:color w:val="FF5900"/>
          <w:sz w:val="26"/>
        </w:rPr>
        <w:t>6. Результат расчёта</w:t>
      </w:r>
    </w:p>
    <w:p>
      <w:pPr>
        <w:spacing w:before="40" w:after="40"/>
      </w:pPr>
      <w:r>
        <w:rPr>
          <w:b w:val="0"/>
          <w:i w:val="0"/>
          <w:color w:val="4D4D4D"/>
          <w:sz w:val="20"/>
        </w:rPr>
        <w:t>После нажатия «Сформировать расчёт» приложение показывает: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Дозу консерванта (л/т или г/т)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Общий расход на всю партию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Расход насоса (л/ч и л/мин) — при работе через комбайн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Стоимость препарата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• Предупреждения и рекомендации по влажности</w:t>
      </w:r>
    </w:p>
    <w:p>
      <w:pPr>
        <w:spacing w:before="280" w:after="80"/>
      </w:pPr>
      <w:r>
        <w:rPr>
          <w:b/>
          <w:color w:val="FF5900"/>
          <w:sz w:val="26"/>
        </w:rPr>
        <w:t>7. Сигналы влажности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4D4D4D"/>
          </w:tcPr>
          <w:p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6236"/>
            <w:shd w:val="clear" w:color="auto" w:fill="4D4D4D"/>
          </w:tcPr>
          <w:p>
            <w:r>
              <w:rPr>
                <w:b/>
                <w:color w:val="FFFFFF"/>
                <w:sz w:val="20"/>
              </w:rPr>
              <w:t>Сообщение приложения</w:t>
            </w:r>
          </w:p>
        </w:tc>
      </w:tr>
      <w:tr>
        <w:tc>
          <w:tcPr>
            <w:tcW w:type="dxa" w:w="3402"/>
            <w:shd w:val="clear" w:color="auto" w:fill="FFF0F0"/>
          </w:tcPr>
          <w:p>
            <w:r>
              <w:rPr>
                <w:b/>
                <w:color w:val="4D4D4D"/>
                <w:sz w:val="19"/>
              </w:rPr>
              <w:t>&lt; 30 %</w:t>
            </w:r>
          </w:p>
        </w:tc>
        <w:tc>
          <w:tcPr>
            <w:tcW w:type="dxa" w:w="6236"/>
            <w:shd w:val="clear" w:color="auto" w:fill="FFF0F0"/>
          </w:tcPr>
          <w:p>
            <w:r>
              <w:rPr>
                <w:b w:val="0"/>
                <w:color w:val="4D4D4D"/>
                <w:sz w:val="19"/>
              </w:rPr>
              <w:t>Консервант не нужен — сырьё слишком сухое</w:t>
            </w:r>
          </w:p>
        </w:tc>
      </w:tr>
      <w:tr>
        <w:tc>
          <w:tcPr>
            <w:tcW w:type="dxa" w:w="3402"/>
            <w:shd w:val="clear" w:color="auto" w:fill="FFF3E0"/>
          </w:tcPr>
          <w:p>
            <w:r>
              <w:rPr>
                <w:b/>
                <w:color w:val="4D4D4D"/>
                <w:sz w:val="19"/>
              </w:rPr>
              <w:t>30–44 % (выбран EGALIS)</w:t>
            </w:r>
          </w:p>
        </w:tc>
        <w:tc>
          <w:tcPr>
            <w:tcW w:type="dxa" w:w="6236"/>
            <w:shd w:val="clear" w:color="auto" w:fill="FFF3E0"/>
          </w:tcPr>
          <w:p>
            <w:r>
              <w:rPr>
                <w:b w:val="0"/>
                <w:color w:val="4D4D4D"/>
                <w:sz w:val="19"/>
              </w:rPr>
              <w:t>EGALIS неэффективен — переключитесь на СилКорм Про</w:t>
            </w:r>
          </w:p>
        </w:tc>
      </w:tr>
      <w:tr>
        <w:tc>
          <w:tcPr>
            <w:tcW w:type="dxa" w:w="3402"/>
            <w:shd w:val="clear" w:color="auto" w:fill="F1FBF1"/>
          </w:tcPr>
          <w:p>
            <w:r>
              <w:rPr>
                <w:b/>
                <w:color w:val="4D4D4D"/>
                <w:sz w:val="19"/>
              </w:rPr>
              <w:t>45–75 %</w:t>
            </w:r>
          </w:p>
        </w:tc>
        <w:tc>
          <w:tcPr>
            <w:tcW w:type="dxa" w:w="6236"/>
            <w:shd w:val="clear" w:color="auto" w:fill="F1FBF1"/>
          </w:tcPr>
          <w:p>
            <w:r>
              <w:rPr>
                <w:b w:val="0"/>
                <w:color w:val="4D4D4D"/>
                <w:sz w:val="19"/>
              </w:rPr>
              <w:t>Оптимальная зона — оба консерванта работают</w:t>
            </w:r>
          </w:p>
        </w:tc>
      </w:tr>
      <w:tr>
        <w:tc>
          <w:tcPr>
            <w:tcW w:type="dxa" w:w="3402"/>
            <w:shd w:val="clear" w:color="auto" w:fill="FFF3E0"/>
          </w:tcPr>
          <w:p>
            <w:r>
              <w:rPr>
                <w:b/>
                <w:color w:val="4D4D4D"/>
                <w:sz w:val="19"/>
              </w:rPr>
              <w:t>&gt; 75 % (выбран EGALIS)</w:t>
            </w:r>
          </w:p>
        </w:tc>
        <w:tc>
          <w:tcPr>
            <w:tcW w:type="dxa" w:w="6236"/>
            <w:shd w:val="clear" w:color="auto" w:fill="FFF3E0"/>
          </w:tcPr>
          <w:p>
            <w:r>
              <w:rPr>
                <w:b w:val="0"/>
                <w:color w:val="4D4D4D"/>
                <w:sz w:val="19"/>
              </w:rPr>
              <w:t>EGALIS неэффективен при высокой влажности</w:t>
            </w:r>
          </w:p>
        </w:tc>
      </w:tr>
      <w:tr>
        <w:tc>
          <w:tcPr>
            <w:tcW w:type="dxa" w:w="3402"/>
            <w:shd w:val="clear" w:color="auto" w:fill="FFF0F0"/>
          </w:tcPr>
          <w:p>
            <w:r>
              <w:rPr>
                <w:b/>
                <w:color w:val="4D4D4D"/>
                <w:sz w:val="19"/>
              </w:rPr>
              <w:t>&gt; 80 % (выбран СилКорм Про)</w:t>
            </w:r>
          </w:p>
        </w:tc>
        <w:tc>
          <w:tcPr>
            <w:tcW w:type="dxa" w:w="6236"/>
            <w:shd w:val="clear" w:color="auto" w:fill="FFF0F0"/>
          </w:tcPr>
          <w:p>
            <w:r>
              <w:rPr>
                <w:b w:val="0"/>
                <w:color w:val="4D4D4D"/>
                <w:sz w:val="19"/>
              </w:rPr>
              <w:t>Критически высокая влажность — высокий риск потерь</w:t>
            </w:r>
          </w:p>
        </w:tc>
      </w:tr>
    </w:tbl>
    <w:p>
      <w:pPr>
        <w:spacing w:before="280" w:after="80"/>
      </w:pPr>
      <w:r>
        <w:rPr>
          <w:b/>
          <w:color w:val="FF5900"/>
          <w:sz w:val="26"/>
        </w:rPr>
        <w:t>8. История расчётов</w:t>
      </w:r>
    </w:p>
    <w:p>
      <w:pPr>
        <w:spacing w:before="40" w:after="40"/>
      </w:pPr>
      <w:r>
        <w:rPr>
          <w:b w:val="0"/>
          <w:i w:val="0"/>
          <w:color w:val="4D4D4D"/>
          <w:sz w:val="20"/>
        </w:rPr>
        <w:t>Вкладка «История» хранит все ваши расчёты. Записи сохраняются локально на устройстве и в фоне синхронизируются с Google Таблицей ООО «КЛМ». История одного устройства видна только на нём.</w:t>
      </w:r>
    </w:p>
    <w:p>
      <w:pPr>
        <w:spacing w:before="280" w:after="80"/>
      </w:pPr>
      <w:r>
        <w:rPr>
          <w:b/>
          <w:color w:val="FF5900"/>
          <w:sz w:val="26"/>
        </w:rPr>
        <w:t>9. Отправка результата</w:t>
      </w:r>
    </w:p>
    <w:p>
      <w:pPr>
        <w:spacing w:before="40" w:after="40"/>
      </w:pPr>
      <w:r>
        <w:rPr>
          <w:b w:val="0"/>
          <w:i w:val="0"/>
          <w:color w:val="4D4D4D"/>
          <w:sz w:val="20"/>
        </w:rPr>
        <w:t>Кнопка «Поделиться» открывает меню: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WhatsApp / Viber / Telegram</w:t>
      </w:r>
      <w:r>
        <w:rPr>
          <w:color w:val="4D4D4D"/>
          <w:sz w:val="20"/>
        </w:rPr>
        <w:t xml:space="preserve"> — мгновенная отправка (мобильные)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Email</w:t>
      </w:r>
      <w:r>
        <w:rPr>
          <w:color w:val="4D4D4D"/>
          <w:sz w:val="20"/>
        </w:rPr>
        <w:t xml:space="preserve"> — отправить результат на почту</w:t>
      </w:r>
    </w:p>
    <w:p>
      <w:pPr>
        <w:pStyle w:val="ListBullet"/>
        <w:spacing w:before="20" w:after="20"/>
      </w:pPr>
      <w:r>
        <w:rPr>
          <w:b/>
          <w:color w:val="4D4D4D"/>
          <w:sz w:val="20"/>
        </w:rPr>
        <w:t>Скопировать текст</w:t>
      </w:r>
      <w:r>
        <w:rPr>
          <w:color w:val="4D4D4D"/>
          <w:sz w:val="20"/>
        </w:rPr>
        <w:t xml:space="preserve"> — вставить в любое приложение</w:t>
      </w:r>
    </w:p>
    <w:p/>
    <w:p>
      <w:pPr>
        <w:jc w:val="center"/>
      </w:pPr>
      <w:r>
        <w:rPr>
          <w:color w:val="AAAAAA"/>
          <w:sz w:val="18"/>
        </w:rPr>
        <w:t>ООО «КЛМ»  •  calc.klm-fid.by  • 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