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D2A4" w14:textId="24E7BF55" w:rsidR="00636C89" w:rsidRDefault="00636C89" w:rsidP="00636C89">
      <w:pPr>
        <w:pStyle w:val="NoSpacing"/>
        <w:jc w:val="center"/>
      </w:pPr>
      <w:r>
        <w:t>REST API – Automated Email sending</w:t>
      </w:r>
    </w:p>
    <w:p w14:paraId="5A4B1855" w14:textId="77777777" w:rsidR="00636C89" w:rsidRDefault="00636C89" w:rsidP="00636C89">
      <w:pPr>
        <w:pStyle w:val="NoSpacing"/>
      </w:pPr>
    </w:p>
    <w:p w14:paraId="7CBC2224" w14:textId="3E191F10" w:rsidR="00636C89" w:rsidRPr="00C34414" w:rsidRDefault="00636C89" w:rsidP="00636C89">
      <w:pPr>
        <w:pStyle w:val="NoSpacing"/>
        <w:rPr>
          <w:b/>
          <w:bCs/>
        </w:rPr>
      </w:pPr>
      <w:r w:rsidRPr="00C34414">
        <w:rPr>
          <w:b/>
          <w:bCs/>
        </w:rPr>
        <w:t>Purpose:</w:t>
      </w:r>
    </w:p>
    <w:p w14:paraId="36EDB731" w14:textId="10304256" w:rsidR="00636C89" w:rsidRDefault="00C34414" w:rsidP="00C34414">
      <w:pPr>
        <w:pStyle w:val="NoSpacing"/>
        <w:jc w:val="both"/>
      </w:pPr>
      <w:r w:rsidRPr="00C34414">
        <w:t xml:space="preserve">The </w:t>
      </w:r>
      <w:r>
        <w:t>aim</w:t>
      </w:r>
      <w:r w:rsidRPr="00C34414">
        <w:t xml:space="preserve"> of this automation is to seamlessly integrate email</w:t>
      </w:r>
      <w:r w:rsidRPr="00C34414">
        <w:t xml:space="preserve">s </w:t>
      </w:r>
      <w:r w:rsidRPr="00C34414">
        <w:t>notification</w:t>
      </w:r>
      <w:r w:rsidRPr="00C34414">
        <w:t xml:space="preserve">s </w:t>
      </w:r>
      <w:r w:rsidRPr="00C34414">
        <w:t>into data engineering pipelines, enabling automatic delivery of reports, dashboards, or insights to recipients. By leveraging Databricks and OAuth authentication, this solution ensures secure, efficient, and fully automated email distribution without manual intervention.</w:t>
      </w:r>
    </w:p>
    <w:p w14:paraId="22026A01" w14:textId="45B329A4" w:rsidR="00917AC7" w:rsidRDefault="00E31F7E" w:rsidP="00636C89">
      <w:pPr>
        <w:pStyle w:val="NoSpacing"/>
      </w:pPr>
      <w:r>
        <w:rPr>
          <w:noProof/>
        </w:rPr>
        <w:drawing>
          <wp:inline distT="0" distB="0" distL="0" distR="0" wp14:anchorId="05514A54" wp14:editId="0FF3C13C">
            <wp:extent cx="5731510" cy="1878330"/>
            <wp:effectExtent l="0" t="0" r="2540" b="7620"/>
            <wp:docPr id="950738749" name="Picture 3" descr="A diagram of a computer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38749" name="Picture 3" descr="A diagram of a computer softwar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inline>
        </w:drawing>
      </w:r>
    </w:p>
    <w:p w14:paraId="3343DA38" w14:textId="77777777" w:rsidR="00E31F7E" w:rsidRDefault="00E31F7E" w:rsidP="00636C89">
      <w:pPr>
        <w:pStyle w:val="NoSpacing"/>
      </w:pPr>
    </w:p>
    <w:p w14:paraId="7C798E7E" w14:textId="77777777" w:rsidR="00E31F7E" w:rsidRPr="00E31F7E" w:rsidRDefault="00E31F7E" w:rsidP="00E31F7E">
      <w:pPr>
        <w:pStyle w:val="NoSpacing"/>
        <w:rPr>
          <w:b/>
          <w:bCs/>
        </w:rPr>
      </w:pPr>
      <w:r w:rsidRPr="00E31F7E">
        <w:rPr>
          <w:b/>
          <w:bCs/>
        </w:rPr>
        <w:t>1. Azure App Registration</w:t>
      </w:r>
    </w:p>
    <w:p w14:paraId="5E5C65EB" w14:textId="77777777" w:rsidR="00E31F7E" w:rsidRPr="00E31F7E" w:rsidRDefault="00E31F7E" w:rsidP="00E31F7E">
      <w:pPr>
        <w:pStyle w:val="NoSpacing"/>
        <w:numPr>
          <w:ilvl w:val="0"/>
          <w:numId w:val="1"/>
        </w:numPr>
      </w:pPr>
      <w:r w:rsidRPr="00E31F7E">
        <w:rPr>
          <w:b/>
          <w:bCs/>
        </w:rPr>
        <w:t>What Happens:</w:t>
      </w:r>
      <w:r w:rsidRPr="00E31F7E">
        <w:t xml:space="preserve"> </w:t>
      </w:r>
    </w:p>
    <w:p w14:paraId="19BEC2D0" w14:textId="6D1D3319" w:rsidR="00E31F7E" w:rsidRPr="00E31F7E" w:rsidRDefault="00E31F7E" w:rsidP="00E31F7E">
      <w:pPr>
        <w:pStyle w:val="NoSpacing"/>
        <w:numPr>
          <w:ilvl w:val="1"/>
          <w:numId w:val="1"/>
        </w:numPr>
      </w:pPr>
      <w:r w:rsidRPr="00E31F7E">
        <w:t xml:space="preserve">An </w:t>
      </w:r>
      <w:r w:rsidRPr="00E31F7E">
        <w:rPr>
          <w:b/>
          <w:bCs/>
        </w:rPr>
        <w:t>Azure App Registration</w:t>
      </w:r>
      <w:r w:rsidRPr="00E31F7E">
        <w:t xml:space="preserve"> is created in </w:t>
      </w:r>
      <w:r w:rsidR="00BB3FF5">
        <w:rPr>
          <w:b/>
          <w:bCs/>
        </w:rPr>
        <w:t>Entra ID.</w:t>
      </w:r>
    </w:p>
    <w:p w14:paraId="46446241" w14:textId="4E4E915C" w:rsidR="00E31F7E" w:rsidRPr="00E31F7E" w:rsidRDefault="00E31F7E" w:rsidP="00E31F7E">
      <w:pPr>
        <w:pStyle w:val="NoSpacing"/>
        <w:numPr>
          <w:ilvl w:val="1"/>
          <w:numId w:val="1"/>
        </w:numPr>
      </w:pPr>
      <w:r w:rsidRPr="00E31F7E">
        <w:t xml:space="preserve">The app is granted necessary </w:t>
      </w:r>
      <w:r w:rsidRPr="00E31F7E">
        <w:rPr>
          <w:b/>
          <w:bCs/>
        </w:rPr>
        <w:t>permissions (</w:t>
      </w:r>
      <w:proofErr w:type="spellStart"/>
      <w:r w:rsidRPr="00E31F7E">
        <w:rPr>
          <w:b/>
          <w:bCs/>
        </w:rPr>
        <w:t>Mail.Send</w:t>
      </w:r>
      <w:proofErr w:type="spellEnd"/>
      <w:r>
        <w:rPr>
          <w:b/>
          <w:bCs/>
        </w:rPr>
        <w:t xml:space="preserve">) </w:t>
      </w:r>
      <w:r w:rsidRPr="00E31F7E">
        <w:t>to send emails on behalf of the authenticated user</w:t>
      </w:r>
      <w:r>
        <w:t xml:space="preserve"> (see below for information on user details)</w:t>
      </w:r>
    </w:p>
    <w:p w14:paraId="487A3666" w14:textId="77777777" w:rsidR="00E31F7E" w:rsidRPr="00E31F7E" w:rsidRDefault="00E31F7E" w:rsidP="00E31F7E">
      <w:pPr>
        <w:pStyle w:val="NoSpacing"/>
        <w:numPr>
          <w:ilvl w:val="0"/>
          <w:numId w:val="1"/>
        </w:numPr>
      </w:pPr>
      <w:r w:rsidRPr="00E31F7E">
        <w:rPr>
          <w:b/>
          <w:bCs/>
        </w:rPr>
        <w:t>Key Credentials:</w:t>
      </w:r>
      <w:r w:rsidRPr="00E31F7E">
        <w:t xml:space="preserve"> </w:t>
      </w:r>
    </w:p>
    <w:p w14:paraId="1385B848" w14:textId="77777777" w:rsidR="00E31F7E" w:rsidRPr="00E31F7E" w:rsidRDefault="00E31F7E" w:rsidP="00E31F7E">
      <w:pPr>
        <w:pStyle w:val="NoSpacing"/>
        <w:numPr>
          <w:ilvl w:val="1"/>
          <w:numId w:val="1"/>
        </w:numPr>
      </w:pPr>
      <w:r w:rsidRPr="00E31F7E">
        <w:rPr>
          <w:b/>
          <w:bCs/>
        </w:rPr>
        <w:t>Tenant ID:</w:t>
      </w:r>
      <w:r w:rsidRPr="00E31F7E">
        <w:t xml:space="preserve"> Identifies the Azure AD instance.</w:t>
      </w:r>
    </w:p>
    <w:p w14:paraId="0BFB51BD" w14:textId="77777777" w:rsidR="00E31F7E" w:rsidRPr="00E31F7E" w:rsidRDefault="00E31F7E" w:rsidP="00E31F7E">
      <w:pPr>
        <w:pStyle w:val="NoSpacing"/>
        <w:numPr>
          <w:ilvl w:val="1"/>
          <w:numId w:val="1"/>
        </w:numPr>
      </w:pPr>
      <w:r w:rsidRPr="00E31F7E">
        <w:rPr>
          <w:b/>
          <w:bCs/>
        </w:rPr>
        <w:t>Client ID:</w:t>
      </w:r>
      <w:r w:rsidRPr="00E31F7E">
        <w:t xml:space="preserve"> Uniquely identifies the registered application.</w:t>
      </w:r>
    </w:p>
    <w:p w14:paraId="437B8040" w14:textId="77777777" w:rsidR="00E31F7E" w:rsidRPr="00E31F7E" w:rsidRDefault="00E31F7E" w:rsidP="00E31F7E">
      <w:pPr>
        <w:pStyle w:val="NoSpacing"/>
        <w:numPr>
          <w:ilvl w:val="1"/>
          <w:numId w:val="1"/>
        </w:numPr>
      </w:pPr>
      <w:r w:rsidRPr="00E31F7E">
        <w:rPr>
          <w:b/>
          <w:bCs/>
        </w:rPr>
        <w:t>Client Secret:</w:t>
      </w:r>
      <w:r w:rsidRPr="00E31F7E">
        <w:t xml:space="preserve"> Used for authentication in OAuth workflows.</w:t>
      </w:r>
    </w:p>
    <w:p w14:paraId="6E022D38" w14:textId="77777777" w:rsidR="00E31F7E" w:rsidRPr="00E31F7E" w:rsidRDefault="00E31F7E" w:rsidP="00E31F7E">
      <w:pPr>
        <w:pStyle w:val="NoSpacing"/>
        <w:rPr>
          <w:b/>
          <w:bCs/>
        </w:rPr>
      </w:pPr>
      <w:r w:rsidRPr="00E31F7E">
        <w:rPr>
          <w:b/>
          <w:bCs/>
        </w:rPr>
        <w:t>2. OAuth Authentication</w:t>
      </w:r>
    </w:p>
    <w:p w14:paraId="648DA6C4" w14:textId="77777777" w:rsidR="00E31F7E" w:rsidRPr="00E31F7E" w:rsidRDefault="00E31F7E" w:rsidP="00E31F7E">
      <w:pPr>
        <w:pStyle w:val="NoSpacing"/>
        <w:numPr>
          <w:ilvl w:val="0"/>
          <w:numId w:val="2"/>
        </w:numPr>
      </w:pPr>
      <w:r w:rsidRPr="00E31F7E">
        <w:rPr>
          <w:b/>
          <w:bCs/>
        </w:rPr>
        <w:t>What Happens:</w:t>
      </w:r>
      <w:r w:rsidRPr="00E31F7E">
        <w:t xml:space="preserve"> </w:t>
      </w:r>
    </w:p>
    <w:p w14:paraId="29439CEC" w14:textId="77777777" w:rsidR="00E31F7E" w:rsidRPr="00E31F7E" w:rsidRDefault="00E31F7E" w:rsidP="00E31F7E">
      <w:pPr>
        <w:pStyle w:val="NoSpacing"/>
        <w:numPr>
          <w:ilvl w:val="1"/>
          <w:numId w:val="2"/>
        </w:numPr>
      </w:pPr>
      <w:r w:rsidRPr="00E31F7E">
        <w:t>The OAuth flow is initiated using the credentials.</w:t>
      </w:r>
    </w:p>
    <w:p w14:paraId="21E7DCE8" w14:textId="77777777" w:rsidR="00E31F7E" w:rsidRPr="00E31F7E" w:rsidRDefault="00E31F7E" w:rsidP="00E31F7E">
      <w:pPr>
        <w:pStyle w:val="NoSpacing"/>
        <w:numPr>
          <w:ilvl w:val="1"/>
          <w:numId w:val="2"/>
        </w:numPr>
      </w:pPr>
      <w:r w:rsidRPr="00E31F7E">
        <w:t xml:space="preserve">A </w:t>
      </w:r>
      <w:r w:rsidRPr="00E31F7E">
        <w:rPr>
          <w:b/>
          <w:bCs/>
        </w:rPr>
        <w:t>Python script</w:t>
      </w:r>
      <w:r w:rsidRPr="00E31F7E">
        <w:t xml:space="preserve"> is used to authenticate and retrieve an access token from </w:t>
      </w:r>
      <w:r w:rsidRPr="00E31F7E">
        <w:rPr>
          <w:b/>
          <w:bCs/>
        </w:rPr>
        <w:t>Microsoft’s Identity Platform</w:t>
      </w:r>
      <w:r w:rsidRPr="00E31F7E">
        <w:t>.</w:t>
      </w:r>
    </w:p>
    <w:p w14:paraId="57127B95" w14:textId="77777777" w:rsidR="00E31F7E" w:rsidRPr="00E31F7E" w:rsidRDefault="00E31F7E" w:rsidP="00E31F7E">
      <w:pPr>
        <w:pStyle w:val="NoSpacing"/>
        <w:numPr>
          <w:ilvl w:val="1"/>
          <w:numId w:val="2"/>
        </w:numPr>
      </w:pPr>
      <w:r w:rsidRPr="00E31F7E">
        <w:t>The token is used to authorize API calls.</w:t>
      </w:r>
    </w:p>
    <w:p w14:paraId="7B1BF205" w14:textId="77777777" w:rsidR="00E31F7E" w:rsidRPr="00E31F7E" w:rsidRDefault="00E31F7E" w:rsidP="00E31F7E">
      <w:pPr>
        <w:pStyle w:val="NoSpacing"/>
        <w:rPr>
          <w:b/>
          <w:bCs/>
        </w:rPr>
      </w:pPr>
      <w:r w:rsidRPr="00E31F7E">
        <w:rPr>
          <w:b/>
          <w:bCs/>
        </w:rPr>
        <w:t>3. Databricks Processing</w:t>
      </w:r>
    </w:p>
    <w:p w14:paraId="7A20A36C" w14:textId="77777777" w:rsidR="00E31F7E" w:rsidRPr="00E31F7E" w:rsidRDefault="00E31F7E" w:rsidP="00E31F7E">
      <w:pPr>
        <w:pStyle w:val="NoSpacing"/>
        <w:numPr>
          <w:ilvl w:val="0"/>
          <w:numId w:val="3"/>
        </w:numPr>
      </w:pPr>
      <w:r w:rsidRPr="00E31F7E">
        <w:rPr>
          <w:b/>
          <w:bCs/>
        </w:rPr>
        <w:t>What Happens:</w:t>
      </w:r>
      <w:r w:rsidRPr="00E31F7E">
        <w:t xml:space="preserve"> </w:t>
      </w:r>
    </w:p>
    <w:p w14:paraId="512A5EF1" w14:textId="77777777" w:rsidR="00E31F7E" w:rsidRPr="00E31F7E" w:rsidRDefault="00E31F7E" w:rsidP="00E31F7E">
      <w:pPr>
        <w:pStyle w:val="NoSpacing"/>
        <w:numPr>
          <w:ilvl w:val="1"/>
          <w:numId w:val="3"/>
        </w:numPr>
      </w:pPr>
      <w:r w:rsidRPr="00E31F7E">
        <w:t xml:space="preserve">The </w:t>
      </w:r>
      <w:r w:rsidRPr="00E31F7E">
        <w:rPr>
          <w:b/>
          <w:bCs/>
        </w:rPr>
        <w:t>Python script</w:t>
      </w:r>
      <w:r w:rsidRPr="00E31F7E">
        <w:t xml:space="preserve"> is executed within </w:t>
      </w:r>
      <w:r w:rsidRPr="00E31F7E">
        <w:rPr>
          <w:b/>
          <w:bCs/>
        </w:rPr>
        <w:t>Databricks</w:t>
      </w:r>
      <w:r w:rsidRPr="00E31F7E">
        <w:t xml:space="preserve">, leveraging the access token to send emails via </w:t>
      </w:r>
      <w:r w:rsidRPr="00E31F7E">
        <w:rPr>
          <w:b/>
          <w:bCs/>
        </w:rPr>
        <w:t>Microsoft Graph API</w:t>
      </w:r>
      <w:r w:rsidRPr="00E31F7E">
        <w:t>.</w:t>
      </w:r>
    </w:p>
    <w:p w14:paraId="6189355D" w14:textId="77777777" w:rsidR="00E31F7E" w:rsidRPr="00E31F7E" w:rsidRDefault="00E31F7E" w:rsidP="00E31F7E">
      <w:pPr>
        <w:pStyle w:val="NoSpacing"/>
        <w:numPr>
          <w:ilvl w:val="1"/>
          <w:numId w:val="3"/>
        </w:numPr>
      </w:pPr>
      <w:r w:rsidRPr="00E31F7E">
        <w:t>The email content, recipients, and attachments are dynamically processed.</w:t>
      </w:r>
    </w:p>
    <w:p w14:paraId="67D12D9D" w14:textId="77777777" w:rsidR="00E31F7E" w:rsidRPr="00E31F7E" w:rsidRDefault="00E31F7E" w:rsidP="00E31F7E">
      <w:pPr>
        <w:pStyle w:val="NoSpacing"/>
        <w:rPr>
          <w:b/>
          <w:bCs/>
        </w:rPr>
      </w:pPr>
      <w:r w:rsidRPr="00E31F7E">
        <w:rPr>
          <w:b/>
          <w:bCs/>
        </w:rPr>
        <w:t>4. Azure Services &amp; Email Distribution</w:t>
      </w:r>
    </w:p>
    <w:p w14:paraId="5ECFD166" w14:textId="77777777" w:rsidR="00E31F7E" w:rsidRPr="00E31F7E" w:rsidRDefault="00E31F7E" w:rsidP="00E31F7E">
      <w:pPr>
        <w:pStyle w:val="NoSpacing"/>
        <w:numPr>
          <w:ilvl w:val="0"/>
          <w:numId w:val="4"/>
        </w:numPr>
      </w:pPr>
      <w:r w:rsidRPr="00E31F7E">
        <w:rPr>
          <w:b/>
          <w:bCs/>
        </w:rPr>
        <w:t>What Happens:</w:t>
      </w:r>
      <w:r w:rsidRPr="00E31F7E">
        <w:t xml:space="preserve"> </w:t>
      </w:r>
    </w:p>
    <w:p w14:paraId="65A12F70" w14:textId="69C78C86" w:rsidR="00E31F7E" w:rsidRPr="00E31F7E" w:rsidRDefault="00E31F7E" w:rsidP="00E31F7E">
      <w:pPr>
        <w:pStyle w:val="NoSpacing"/>
        <w:numPr>
          <w:ilvl w:val="1"/>
          <w:numId w:val="4"/>
        </w:numPr>
      </w:pPr>
      <w:r w:rsidRPr="00E31F7E">
        <w:t xml:space="preserve">Databricks sends the email to </w:t>
      </w:r>
      <w:r w:rsidRPr="00E31F7E">
        <w:rPr>
          <w:b/>
          <w:bCs/>
        </w:rPr>
        <w:t>Azure services</w:t>
      </w:r>
      <w:r w:rsidRPr="00E31F7E">
        <w:t xml:space="preserve"> (</w:t>
      </w:r>
      <w:r>
        <w:t>Enterprise App</w:t>
      </w:r>
      <w:r w:rsidRPr="00E31F7E">
        <w:t>).</w:t>
      </w:r>
    </w:p>
    <w:p w14:paraId="73A5BF6A" w14:textId="77777777" w:rsidR="00E31F7E" w:rsidRDefault="00E31F7E" w:rsidP="00E31F7E">
      <w:pPr>
        <w:pStyle w:val="NoSpacing"/>
        <w:numPr>
          <w:ilvl w:val="1"/>
          <w:numId w:val="4"/>
        </w:numPr>
      </w:pPr>
      <w:r w:rsidRPr="00E31F7E">
        <w:t>The email is delivered to the designated recipients.</w:t>
      </w:r>
    </w:p>
    <w:p w14:paraId="76A69B1A" w14:textId="77777777" w:rsidR="00E31F7E" w:rsidRDefault="00E31F7E" w:rsidP="00E31F7E">
      <w:pPr>
        <w:pStyle w:val="NoSpacing"/>
        <w:numPr>
          <w:ilvl w:val="1"/>
          <w:numId w:val="4"/>
        </w:numPr>
      </w:pPr>
      <w:r>
        <w:t>Email distributor</w:t>
      </w:r>
    </w:p>
    <w:p w14:paraId="685BE780" w14:textId="77777777" w:rsidR="00E31F7E" w:rsidRDefault="00E31F7E" w:rsidP="00E31F7E">
      <w:pPr>
        <w:pStyle w:val="NoSpacing"/>
        <w:numPr>
          <w:ilvl w:val="2"/>
          <w:numId w:val="4"/>
        </w:numPr>
      </w:pPr>
      <w:r>
        <w:t>TBC on name</w:t>
      </w:r>
    </w:p>
    <w:p w14:paraId="5C63D29B" w14:textId="77777777" w:rsidR="00E31F7E" w:rsidRDefault="00E31F7E" w:rsidP="00E31F7E">
      <w:pPr>
        <w:pStyle w:val="NoSpacing"/>
        <w:numPr>
          <w:ilvl w:val="2"/>
          <w:numId w:val="4"/>
        </w:numPr>
      </w:pPr>
      <w:r>
        <w:t>Type of account: Cloud</w:t>
      </w:r>
    </w:p>
    <w:p w14:paraId="346082EC" w14:textId="4C4BE1F2" w:rsidR="00E31F7E" w:rsidRDefault="00BD6323" w:rsidP="00E31F7E">
      <w:pPr>
        <w:pStyle w:val="NoSpacing"/>
        <w:numPr>
          <w:ilvl w:val="2"/>
          <w:numId w:val="4"/>
        </w:numPr>
      </w:pPr>
      <w:r w:rsidRPr="00BD6323">
        <w:t>Not to be setting using an account which is hybrid due to API restrictions</w:t>
      </w:r>
    </w:p>
    <w:p w14:paraId="6604D47E" w14:textId="0CB5D513" w:rsidR="0058558C" w:rsidRPr="00E31F7E" w:rsidRDefault="0058558C" w:rsidP="00E31F7E">
      <w:pPr>
        <w:pStyle w:val="NoSpacing"/>
        <w:numPr>
          <w:ilvl w:val="2"/>
          <w:numId w:val="4"/>
        </w:numPr>
      </w:pPr>
      <w:r w:rsidRPr="0058558C">
        <w:t>Account to be a cloud account only to make use of Exchange Rest API. </w:t>
      </w:r>
    </w:p>
    <w:p w14:paraId="38AD3CA5" w14:textId="77777777" w:rsidR="00E31F7E" w:rsidRPr="00E31F7E" w:rsidRDefault="00E31F7E" w:rsidP="00E31F7E">
      <w:pPr>
        <w:pStyle w:val="NoSpacing"/>
        <w:rPr>
          <w:b/>
          <w:bCs/>
        </w:rPr>
      </w:pPr>
      <w:r w:rsidRPr="00E31F7E">
        <w:rPr>
          <w:b/>
          <w:bCs/>
        </w:rPr>
        <w:t>5. Email Delivery</w:t>
      </w:r>
    </w:p>
    <w:p w14:paraId="68FC5896" w14:textId="77777777" w:rsidR="00E31F7E" w:rsidRPr="00E31F7E" w:rsidRDefault="00E31F7E" w:rsidP="00E31F7E">
      <w:pPr>
        <w:pStyle w:val="NoSpacing"/>
        <w:numPr>
          <w:ilvl w:val="0"/>
          <w:numId w:val="5"/>
        </w:numPr>
      </w:pPr>
      <w:r w:rsidRPr="00E31F7E">
        <w:rPr>
          <w:b/>
          <w:bCs/>
        </w:rPr>
        <w:t>What Happens:</w:t>
      </w:r>
      <w:r w:rsidRPr="00E31F7E">
        <w:t xml:space="preserve"> </w:t>
      </w:r>
    </w:p>
    <w:p w14:paraId="1554A27A" w14:textId="2766F288" w:rsidR="00E31F7E" w:rsidRDefault="00E31F7E" w:rsidP="00E31F7E">
      <w:pPr>
        <w:pStyle w:val="NoSpacing"/>
        <w:numPr>
          <w:ilvl w:val="1"/>
          <w:numId w:val="5"/>
        </w:numPr>
      </w:pPr>
      <w:r w:rsidRPr="00E31F7E">
        <w:t>The email is successfully sent to users.</w:t>
      </w:r>
    </w:p>
    <w:p w14:paraId="0C2B0524" w14:textId="612AC01A" w:rsidR="0058558C" w:rsidRDefault="0058558C" w:rsidP="0058558C">
      <w:pPr>
        <w:pStyle w:val="NoSpacing"/>
        <w:rPr>
          <w:b/>
          <w:bCs/>
        </w:rPr>
      </w:pPr>
      <w:r w:rsidRPr="0058558C">
        <w:rPr>
          <w:b/>
          <w:bCs/>
        </w:rPr>
        <w:lastRenderedPageBreak/>
        <w:t>Testing</w:t>
      </w:r>
    </w:p>
    <w:p w14:paraId="5496CFEC" w14:textId="77777777" w:rsidR="00661187" w:rsidRPr="00661187" w:rsidRDefault="00661187" w:rsidP="0058558C">
      <w:pPr>
        <w:pStyle w:val="NoSpacing"/>
      </w:pPr>
    </w:p>
    <w:p w14:paraId="08DD4DEB" w14:textId="38D1D0FC" w:rsidR="0058558C" w:rsidRDefault="00661187" w:rsidP="00661187">
      <w:pPr>
        <w:pStyle w:val="NoSpacing"/>
        <w:numPr>
          <w:ilvl w:val="0"/>
          <w:numId w:val="6"/>
        </w:numPr>
      </w:pPr>
      <w:r>
        <w:t>Ensure the Azure App Registration has the correct API permissions</w:t>
      </w:r>
    </w:p>
    <w:p w14:paraId="34A2CEEC" w14:textId="2AF2FCB5" w:rsidR="00661187" w:rsidRDefault="00661187" w:rsidP="00661187">
      <w:pPr>
        <w:pStyle w:val="NoSpacing"/>
        <w:numPr>
          <w:ilvl w:val="0"/>
          <w:numId w:val="6"/>
        </w:numPr>
      </w:pPr>
      <w:r>
        <w:t xml:space="preserve">Verify the Client ID, Tenant ID, Client Secret </w:t>
      </w:r>
      <w:r w:rsidR="00B97B5C">
        <w:t>are access securely</w:t>
      </w:r>
    </w:p>
    <w:p w14:paraId="5F2A7249" w14:textId="43360ADB" w:rsidR="004678F9" w:rsidRDefault="004678F9" w:rsidP="00661187">
      <w:pPr>
        <w:pStyle w:val="NoSpacing"/>
        <w:numPr>
          <w:ilvl w:val="0"/>
          <w:numId w:val="6"/>
        </w:numPr>
      </w:pPr>
      <w:r>
        <w:t xml:space="preserve">Test the MFA </w:t>
      </w:r>
      <w:r w:rsidR="00440B75">
        <w:t>on the account</w:t>
      </w:r>
    </w:p>
    <w:p w14:paraId="05E66740" w14:textId="64461FE2" w:rsidR="00B97B5C" w:rsidRDefault="00B97B5C" w:rsidP="00661187">
      <w:pPr>
        <w:pStyle w:val="NoSpacing"/>
        <w:numPr>
          <w:ilvl w:val="0"/>
          <w:numId w:val="6"/>
        </w:numPr>
      </w:pPr>
      <w:r>
        <w:t>Test OAuth Connection – Ensure status code = 200</w:t>
      </w:r>
    </w:p>
    <w:p w14:paraId="0C923239" w14:textId="36226DD8" w:rsidR="00B97B5C" w:rsidRDefault="00B97B5C" w:rsidP="00661187">
      <w:pPr>
        <w:pStyle w:val="NoSpacing"/>
        <w:numPr>
          <w:ilvl w:val="0"/>
          <w:numId w:val="6"/>
        </w:numPr>
      </w:pPr>
      <w:r>
        <w:t xml:space="preserve">Send a test email with </w:t>
      </w:r>
      <w:proofErr w:type="spellStart"/>
      <w:r>
        <w:t>attachement</w:t>
      </w:r>
      <w:proofErr w:type="spellEnd"/>
    </w:p>
    <w:p w14:paraId="700E8D17" w14:textId="2C5AE023" w:rsidR="00B97B5C" w:rsidRDefault="00B97B5C" w:rsidP="00661187">
      <w:pPr>
        <w:pStyle w:val="NoSpacing"/>
        <w:numPr>
          <w:ilvl w:val="0"/>
          <w:numId w:val="6"/>
        </w:numPr>
      </w:pPr>
      <w:r>
        <w:t xml:space="preserve">Send test email with no </w:t>
      </w:r>
      <w:proofErr w:type="spellStart"/>
      <w:r>
        <w:t>attachement</w:t>
      </w:r>
      <w:proofErr w:type="spellEnd"/>
    </w:p>
    <w:p w14:paraId="297D8297" w14:textId="2FC1F8C6" w:rsidR="00B97B5C" w:rsidRDefault="00B97B5C" w:rsidP="00661187">
      <w:pPr>
        <w:pStyle w:val="NoSpacing"/>
        <w:numPr>
          <w:ilvl w:val="0"/>
          <w:numId w:val="6"/>
        </w:numPr>
      </w:pPr>
      <w:r>
        <w:t>Send test email to 1 recipient</w:t>
      </w:r>
    </w:p>
    <w:p w14:paraId="0007168F" w14:textId="4FAADC0A" w:rsidR="00B97B5C" w:rsidRDefault="00B97B5C" w:rsidP="00661187">
      <w:pPr>
        <w:pStyle w:val="NoSpacing"/>
        <w:numPr>
          <w:ilvl w:val="0"/>
          <w:numId w:val="6"/>
        </w:numPr>
      </w:pPr>
      <w:r>
        <w:t>Send test email to 2 or more recipients</w:t>
      </w:r>
    </w:p>
    <w:p w14:paraId="560BFA85" w14:textId="1A0A4FCD" w:rsidR="00B97B5C" w:rsidRDefault="00B97B5C" w:rsidP="00661187">
      <w:pPr>
        <w:pStyle w:val="NoSpacing"/>
        <w:numPr>
          <w:ilvl w:val="0"/>
          <w:numId w:val="6"/>
        </w:numPr>
      </w:pPr>
      <w:r>
        <w:t xml:space="preserve">Validate email delivery – Ensure it is received </w:t>
      </w:r>
      <w:r w:rsidR="004678F9">
        <w:t>(if not checks logs)</w:t>
      </w:r>
    </w:p>
    <w:p w14:paraId="622FFBDF" w14:textId="77777777" w:rsidR="00440B75" w:rsidRDefault="00440B75" w:rsidP="00440B75">
      <w:pPr>
        <w:pStyle w:val="NoSpacing"/>
      </w:pPr>
    </w:p>
    <w:p w14:paraId="2667B1D2" w14:textId="19C72A02" w:rsidR="00440B75" w:rsidRDefault="00440B75" w:rsidP="00440B75">
      <w:pPr>
        <w:pStyle w:val="NoSpacing"/>
        <w:rPr>
          <w:b/>
          <w:bCs/>
        </w:rPr>
      </w:pPr>
      <w:r w:rsidRPr="00440B75">
        <w:rPr>
          <w:b/>
          <w:bCs/>
        </w:rPr>
        <w:t>Security</w:t>
      </w:r>
      <w:r w:rsidR="00030B49">
        <w:rPr>
          <w:b/>
          <w:bCs/>
        </w:rPr>
        <w:t xml:space="preserve"> implementations</w:t>
      </w:r>
    </w:p>
    <w:p w14:paraId="73A548CE" w14:textId="307D9394" w:rsidR="00440B75" w:rsidRDefault="002349D0" w:rsidP="00440B75">
      <w:pPr>
        <w:pStyle w:val="NoSpacing"/>
        <w:numPr>
          <w:ilvl w:val="0"/>
          <w:numId w:val="7"/>
        </w:numPr>
      </w:pPr>
      <w:r w:rsidRPr="002349D0">
        <w:t>Email account p</w:t>
      </w:r>
      <w:r w:rsidR="00440B75" w:rsidRPr="002349D0">
        <w:t>assword will be secure</w:t>
      </w:r>
      <w:r w:rsidRPr="002349D0">
        <w:t xml:space="preserve">ly stored in </w:t>
      </w:r>
      <w:proofErr w:type="spellStart"/>
      <w:r w:rsidRPr="00030B49">
        <w:rPr>
          <w:b/>
          <w:bCs/>
        </w:rPr>
        <w:t>Bitwarden</w:t>
      </w:r>
      <w:proofErr w:type="spellEnd"/>
    </w:p>
    <w:p w14:paraId="0B72F210" w14:textId="30249430" w:rsidR="00AA4B31" w:rsidRPr="002349D0" w:rsidRDefault="00AA4B31" w:rsidP="00AA4B31">
      <w:pPr>
        <w:pStyle w:val="NoSpacing"/>
        <w:numPr>
          <w:ilvl w:val="1"/>
          <w:numId w:val="7"/>
        </w:numPr>
      </w:pPr>
      <w:r>
        <w:t>Only access by Data Engineers</w:t>
      </w:r>
    </w:p>
    <w:p w14:paraId="1FEA17C4" w14:textId="74CDB358" w:rsidR="002349D0" w:rsidRDefault="002349D0" w:rsidP="00440B75">
      <w:pPr>
        <w:pStyle w:val="NoSpacing"/>
        <w:numPr>
          <w:ilvl w:val="0"/>
          <w:numId w:val="7"/>
        </w:numPr>
      </w:pPr>
      <w:r>
        <w:t xml:space="preserve">IDs (Client ID, Tenant ID, Client Secret) to be stored in </w:t>
      </w:r>
      <w:r w:rsidRPr="00030B49">
        <w:rPr>
          <w:b/>
          <w:bCs/>
        </w:rPr>
        <w:t>Azure Key Vault</w:t>
      </w:r>
    </w:p>
    <w:p w14:paraId="37B69949" w14:textId="194D0701" w:rsidR="005B4702" w:rsidRPr="002349D0" w:rsidRDefault="00CD49BB" w:rsidP="005F4B46">
      <w:pPr>
        <w:pStyle w:val="NoSpacing"/>
        <w:numPr>
          <w:ilvl w:val="1"/>
          <w:numId w:val="7"/>
        </w:numPr>
      </w:pPr>
      <w:r>
        <w:t>Only access by Data Engineers (RBAC secured)</w:t>
      </w:r>
    </w:p>
    <w:sectPr w:rsidR="005B4702" w:rsidRPr="0023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EAB"/>
    <w:multiLevelType w:val="multilevel"/>
    <w:tmpl w:val="8646D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59A"/>
    <w:multiLevelType w:val="multilevel"/>
    <w:tmpl w:val="CE60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EAD"/>
    <w:multiLevelType w:val="multilevel"/>
    <w:tmpl w:val="578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60BB0"/>
    <w:multiLevelType w:val="multilevel"/>
    <w:tmpl w:val="FEA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B2720"/>
    <w:multiLevelType w:val="multilevel"/>
    <w:tmpl w:val="7070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F13AE"/>
    <w:multiLevelType w:val="hybridMultilevel"/>
    <w:tmpl w:val="2576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292CB6"/>
    <w:multiLevelType w:val="hybridMultilevel"/>
    <w:tmpl w:val="DC5A0DD8"/>
    <w:lvl w:ilvl="0" w:tplc="279C127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870899">
    <w:abstractNumId w:val="0"/>
  </w:num>
  <w:num w:numId="2" w16cid:durableId="1118841575">
    <w:abstractNumId w:val="4"/>
  </w:num>
  <w:num w:numId="3" w16cid:durableId="1618372247">
    <w:abstractNumId w:val="3"/>
  </w:num>
  <w:num w:numId="4" w16cid:durableId="938559215">
    <w:abstractNumId w:val="1"/>
  </w:num>
  <w:num w:numId="5" w16cid:durableId="1269581630">
    <w:abstractNumId w:val="2"/>
  </w:num>
  <w:num w:numId="6" w16cid:durableId="533886420">
    <w:abstractNumId w:val="5"/>
  </w:num>
  <w:num w:numId="7" w16cid:durableId="990450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54"/>
    <w:rsid w:val="00030B49"/>
    <w:rsid w:val="002349D0"/>
    <w:rsid w:val="00440B75"/>
    <w:rsid w:val="004675C0"/>
    <w:rsid w:val="004678F9"/>
    <w:rsid w:val="0058558C"/>
    <w:rsid w:val="005B4702"/>
    <w:rsid w:val="005F4B46"/>
    <w:rsid w:val="00624324"/>
    <w:rsid w:val="00636C89"/>
    <w:rsid w:val="006500F8"/>
    <w:rsid w:val="00661187"/>
    <w:rsid w:val="007238BB"/>
    <w:rsid w:val="00917AC7"/>
    <w:rsid w:val="009E4F4D"/>
    <w:rsid w:val="00A02CD7"/>
    <w:rsid w:val="00AA4B31"/>
    <w:rsid w:val="00B97B5C"/>
    <w:rsid w:val="00BB3FF5"/>
    <w:rsid w:val="00BD6323"/>
    <w:rsid w:val="00C34414"/>
    <w:rsid w:val="00C65254"/>
    <w:rsid w:val="00CD49BB"/>
    <w:rsid w:val="00E31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A5C"/>
  <w15:chartTrackingRefBased/>
  <w15:docId w15:val="{7622FB43-918A-4119-AC36-25FC704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254"/>
    <w:rPr>
      <w:rFonts w:eastAsiaTheme="majorEastAsia" w:cstheme="majorBidi"/>
      <w:color w:val="272727" w:themeColor="text1" w:themeTint="D8"/>
    </w:rPr>
  </w:style>
  <w:style w:type="paragraph" w:styleId="Title">
    <w:name w:val="Title"/>
    <w:basedOn w:val="Normal"/>
    <w:next w:val="Normal"/>
    <w:link w:val="TitleChar"/>
    <w:uiPriority w:val="10"/>
    <w:qFormat/>
    <w:rsid w:val="00C65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254"/>
    <w:pPr>
      <w:spacing w:before="160"/>
      <w:jc w:val="center"/>
    </w:pPr>
    <w:rPr>
      <w:i/>
      <w:iCs/>
      <w:color w:val="404040" w:themeColor="text1" w:themeTint="BF"/>
    </w:rPr>
  </w:style>
  <w:style w:type="character" w:customStyle="1" w:styleId="QuoteChar">
    <w:name w:val="Quote Char"/>
    <w:basedOn w:val="DefaultParagraphFont"/>
    <w:link w:val="Quote"/>
    <w:uiPriority w:val="29"/>
    <w:rsid w:val="00C65254"/>
    <w:rPr>
      <w:i/>
      <w:iCs/>
      <w:color w:val="404040" w:themeColor="text1" w:themeTint="BF"/>
    </w:rPr>
  </w:style>
  <w:style w:type="paragraph" w:styleId="ListParagraph">
    <w:name w:val="List Paragraph"/>
    <w:basedOn w:val="Normal"/>
    <w:uiPriority w:val="34"/>
    <w:qFormat/>
    <w:rsid w:val="00C65254"/>
    <w:pPr>
      <w:ind w:left="720"/>
      <w:contextualSpacing/>
    </w:pPr>
  </w:style>
  <w:style w:type="character" w:styleId="IntenseEmphasis">
    <w:name w:val="Intense Emphasis"/>
    <w:basedOn w:val="DefaultParagraphFont"/>
    <w:uiPriority w:val="21"/>
    <w:qFormat/>
    <w:rsid w:val="00C65254"/>
    <w:rPr>
      <w:i/>
      <w:iCs/>
      <w:color w:val="0F4761" w:themeColor="accent1" w:themeShade="BF"/>
    </w:rPr>
  </w:style>
  <w:style w:type="paragraph" w:styleId="IntenseQuote">
    <w:name w:val="Intense Quote"/>
    <w:basedOn w:val="Normal"/>
    <w:next w:val="Normal"/>
    <w:link w:val="IntenseQuoteChar"/>
    <w:uiPriority w:val="30"/>
    <w:qFormat/>
    <w:rsid w:val="00C65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254"/>
    <w:rPr>
      <w:i/>
      <w:iCs/>
      <w:color w:val="0F4761" w:themeColor="accent1" w:themeShade="BF"/>
    </w:rPr>
  </w:style>
  <w:style w:type="character" w:styleId="IntenseReference">
    <w:name w:val="Intense Reference"/>
    <w:basedOn w:val="DefaultParagraphFont"/>
    <w:uiPriority w:val="32"/>
    <w:qFormat/>
    <w:rsid w:val="00C65254"/>
    <w:rPr>
      <w:b/>
      <w:bCs/>
      <w:smallCaps/>
      <w:color w:val="0F4761" w:themeColor="accent1" w:themeShade="BF"/>
      <w:spacing w:val="5"/>
    </w:rPr>
  </w:style>
  <w:style w:type="paragraph" w:styleId="NoSpacing">
    <w:name w:val="No Spacing"/>
    <w:uiPriority w:val="1"/>
    <w:qFormat/>
    <w:rsid w:val="00636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6341">
      <w:bodyDiv w:val="1"/>
      <w:marLeft w:val="0"/>
      <w:marRight w:val="0"/>
      <w:marTop w:val="0"/>
      <w:marBottom w:val="0"/>
      <w:divBdr>
        <w:top w:val="none" w:sz="0" w:space="0" w:color="auto"/>
        <w:left w:val="none" w:sz="0" w:space="0" w:color="auto"/>
        <w:bottom w:val="none" w:sz="0" w:space="0" w:color="auto"/>
        <w:right w:val="none" w:sz="0" w:space="0" w:color="auto"/>
      </w:divBdr>
    </w:div>
    <w:div w:id="16105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Correla Limited</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Bignell</dc:creator>
  <cp:keywords/>
  <dc:description/>
  <cp:lastModifiedBy>Jordan Bignell</cp:lastModifiedBy>
  <cp:revision>16</cp:revision>
  <dcterms:created xsi:type="dcterms:W3CDTF">2025-03-11T11:00:00Z</dcterms:created>
  <dcterms:modified xsi:type="dcterms:W3CDTF">2025-03-11T15:28:00Z</dcterms:modified>
</cp:coreProperties>
</file>