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Back-matter pages for both books</w:t>
      </w:r>
    </w:p>
    <w:p>
      <w:r>
        <w:rPr>
          <w:b w:val="0"/>
          <w:i w:val="0"/>
        </w:rPr>
        <w:t>Copy each page into the book's Word file where its note says. The grey notes in italics are for you only: don't paste them. The QR codes are images: copy them in too, or use the files in launch/qr/.</w:t>
      </w:r>
    </w:p>
    <w:p>
      <w:r>
        <w:rPr>
          <w:b w:val="0"/>
          <w:i/>
        </w:rPr>
        <w:t>Every address here is on getcivicarmor.com. They work once the hub is live, and they keep working even if where you sell the books changes: you change hub/config.js, never the printed page.</w:t>
      </w:r>
    </w:p>
    <w:p>
      <w:r>
        <w:br w:type="page"/>
      </w:r>
    </w:p>
    <w:p>
      <w:pPr>
        <w:pStyle w:val="Heading1"/>
      </w:pPr>
      <w:r>
        <w:t>THE SECOND NUMBER, BOOK ONE</w:t>
      </w:r>
    </w:p>
    <w:p>
      <w:r>
        <w:rPr>
          <w:i/>
          <w:color w:val="6B6676"/>
          <w:sz w:val="19"/>
        </w:rPr>
        <w:t>▸ Page 1 of 2. It goes after “A note on the numbers” and the reading list, on its own page. Gloria names Civic Armor in the last chapter; this page tells the reader it's real.</w:t>
      </w:r>
    </w:p>
    <w:p>
      <w:pPr>
        <w:pStyle w:val="Heading2"/>
      </w:pPr>
      <w:r>
        <w:t>Civic Armor is real</w:t>
      </w:r>
    </w:p>
    <w:p>
      <w:r>
        <w:rPr>
          <w:b w:val="0"/>
          <w:i w:val="0"/>
        </w:rPr>
        <w:t>Gloria named it on a porch on Elmhurst: armor, ’cause it covers you. Civic, ’cause it ain’t yours.</w:t>
      </w:r>
    </w:p>
    <w:p>
      <w:r>
        <w:rPr>
          <w:b w:val="0"/>
          <w:i w:val="0"/>
        </w:rPr>
        <w:t>What Marcus could see, you can learn. Not with a Sight. With a method, and with the people on your block.</w:t>
      </w:r>
    </w:p>
    <w:p>
      <w:r>
        <w:rPr>
          <w:b/>
        </w:rPr>
        <w:t>The Third Option.</w:t>
      </w:r>
      <w:r>
        <w:t xml:space="preserve"> The Civic Armor guide for your own job: how to recognize, document and prove what’s happening at work, before you ever see a lawyer.</w:t>
      </w:r>
    </w:p>
    <w:p>
      <w:r>
        <w:rPr>
          <w:b/>
          <w:color w:val="8A5A00"/>
        </w:rPr>
        <w:t>getcivicarmor.com/guide</w:t>
      </w:r>
    </w:p>
    <w:p>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qr_third_option.png"/>
                    <pic:cNvPicPr/>
                  </pic:nvPicPr>
                  <pic:blipFill>
                    <a:blip r:embed="rId9"/>
                    <a:stretch>
                      <a:fillRect/>
                    </a:stretch>
                  </pic:blipFill>
                  <pic:spPr>
                    <a:xfrm>
                      <a:off x="0" y="0"/>
                      <a:ext cx="1005840" cy="1005840"/>
                    </a:xfrm>
                    <a:prstGeom prst="rect"/>
                  </pic:spPr>
                </pic:pic>
              </a:graphicData>
            </a:graphic>
          </wp:inline>
        </w:drawing>
      </w:r>
    </w:p>
    <w:p>
      <w:r>
        <w:rPr>
          <w:b/>
        </w:rPr>
        <w:t>The Second Number, the game.</w:t>
      </w:r>
      <w:r>
        <w:t xml:space="preserve"> A cooperative game for 1 to 5 players. Read the deals with your family, your class or your church. Free to play in English and Spanish.</w:t>
      </w:r>
    </w:p>
    <w:p>
      <w:r>
        <w:rPr>
          <w:b/>
          <w:color w:val="8A5A00"/>
        </w:rPr>
        <w:t>getcivicarmor.com/play</w:t>
      </w:r>
    </w:p>
    <w:p>
      <w:r>
        <w:drawing>
          <wp:inline xmlns:a="http://schemas.openxmlformats.org/drawingml/2006/main" xmlns:pic="http://schemas.openxmlformats.org/drawingml/2006/picture">
            <wp:extent cx="1005840" cy="1005840"/>
            <wp:docPr id="2" name="Picture 2"/>
            <wp:cNvGraphicFramePr>
              <a:graphicFrameLocks noChangeAspect="1"/>
            </wp:cNvGraphicFramePr>
            <a:graphic>
              <a:graphicData uri="http://schemas.openxmlformats.org/drawingml/2006/picture">
                <pic:pic>
                  <pic:nvPicPr>
                    <pic:cNvPr id="0" name="qr_play.png"/>
                    <pic:cNvPicPr/>
                  </pic:nvPicPr>
                  <pic:blipFill>
                    <a:blip r:embed="rId10"/>
                    <a:stretch>
                      <a:fillRect/>
                    </a:stretch>
                  </pic:blipFill>
                  <pic:spPr>
                    <a:xfrm>
                      <a:off x="0" y="0"/>
                      <a:ext cx="1005840" cy="1005840"/>
                    </a:xfrm>
                    <a:prstGeom prst="rect"/>
                  </pic:spPr>
                </pic:pic>
              </a:graphicData>
            </a:graphic>
          </wp:inline>
        </w:drawing>
      </w:r>
    </w:p>
    <w:p>
      <w:r>
        <w:rPr>
          <w:b/>
        </w:rPr>
        <w:t>Book Two, and everything after.</w:t>
      </w:r>
      <w:r>
        <w:t xml:space="preserve"> New books, the boxed game and the Civic Armor course: join the list.</w:t>
      </w:r>
    </w:p>
    <w:p>
      <w:r>
        <w:rPr>
          <w:b/>
          <w:color w:val="8A5A00"/>
        </w:rPr>
        <w:t>getcivicarmor.com</w:t>
      </w:r>
    </w:p>
    <w:p>
      <w:r>
        <w:br w:type="page"/>
      </w:r>
    </w:p>
    <w:p>
      <w:r>
        <w:rPr>
          <w:i/>
          <w:color w:val="6B6676"/>
          <w:sz w:val="19"/>
        </w:rPr>
        <w:t>▸ Page 2 of 2: About the author. A draft from what's in The Third Option's introduction; make it yours.</w:t>
      </w:r>
    </w:p>
    <w:p>
      <w:pPr>
        <w:pStyle w:val="Heading2"/>
      </w:pPr>
      <w:r>
        <w:t>About the author</w:t>
      </w:r>
    </w:p>
    <w:p>
      <w:r>
        <w:rPr>
          <w:b w:val="0"/>
          <w:i w:val="0"/>
        </w:rPr>
        <w:t>Lamont Ragland II spent more than three years studying real discrimination cases, one at a time, and studying history the same way: how the smaller side, the one with less power, still finds a way to win. What he found became Civic Armor, a method for reading the machine in your own life, and The Second Number, a novel and a cooperative board game that teach the same thing at the kitchen table.</w:t>
      </w:r>
    </w:p>
    <w:p>
      <w:r>
        <w:rPr>
          <w:b w:val="0"/>
          <w:i w:val="0"/>
        </w:rPr>
        <w:t>He is not a lawyer. He is the person who helps you understand what happened before you ever walk into a lawyer’s office.</w:t>
      </w:r>
    </w:p>
    <w:p>
      <w:r>
        <w:rPr>
          <w:b/>
          <w:i w:val="0"/>
          <w:color w:val="8A5A00"/>
        </w:rPr>
        <w:t>getcivicarmor.com</w:t>
      </w:r>
    </w:p>
    <w:p>
      <w:r>
        <w:br w:type="page"/>
      </w:r>
    </w:p>
    <w:p>
      <w:pPr>
        <w:pStyle w:val="Heading1"/>
      </w:pPr>
      <w:r>
        <w:t>THE THIRD OPTION</w:t>
      </w:r>
    </w:p>
    <w:p>
      <w:r>
        <w:rPr>
          <w:i/>
          <w:color w:val="6B6676"/>
          <w:sz w:val="19"/>
        </w:rPr>
        <w:t>▸ Fix 1: the copyright page. It says “Published by Force Multiplier LLC” and “an instrument of Force Multiplier LLC.” Use the exact legal name on your state filing (the funnel says Force Multiplier HQ LLC) in both places. Replace those lines with:</w:t>
      </w:r>
    </w:p>
    <w:p>
      <w:r>
        <w:rPr>
          <w:b w:val="0"/>
          <w:i w:val="0"/>
        </w:rPr>
        <w:t>A Civic Armor Guide · Published by Force Multiplier HQ LLC, doing business as Civic Armor</w:t>
      </w:r>
    </w:p>
    <w:p>
      <w:r>
        <w:rPr>
          <w:b w:val="0"/>
          <w:i w:val="0"/>
        </w:rPr>
        <w:t>Copyright © 2026 by Lamont Ragland II. All rights reserved. Civic Armor™ is a trademark of Force Multiplier HQ LLC.</w:t>
      </w:r>
    </w:p>
    <w:p>
      <w:r>
        <w:rPr>
          <w:b w:val="0"/>
          <w:i w:val="0"/>
        </w:rPr>
        <w:t>getcivicarmor.com</w:t>
      </w:r>
    </w:p>
    <w:p>
      <w:r>
        <w:br w:type="page"/>
      </w:r>
    </w:p>
    <w:p>
      <w:r>
        <w:rPr>
          <w:i/>
          <w:color w:val="6B6676"/>
          <w:sz w:val="19"/>
        </w:rPr>
        <w:t>▸ Fix 2: the bracketed “PENDING ATTORNEY VERIFICATION … remove before publication” note near the end must not ship. Best: have an employment attorney write those topics. If the book ships first, delete the bracketed note and put this honest box in its place:</w:t>
      </w:r>
    </w:p>
    <w:p>
      <w:pPr>
        <w:pStyle w:val="Heading2"/>
      </w:pPr>
      <w:r>
        <w:t>What this edition doesn’t cover</w:t>
      </w:r>
    </w:p>
    <w:p>
      <w:r>
        <w:rPr>
          <w:b w:val="0"/>
          <w:i w:val="0"/>
        </w:rPr>
        <w:t>Some rules depend on your state, the size of your employer and your exact situation, and this edition doesn’t cover them in detail. Ask a licensed employment attorney about each of these, and ask early, because some of the deadlines are short:</w:t>
      </w:r>
    </w:p>
    <w:p>
      <w:pPr>
        <w:pStyle w:val="ListBullet"/>
      </w:pPr>
      <w:r>
        <w:t>how long you have to file a lawsuit after the EEOC sends a notice of right to sue (often 90 days)</w:t>
      </w:r>
    </w:p>
    <w:p>
      <w:pPr>
        <w:pStyle w:val="ListBullet"/>
      </w:pPr>
      <w:r>
        <w:t>severance agreements, and the review time older workers get before signing one in a layoff</w:t>
      </w:r>
    </w:p>
    <w:p>
      <w:pPr>
        <w:pStyle w:val="ListBullet"/>
      </w:pPr>
      <w:r>
        <w:t>whether your employer is big enough to be covered by a particular law</w:t>
      </w:r>
    </w:p>
    <w:p>
      <w:pPr>
        <w:pStyle w:val="ListBullet"/>
      </w:pPr>
      <w:r>
        <w:t>your state’s rules on recording conversations</w:t>
      </w:r>
    </w:p>
    <w:p>
      <w:pPr>
        <w:pStyle w:val="ListBullet"/>
      </w:pPr>
      <w:r>
        <w:t>your duty to look for other work after losing a job</w:t>
      </w:r>
    </w:p>
    <w:p>
      <w:pPr>
        <w:pStyle w:val="ListBullet"/>
      </w:pPr>
      <w:r>
        <w:t>every protected class, including national origin, color, genetic information, sexual orientation and gender identity</w:t>
      </w:r>
    </w:p>
    <w:p>
      <w:pPr>
        <w:pStyle w:val="ListBullet"/>
      </w:pPr>
      <w:r>
        <w:t>the particular shape of retaliation claims and failure-to-accommodate claims</w:t>
      </w:r>
    </w:p>
    <w:p>
      <w:r>
        <w:rPr>
          <w:b w:val="0"/>
          <w:i/>
        </w:rPr>
        <w:t>This book helps you see and prepare. A lawyer confirms and acts.</w:t>
      </w:r>
    </w:p>
    <w:p>
      <w:r>
        <w:br w:type="page"/>
      </w:r>
    </w:p>
    <w:p>
      <w:r>
        <w:rPr>
          <w:i/>
          <w:color w:val="6B6676"/>
          <w:sz w:val="19"/>
        </w:rPr>
        <w:t>▸ Fix 3: “The Next Step” page. Keep its text and add this at the bottom, so the reader has somewhere to go. getcivicarmor.com/course sends people to the course section of the hub (a waitlist until the course opens).</w:t>
      </w:r>
    </w:p>
    <w:p>
      <w:r>
        <w:rPr>
          <w:b/>
        </w:rPr>
        <w:t>The Civic Armor course:</w:t>
      </w:r>
      <w:r>
        <w:t xml:space="preserve"> </w:t>
      </w:r>
    </w:p>
    <w:p>
      <w:r>
        <w:rPr>
          <w:b/>
          <w:color w:val="8A5A00"/>
        </w:rPr>
        <w:t>getcivicarmor.com/course</w:t>
      </w:r>
    </w:p>
    <w:p>
      <w:r>
        <w:drawing>
          <wp:inline xmlns:a="http://schemas.openxmlformats.org/drawingml/2006/main" xmlns:pic="http://schemas.openxmlformats.org/drawingml/2006/picture">
            <wp:extent cx="1005840" cy="1005840"/>
            <wp:docPr id="3" name="Picture 3"/>
            <wp:cNvGraphicFramePr>
              <a:graphicFrameLocks noChangeAspect="1"/>
            </wp:cNvGraphicFramePr>
            <a:graphic>
              <a:graphicData uri="http://schemas.openxmlformats.org/drawingml/2006/picture">
                <pic:pic>
                  <pic:nvPicPr>
                    <pic:cNvPr id="0" name="qr_course.png"/>
                    <pic:cNvPicPr/>
                  </pic:nvPicPr>
                  <pic:blipFill>
                    <a:blip r:embed="rId11"/>
                    <a:stretch>
                      <a:fillRect/>
                    </a:stretch>
                  </pic:blipFill>
                  <pic:spPr>
                    <a:xfrm>
                      <a:off x="0" y="0"/>
                      <a:ext cx="1005840" cy="1005840"/>
                    </a:xfrm>
                    <a:prstGeom prst="rect"/>
                  </pic:spPr>
                </pic:pic>
              </a:graphicData>
            </a:graphic>
          </wp:inline>
        </w:drawing>
      </w:r>
    </w:p>
    <w:p>
      <w:r>
        <w:br w:type="page"/>
      </w:r>
    </w:p>
    <w:p>
      <w:r>
        <w:rPr>
          <w:i/>
          <w:color w:val="6B6676"/>
          <w:sz w:val="19"/>
        </w:rPr>
        <w:t>▸ New last page, after “The Next Step.” It's for readers who'd like the story: Renée's readers meet Marcus.</w:t>
      </w:r>
    </w:p>
    <w:p>
      <w:pPr>
        <w:pStyle w:val="Heading2"/>
      </w:pPr>
      <w:r>
        <w:t>If you want the story</w:t>
      </w:r>
    </w:p>
    <w:p>
      <w:r>
        <w:rPr>
          <w:b w:val="0"/>
          <w:i w:val="0"/>
        </w:rPr>
        <w:t>The method in this book has a world behind it.</w:t>
      </w:r>
    </w:p>
    <w:p>
      <w:r>
        <w:rPr>
          <w:b/>
        </w:rPr>
        <w:t>The Second Number, Book One.</w:t>
      </w:r>
      <w:r>
        <w:t xml:space="preserve"> A novel. At eighteen, Marcus Ellison signed a plea so he could go home. Then he wakes up on graduation day, able to see the hidden cost in every deal on his block, and has to decide what to do with it without becoming the thing he’s reading.</w:t>
      </w:r>
    </w:p>
    <w:p>
      <w:r>
        <w:rPr>
          <w:b/>
          <w:color w:val="8A5A00"/>
        </w:rPr>
        <w:t>getcivicarmor.com/book</w:t>
      </w:r>
    </w:p>
    <w:p>
      <w:r>
        <w:drawing>
          <wp:inline xmlns:a="http://schemas.openxmlformats.org/drawingml/2006/main" xmlns:pic="http://schemas.openxmlformats.org/drawingml/2006/picture">
            <wp:extent cx="1005840" cy="1005840"/>
            <wp:docPr id="4" name="Picture 4"/>
            <wp:cNvGraphicFramePr>
              <a:graphicFrameLocks noChangeAspect="1"/>
            </wp:cNvGraphicFramePr>
            <a:graphic>
              <a:graphicData uri="http://schemas.openxmlformats.org/drawingml/2006/picture">
                <pic:pic>
                  <pic:nvPicPr>
                    <pic:cNvPr id="0" name="qr_book.png"/>
                    <pic:cNvPicPr/>
                  </pic:nvPicPr>
                  <pic:blipFill>
                    <a:blip r:embed="rId12"/>
                    <a:stretch>
                      <a:fillRect/>
                    </a:stretch>
                  </pic:blipFill>
                  <pic:spPr>
                    <a:xfrm>
                      <a:off x="0" y="0"/>
                      <a:ext cx="1005840" cy="1005840"/>
                    </a:xfrm>
                    <a:prstGeom prst="rect"/>
                  </pic:spPr>
                </pic:pic>
              </a:graphicData>
            </a:graphic>
          </wp:inline>
        </w:drawing>
      </w:r>
    </w:p>
    <w:p>
      <w:r>
        <w:rPr>
          <w:b/>
        </w:rPr>
        <w:t>The Second Number, the game.</w:t>
      </w:r>
      <w:r>
        <w:t xml:space="preserve"> Read the deals with your family, your class or your church. Free to play.</w:t>
      </w:r>
    </w:p>
    <w:p>
      <w:r>
        <w:rPr>
          <w:b/>
          <w:color w:val="8A5A00"/>
        </w:rPr>
        <w:t>getcivicarmor.com/play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