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범주형 데이터 표본편향 종합분석</w:t>
      </w:r>
    </w:p>
    <w:p>
      <w:pPr>
        <w:jc w:val="center"/>
      </w:pPr>
      <w:r>
        <w:rPr>
          <w:sz w:val="27"/>
        </w:rPr>
        <w:t>36개월 완전관측 기준과 35개월 이상 관측 기준의 민감도 비교</w:t>
      </w:r>
    </w:p>
    <w:p>
      <w:pPr>
        <w:jc w:val="center"/>
      </w:pPr>
      <w:r>
        <w:rPr>
          <w:sz w:val="19"/>
        </w:rPr>
        <w:t>분석기간 2023.01–2025.12 | 법인 15,473개 | 범주형 변수 6개</w:t>
      </w:r>
    </w:p>
    <w:p/>
    <w:p>
      <w:pPr>
        <w:pStyle w:val="Heading1"/>
      </w:pPr>
      <w:r>
        <w:t>핵심 결론</w:t>
      </w:r>
    </w:p>
    <w:p>
      <w:r>
        <w:rPr>
          <w:b/>
        </w:rPr>
        <w:t xml:space="preserve">35개월 이상으로 표본 기준을 완화하면 분석군은 3,372개에서 4,784개로 1,412개 늘지만, 범주형 표본편향은 완화되지 않았다. </w:t>
      </w:r>
      <w:r>
        <w:t>6개 변수의 Cramér's V가 모두 증가했고, 평균 V는 0.1401에서 0.1611로, 중앙값은 0.1377에서 0.1630으로 상승했다. 각 변수에서 가장 큰 범주 구성비 격차도 6개 중 4개에서 확대되었다.</w:t>
      </w:r>
    </w:p>
    <w:p>
      <w:r>
        <w:rPr>
          <w:b/>
        </w:rPr>
        <w:t xml:space="preserve">다만 두 기준 모두 Cramér's V 자체는 노트북의 해석 기준상 '약한 차이' 수준이다. </w:t>
      </w:r>
      <w:r>
        <w:t>따라서 '전체적으로 매우 큰 편향'이라고 단정하기보다, 고객등급·전담여부·지역 등 일부 핵심 범주에서 실질적인 구성 차이가 존재한다는 식으로 해석하는 것이 적절하다. 특히 일반 고객과 비전담 고객은 장기관측군에서 적고, 우수·최우수/전담 고객과 대구·경북 및 건설 관련 법인은 상대적으로 많이 포함된다.</w:t>
      </w:r>
    </w:p>
    <w:p>
      <w:pPr>
        <w:pStyle w:val="Heading1"/>
      </w:pPr>
      <w:r>
        <w:t>1. 분석 설계</w:t>
      </w:r>
    </w:p>
    <w:p>
      <w:r>
        <w:rPr>
          <w:b/>
        </w:rPr>
        <w:t xml:space="preserve">대상 변수. </w:t>
      </w:r>
      <w:r>
        <w:t>업종_대분류, 업종_중분류, 사업장_시도, 사업장_시군구, 법인_고객등급, 전담고객여부의 6개 범주형 변수를 사용했다.</w:t>
      </w:r>
    </w:p>
    <w:p>
      <w:r>
        <w:rPr>
          <w:b/>
        </w:rPr>
        <w:t xml:space="preserve">법인별 대표값. </w:t>
      </w:r>
      <w:r>
        <w:t>관측기간 중 최빈값(mode)을 법인의 대표 범주로 사용했으며, 최빈값이 동률이면 가장 최근 관측값을 선택했다. 따라서 월별 행을 그대로 비교하지 않고 법인당 1개 대표 특성으로 비교했다.</w:t>
      </w:r>
    </w:p>
    <w:p>
      <w:r>
        <w:rPr>
          <w:b/>
        </w:rPr>
        <w:t xml:space="preserve">통계 검정. </w:t>
      </w:r>
      <w:r>
        <w:t>집단과 범주형 변수의 독립성은 Pearson 카이제곱 검정으로 평가하고, 연관성의 크기는 Cramér's V로 요약했다. 또한 범주별 구성비 차이(분석군−제외군, %p)를 계산해 실제 표본구성 차이의 방향과 크기를 확인했다.</w:t>
      </w:r>
    </w:p>
    <w:p>
      <w:r>
        <w:rPr>
          <w:b/>
        </w:rPr>
        <w:t xml:space="preserve">민감도 분석. </w:t>
      </w:r>
      <w:r>
        <w:t>동일한 방법론을 36개월 완전관측군과 35개월 이상 관측군에 각각 적용하고, Cramér's V와 범주별 구성비 차이가 기준 완화 후 어떻게 변하는지 비교했다.</w:t>
      </w:r>
    </w:p>
    <w:p>
      <w:pPr>
        <w:pStyle w:val="Heading1"/>
      </w:pPr>
      <w:r>
        <w:t>2. 36개월 완전관측 기준</w:t>
      </w:r>
    </w:p>
    <w:p>
      <w:pPr>
        <w:pStyle w:val="ListBullet"/>
      </w:pPr>
      <w:r>
        <w:t>분석군 3,372개, 제외군 12,101개로 분석군 비율은 21.79%였다.</w:t>
      </w:r>
    </w:p>
    <w:p>
      <w:pPr>
        <w:pStyle w:val="ListBullet"/>
      </w:pPr>
      <w:r>
        <w:t>6개 변수 모두 카이제곱 검정에서 p&lt;0.001이었으며, Cramér's V는 0.1049~0.1750으로 모두 노트북 기준 '약한 차이'였다.</w:t>
      </w:r>
    </w:p>
    <w:p>
      <w:pPr>
        <w:pStyle w:val="ListBullet"/>
      </w:pPr>
      <w:r>
        <w:t>가장 큰 V는 법인_고객등급 0.1750, 전담고객여부 0.1578, 업종_중분류 0.1425 순이었다.</w:t>
      </w:r>
    </w:p>
    <w:p>
      <w:pPr>
        <w:pStyle w:val="ListBullet"/>
      </w:pPr>
      <w:r>
        <w:t>법인_고객등급에서 일반 고객은 완전관측군 18.74% vs 제외군 38.86%로 -20.12%p, 최우수는 +11.47%p, 우수는 +8.66%p였다.</w:t>
      </w:r>
    </w:p>
    <w:p>
      <w:pPr>
        <w:pStyle w:val="ListBullet"/>
      </w:pPr>
      <w:r>
        <w:t>전담고객여부는 N이 -17.08%p, Y가 +17.08%p로 장기관측군에서 전담고객 비중이 높았다.</w:t>
      </w:r>
    </w:p>
    <w:p>
      <w:pPr>
        <w:pStyle w:val="ListBullet"/>
      </w:pPr>
      <w:r>
        <w:t>지역은 수도권 -8.46%p, 대구 +6.23%p, 경북 +4.80%p였고, 업종은 건설업 +4.84%p, 전문직별 공사업 +3.34%p가 주요 차이였다.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변수</w:t>
            </w:r>
          </w:p>
        </w:tc>
        <w:tc>
          <w:tcPr>
            <w:tcW w:type="dxa" w:w="170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Cramér's V</w:t>
            </w:r>
          </w:p>
        </w:tc>
        <w:tc>
          <w:tcPr>
            <w:tcW w:type="dxa" w:w="170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최대차이 범주</w:t>
            </w:r>
          </w:p>
        </w:tc>
        <w:tc>
          <w:tcPr>
            <w:tcW w:type="dxa" w:w="170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완전관측군(%)</w:t>
            </w:r>
          </w:p>
        </w:tc>
        <w:tc>
          <w:tcPr>
            <w:tcW w:type="dxa" w:w="170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제외군(%)</w:t>
            </w:r>
          </w:p>
        </w:tc>
        <w:tc>
          <w:tcPr>
            <w:tcW w:type="dxa" w:w="170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차이(%p)</w:t>
            </w:r>
          </w:p>
        </w:tc>
      </w:tr>
      <w:tr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법인_고객등급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0.1750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일반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18.74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38.86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-20.12</w:t>
            </w:r>
          </w:p>
        </w:tc>
      </w:tr>
      <w:tr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전담고객여부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0.1578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N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14.09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31.16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-17.08</w:t>
            </w:r>
          </w:p>
        </w:tc>
      </w:tr>
      <w:tr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업종_중분류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0.1425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전문직별 공사업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11.06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7.73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+3.34</w:t>
            </w:r>
          </w:p>
        </w:tc>
      </w:tr>
      <w:tr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사업장_시군구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0.1329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대구광역시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44.42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38.20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+6.23</w:t>
            </w:r>
          </w:p>
        </w:tc>
      </w:tr>
      <w:tr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사업장_시도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0.1274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수도권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7.35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15.82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-8.46</w:t>
            </w:r>
          </w:p>
        </w:tc>
      </w:tr>
      <w:tr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업종_대분류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0.1049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건설업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17.29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12.45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+4.84</w:t>
            </w:r>
          </w:p>
        </w:tc>
      </w:tr>
    </w:tbl>
    <w:p>
      <w:pPr>
        <w:pStyle w:val="Heading2"/>
      </w:pPr>
      <w:r>
        <w:t>2.1 36개월 기준 해석</w:t>
      </w:r>
    </w:p>
    <w:p>
      <w:r>
        <w:t>Cramér's V만 보면 변수별 연관성은 모두 약한 수준이지만, 실제 구성비를 보면 고객등급과 전담여부에서 약 17~20%p의 차이가 나타난다. 따라서 36개월 완전관측군은 단순히 '관측 누락이 없는 무작위 표본'이 아니라, 고객관계가 상대적으로 깊고 특정 지역·업종의 비중이 높은 법인을 더 많이 포함하는 표본으로 해석해야 한다.</w:t>
      </w:r>
    </w:p>
    <w:p>
      <w:pPr>
        <w:pStyle w:val="Heading1"/>
      </w:pPr>
      <w:r>
        <w:t>3. 35개월 이상 기준</w:t>
      </w:r>
    </w:p>
    <w:p>
      <w:pPr>
        <w:pStyle w:val="ListBullet"/>
      </w:pPr>
      <w:r>
        <w:t>분석군 4,784개, 제외군 10,689개로 전체 법인의 30.92%가 분석군에 포함되며, 정확히 35개월 관측 법인 1,412개가 추가된다.</w:t>
      </w:r>
    </w:p>
    <w:p>
      <w:pPr>
        <w:pStyle w:val="ListBullet"/>
      </w:pPr>
      <w:r>
        <w:t>6개 변수 모두 p&lt;0.001이고 Cramér's V는 0.1225~0.1849로 노트북 기준 모두 '약한 차이'였다.</w:t>
      </w:r>
    </w:p>
    <w:p>
      <w:pPr>
        <w:pStyle w:val="ListBullet"/>
      </w:pPr>
      <w:r>
        <w:t>V는 법인_고객등급 0.1849, 전담고객여부 0.1747, 사업장_시군구 0.1630, 업종_중분류 0.1629 순이었다.</w:t>
      </w:r>
    </w:p>
    <w:p>
      <w:pPr>
        <w:pStyle w:val="ListBullet"/>
      </w:pPr>
      <w:r>
        <w:t>일반 고객은 -19.02%p, 전담 N은 -16.88%p, 수도권은 -9.42%p로 35개월 이상군에서 낮았다.</w:t>
      </w:r>
    </w:p>
    <w:p>
      <w:pPr>
        <w:pStyle w:val="ListBullet"/>
      </w:pPr>
      <w:r>
        <w:t>반대로 전담 Y +16.88%p, 최우수 +10.16%p, 우수 +8.86%p, 대구 +7.98%p, 건설업 +6.27%p, 전문직별 공사업 +4.53%p였다.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변수</w:t>
            </w:r>
          </w:p>
        </w:tc>
        <w:tc>
          <w:tcPr>
            <w:tcW w:type="dxa" w:w="170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Cramér's V</w:t>
            </w:r>
          </w:p>
        </w:tc>
        <w:tc>
          <w:tcPr>
            <w:tcW w:type="dxa" w:w="170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최대차이 범주</w:t>
            </w:r>
          </w:p>
        </w:tc>
        <w:tc>
          <w:tcPr>
            <w:tcW w:type="dxa" w:w="170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35개월이상군(%)</w:t>
            </w:r>
          </w:p>
        </w:tc>
        <w:tc>
          <w:tcPr>
            <w:tcW w:type="dxa" w:w="170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34개월이하군(%)</w:t>
            </w:r>
          </w:p>
        </w:tc>
        <w:tc>
          <w:tcPr>
            <w:tcW w:type="dxa" w:w="1700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차이(%p)</w:t>
            </w:r>
          </w:p>
        </w:tc>
      </w:tr>
      <w:tr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법인_고객등급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0.1849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일반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21.34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40.36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-19.02</w:t>
            </w:r>
          </w:p>
        </w:tc>
      </w:tr>
      <w:tr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전담고객여부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0.1747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N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15.78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32.66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-16.88</w:t>
            </w:r>
          </w:p>
        </w:tc>
      </w:tr>
      <w:tr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사업장_시군구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0.1630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대구광역시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45.07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37.08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+7.98</w:t>
            </w:r>
          </w:p>
        </w:tc>
      </w:tr>
      <w:tr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업종_중분류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0.1629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전문직별 공사업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11.58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7.05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+4.53</w:t>
            </w:r>
          </w:p>
        </w:tc>
      </w:tr>
      <w:tr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사업장_시도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0.1584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수도권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7.46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16.89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-9.42</w:t>
            </w:r>
          </w:p>
        </w:tc>
      </w:tr>
      <w:tr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업종_대분류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0.1225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건설업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17.83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11.56</w:t>
            </w:r>
          </w:p>
        </w:tc>
        <w:tc>
          <w:tcPr>
            <w:tcW w:type="dxa" w:w="1700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+6.27</w:t>
            </w:r>
          </w:p>
        </w:tc>
      </w:tr>
    </w:tbl>
    <w:p>
      <w:pPr>
        <w:pStyle w:val="Heading2"/>
      </w:pPr>
      <w:r>
        <w:t>3.1 35개월 이상 기준 해석</w:t>
      </w:r>
    </w:p>
    <w:p>
      <w:r>
        <w:t>표본 수는 늘었지만 구성상 특징은 36개월 기준과 거의 같은 방향으로 유지됐다. 즉 일반·비전담·수도권 법인은 상대적으로 덜 포함되고, 우수·최우수/전담·대구 및 건설 관련 법인은 상대적으로 더 포함된다. 35개월 기준 역시 전체 법인고객의 구성과 동일하다고 보기 어렵다.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91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cal_cramers_v_36_vs_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9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그림 1. 범주형 6개 변수의 Cramér's V 비교</w:t>
      </w:r>
    </w:p>
    <w:p>
      <w:pPr>
        <w:pStyle w:val="Heading1"/>
      </w:pPr>
      <w:r>
        <w:t>4. 36개월 vs 35개월 이상 민감도 비교</w:t>
      </w:r>
    </w:p>
    <w:p>
      <w:pPr>
        <w:pStyle w:val="ListBullet"/>
      </w:pPr>
      <w:r>
        <w:t>분석군은 3,372개→4,784개로 1,412개(+41.9%) 증가했고, 전체 법인 포함률은 21.79%→30.92%로 +9.13%p 상승했다.</w:t>
      </w:r>
    </w:p>
    <w:p>
      <w:pPr>
        <w:pStyle w:val="ListBullet"/>
      </w:pPr>
      <w:r>
        <w:t>Cramér's V는 6개 변수 모두 증가했다. 평균은 0.1401→0.1611, 중앙값은 0.1377→0.1630이다.</w:t>
      </w:r>
    </w:p>
    <w:p>
      <w:pPr>
        <w:pStyle w:val="ListBullet"/>
      </w:pPr>
      <w:r>
        <w:t>V 증가폭은 사업장_시도 +0.0310, 사업장_시군구 +0.0301, 업종_중분류 +0.0204, 업종_대분류 +0.0176, 전담고객여부 +0.0169, 법인_고객등급 +0.0099였다.</w:t>
      </w:r>
    </w:p>
    <w:p>
      <w:pPr>
        <w:pStyle w:val="ListBullet"/>
      </w:pPr>
      <w:r>
        <w:t>각 변수의 최대 절대 범주차이는 6개 중 4개에서 확대되고 2개에서 축소됐다.</w:t>
      </w:r>
    </w:p>
    <w:p>
      <w:pPr>
        <w:pStyle w:val="ListBullet"/>
      </w:pPr>
      <w:r>
        <w:t>축소: 일반 고객 20.12→19.02%p, 전담 N 17.08→16.88%p.</w:t>
      </w:r>
    </w:p>
    <w:p>
      <w:pPr>
        <w:pStyle w:val="ListBullet"/>
      </w:pPr>
      <w:r>
        <w:t>확대: 수도권 8.46→9.42%p, 대구 6.23→7.98%p, 건설업 4.84→6.27%p, 전문직별 공사업 3.34→4.53%p.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91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cal_max_category_gap_36_vs_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9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그림 2. 변수별 최대 절대 구성비 차이 비교</w:t>
      </w:r>
    </w:p>
    <w:p>
      <w:pPr>
        <w:pStyle w:val="Heading2"/>
      </w:pPr>
      <w:r>
        <w:t>4.1 민감도 비교의 해석</w:t>
      </w:r>
    </w:p>
    <w:p>
      <w:r>
        <w:t>35개월 이상으로 기준을 완화하면 표본의 범위는 확실히 넓어진다. 그러나 범주형 기본 특성에 대한 선택편향이 감소했다고 보기는 어렵다. Cramér's V가 전 변수에서 증가했고, 지역·업종의 최대 범주격차도 커졌다. 고객등급과 전담여부의 최대 격차는 소폭 줄었지만 여전히 각각 약 19%p, 17%p로 크다. 따라서 기준 완화의 주된 효과는 대표성 개선이라기보다 정확히 35개월 관측 법인을 추가해 분석대상을 확대하는 데 있다.</w:t>
      </w:r>
    </w:p>
    <w:p>
      <w:pPr>
        <w:pStyle w:val="Heading1"/>
      </w:pPr>
      <w:r>
        <w:t>5. 최종 결론</w:t>
      </w:r>
    </w:p>
    <w:p>
      <w:r>
        <w:rPr>
          <w:b/>
        </w:rPr>
        <w:t xml:space="preserve">범주형 데이터만 놓고 보면 35개월 이상 기준을 채택하더라도 표본편향에 대한 해석 한계는 그대로 유지해야 한다. </w:t>
      </w:r>
      <w:r>
        <w:t>두 기준 모두 통계적으로 집단 구성 차이가 확인되며, 연관성 크기는 '약한 차이' 수준이지만 고객등급·전담여부·지역의 특정 범주에서는 구성비 차이가 실질적으로 크다. 특히 장기관측군은 일반/비전담 고객이 적고, 우수·최우수/전담 고객 및 대구·경북·건설 관련 법인이 상대적으로 많다.</w:t>
      </w:r>
    </w:p>
    <w:p>
      <w:r>
        <w:rPr>
          <w:b/>
        </w:rPr>
        <w:t>35개월 이상 기준의 장점은 표본 수와 포함률을 높이는 것</w:t>
      </w:r>
      <w:r>
        <w:t>이며, 범주형 특성의 대표성 편향을 줄였다는 근거는 이번 민감도 분석에서 확인되지 않았다. 따라서 이후 거래위축 분석 결과는 전체 법인고객 일반에 무제한으로 일반화하기보다, 장기간 지속 관측되고 은행관계가 상대적으로 강한 고객군에 더 가까운 결과로 설명하는 것이 타당하다.</w:t>
      </w:r>
    </w:p>
    <w:p>
      <w:pPr>
        <w:sectPr>
          <w:pgSz w:w="12240" w:h="15840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부록 A. 6개 변수 기준 비교표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9"/>
        <w:gridCol w:w="1659"/>
        <w:gridCol w:w="1659"/>
        <w:gridCol w:w="1659"/>
        <w:gridCol w:w="1659"/>
        <w:gridCol w:w="1659"/>
        <w:gridCol w:w="1659"/>
        <w:gridCol w:w="1659"/>
        <w:gridCol w:w="1659"/>
      </w:tblGrid>
      <w:tr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변수</w:t>
            </w:r>
          </w:p>
        </w:tc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36 V</w:t>
            </w:r>
          </w:p>
        </w:tc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35+ V</w:t>
            </w:r>
          </w:p>
        </w:tc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V 변화</w:t>
            </w:r>
          </w:p>
        </w:tc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36 최대범주</w:t>
            </w:r>
          </w:p>
        </w:tc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36 차이%p</w:t>
            </w:r>
          </w:p>
        </w:tc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35+ 최대범주</w:t>
            </w:r>
          </w:p>
        </w:tc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35+ 차이%p</w:t>
            </w:r>
          </w:p>
        </w:tc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4"/>
              </w:rPr>
              <w:t>최대|차이| 변화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법인_고객등급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0.1750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0.1849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+0.0099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일반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-20.12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일반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-19.02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-1.10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전담고객여부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0.1578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0.1747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+0.0169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N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-17.08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N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-16.88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-0.20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업종_중분류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0.1425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0.1629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+0.0204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전문직별 공사업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+3.34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전문직별 공사업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+4.53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+1.19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사업장_시군구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0.1329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0.1630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+0.0301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대구광역시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+6.23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대구광역시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+7.98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+1.75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사업장_시도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0.1274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0.1584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+0.0310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수도권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-8.46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수도권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-9.42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+0.96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업종_대분류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4"/>
              </w:rPr>
              <w:t>0.1049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0.1225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+0.0176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건설업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+4.84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건설업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+6.27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4"/>
              </w:rPr>
              <w:t>+1.43</w:t>
            </w:r>
          </w:p>
        </w:tc>
      </w:tr>
    </w:tbl>
    <w:p>
      <w:pPr>
        <w:pStyle w:val="Heading1"/>
      </w:pPr>
      <w:r>
        <w:t>부록 B. 주요 범주의 구성비 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9"/>
        <w:gridCol w:w="1659"/>
        <w:gridCol w:w="1659"/>
        <w:gridCol w:w="1659"/>
        <w:gridCol w:w="1659"/>
        <w:gridCol w:w="1659"/>
        <w:gridCol w:w="1659"/>
        <w:gridCol w:w="1659"/>
        <w:gridCol w:w="1659"/>
      </w:tblGrid>
      <w:tr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3"/>
              </w:rPr>
              <w:t>변수</w:t>
            </w:r>
          </w:p>
        </w:tc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3"/>
              </w:rPr>
              <w:t>범주</w:t>
            </w:r>
          </w:p>
        </w:tc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3"/>
              </w:rPr>
              <w:t>36 분석군%</w:t>
            </w:r>
          </w:p>
        </w:tc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3"/>
              </w:rPr>
              <w:t>36 제외군%</w:t>
            </w:r>
          </w:p>
        </w:tc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3"/>
              </w:rPr>
              <w:t>36 차이%p</w:t>
            </w:r>
          </w:p>
        </w:tc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3"/>
              </w:rPr>
              <w:t>35+ 분석군%</w:t>
            </w:r>
          </w:p>
        </w:tc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3"/>
              </w:rPr>
              <w:t>35+ 제외군%</w:t>
            </w:r>
          </w:p>
        </w:tc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3"/>
              </w:rPr>
              <w:t>35+ 차이%p</w:t>
            </w:r>
          </w:p>
        </w:tc>
        <w:tc>
          <w:tcPr>
            <w:tcW w:type="dxa" w:w="1659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3"/>
              </w:rPr>
              <w:t>|차이| 변화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법인_고객등급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일반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18.74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38.86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-20.12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21.34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40.36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-19.02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-1.10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법인_고객등급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우수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37.60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28.95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+8.66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36.96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28.09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+8.86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+0.20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법인_고객등급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최우수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43.65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32.19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+11.47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41.70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31.55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+10.16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-1.31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전담고객여부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N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14.09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31.16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-17.08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15.78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32.66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-16.88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-0.20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전담고객여부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Y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85.91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68.84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+17.08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84.22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67.34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+16.88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-0.20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사업장_시도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수도권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7.35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15.82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-8.46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7.46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16.89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-9.42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+0.96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사업장_시도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대구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44.42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38.20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+6.23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45.07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37.08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+7.98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+1.75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사업장_시도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경북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35.53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30.72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+4.80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35.08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30.29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+4.78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-0.02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사업장_시군구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대구광역시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44.42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38.20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+6.23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45.07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37.08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+7.98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+1.75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업종_대분류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건설업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17.29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12.45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+4.84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17.83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11.56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+6.27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+1.43</w:t>
            </w:r>
          </w:p>
        </w:tc>
      </w:tr>
      <w:tr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업종_중분류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전문직별 공사업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11.06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7.73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+3.34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11.58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7.05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+4.53</w:t>
            </w:r>
          </w:p>
        </w:tc>
        <w:tc>
          <w:tcPr>
            <w:tcW w:type="dxa" w:w="165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+1.19</w:t>
            </w:r>
          </w:p>
        </w:tc>
      </w:tr>
    </w:tbl>
    <w:p/>
    <w:p>
      <w:r>
        <w:rPr>
          <w:b/>
        </w:rPr>
        <w:t xml:space="preserve">자료 기준: </w:t>
      </w:r>
      <w:r>
        <w:t>업로드된 '완전표본집단_범주형데이터_편향분석.ipynb', '완전표본집단_범주형데이터_편향분석_결과표_생성.ipynb', '35개월이상_표본집단_범주형데이터_편향분석.ipynb'의 저장된 실행결과.</w:t>
      </w:r>
    </w:p>
    <w:sectPr w:rsidR="00FC693F" w:rsidRPr="0006063C" w:rsidSect="00034616">
      <w:pgSz w:w="15840" w:h="12240" w:orient="landscape"/>
      <w:pgMar w:top="567" w:right="454" w:bottom="567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