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Square" w:hAnsi="NanumSquare"/>
          <w:b/>
          <w:sz w:val="44"/>
        </w:rPr>
        <w:t>범주화된 데이터 표본편향 종합보고서</w:t>
      </w:r>
    </w:p>
    <w:p>
      <w:pPr>
        <w:jc w:val="center"/>
      </w:pPr>
      <w:r>
        <w:rPr>
          <w:sz w:val="28"/>
        </w:rPr>
        <w:t>36개월 완전관측 기준 vs 35개월 이상 관측 기준</w:t>
      </w:r>
    </w:p>
    <w:p>
      <w:pPr>
        <w:jc w:val="center"/>
      </w:pPr>
      <w:r>
        <w:rPr>
          <w:sz w:val="19"/>
        </w:rPr>
        <w:t>대상: 좌수·카드개수 21개 + 거래건수 8개 = 29개 변수 | 기간: 2023.01~2025.12</w:t>
      </w:r>
    </w:p>
    <w:p>
      <w:pPr>
        <w:jc w:val="center"/>
      </w:pPr>
      <w:r>
        <w:rPr>
          <w:sz w:val="17"/>
        </w:rPr>
        <w:t>근거 파일: 완전표본집단_범주화된데이터_편향분석.ipynb / 35개월이상_범주화된데이터_편향분석.ipynb</w:t>
      </w:r>
    </w:p>
    <w:p>
      <w:pPr>
        <w:pStyle w:val="Heading1"/>
      </w:pPr>
      <w:r>
        <w:t>보고서 핵심 요약</w:t>
      </w:r>
    </w:p>
    <w:p>
      <w:pPr>
        <w:pStyle w:val="ListBullet"/>
      </w:pPr>
      <w:r>
        <w:t>36개월 완전관측군은 3,372개 법인(전체 약 21.79%), 35개월 이상 관측군은 4,784개 법인(30.92%)이다. 기준 완화로 1,412개 법인이 추가된다.</w:t>
      </w:r>
    </w:p>
    <w:p>
      <w:pPr>
        <w:pStyle w:val="ListBullet"/>
      </w:pPr>
      <w:r>
        <w:t>36개월 기준에서는 29개 중 24개 변수에서 1개/1건 이상 비율이 완전관측군에서 높았고, 20개는 36개월 내내 같은 방향이었다.</w:t>
      </w:r>
    </w:p>
    <w:p>
      <w:pPr>
        <w:pStyle w:val="ListBullet"/>
      </w:pPr>
      <w:r>
        <w:t>35개월 이상 기준에서는 29개 중 25개 변수에서 1+ 비율이 높았고, 22개는 36개월 내내 같은 방향이었다.</w:t>
      </w:r>
    </w:p>
    <w:p>
      <w:pPr>
        <w:pStyle w:val="ListBullet"/>
      </w:pPr>
      <w:r>
        <w:t>두 기준 모두 주요 은행상품 보유와 국내 거래채널 이용 여부에서 분석군이 상대적으로 높은 구성이 확인되며, 특히 인터넷뱅킹·신용카드·신탁·퇴직연금·창구·ATM에서 격차가 크다.</w:t>
      </w:r>
    </w:p>
    <w:p>
      <w:pPr>
        <w:pStyle w:val="ListBullet"/>
      </w:pPr>
      <w:r>
        <w:t>35개월 이상으로 완화하면 표본 수는 늘지만 29개 중 19개 변수에서 |1+ 비율차이|가 오히려 확대되었다. 따라서 표본 수 확대는 이루어지지만 선택편향이 일관되게 완화되었다고 보기는 어렵다.</w:t>
      </w:r>
    </w:p>
    <w:p>
      <w:pPr>
        <w:pStyle w:val="Heading1"/>
      </w:pPr>
      <w:r>
        <w:t>1. 분석 설계</w:t>
      </w:r>
    </w:p>
    <w:p>
      <w:r>
        <w:rPr>
          <w:b/>
        </w:rPr>
        <w:t xml:space="preserve">36개월 기준. </w:t>
      </w:r>
      <w:r>
        <w:t>법인별 36개월 모두 관측된 3,372개를 완전관측군, 나머지 12,101개를 제외군으로 구분했다.</w:t>
      </w:r>
    </w:p>
    <w:p>
      <w:r>
        <w:rPr>
          <w:b/>
        </w:rPr>
        <w:t xml:space="preserve">35개월 이상 기준. </w:t>
      </w:r>
      <w:r>
        <w:t>35개월 이상 관측된 4,784개를 분석군, 34개월 이하 10,689개를 제외군으로 구분했다. 정확히 35개월 관측 법인은 1,412개이며, 이들의 미관측 월은 0으로 대체하지 않았다.</w:t>
      </w:r>
    </w:p>
    <w:p>
      <w:r>
        <w:rPr>
          <w:b/>
        </w:rPr>
        <w:t xml:space="preserve">Part 1. </w:t>
      </w:r>
      <w:r>
        <w:t>각 월·변수에서 0개/0건과 1개/1건 이상을 구분해 분석군과 제외군의 양수 비율 차이(%p)를 비교했다.</w:t>
      </w:r>
    </w:p>
    <w:p>
      <w:r>
        <w:rPr>
          <w:b/>
        </w:rPr>
        <w:t xml:space="preserve">Part 2. </w:t>
      </w:r>
      <w:r>
        <w:t>양수 법인끼리만 순서형 Cliff's delta를 계산했다. delta&gt;0은 분석군이 더 높은 순서범주에 위치하는 경향, delta&lt;0은 제외군이 더 높은 범주에 위치하는 경향을 뜻한다.</w:t>
      </w:r>
    </w:p>
    <w:p>
      <w:r>
        <w:rPr>
          <w:b/>
        </w:rPr>
        <w:t xml:space="preserve">범주별 구성. </w:t>
      </w:r>
      <w:r>
        <w:t>0범주 비중과 각 변수에서 분석군이 가장 많이 우위/열위인 원래 범주를 함께 확인해 차이가 단순 보유 여부인지, 다중 보유·고빈도 구간까지 이어지는지 해석했다.</w:t>
      </w:r>
    </w:p>
    <w:p>
      <w:pPr>
        <w:pStyle w:val="Heading1"/>
      </w:pPr>
      <w:r>
        <w:t>2. 표본 정의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지표</w:t>
            </w:r>
          </w:p>
        </w:tc>
        <w:tc>
          <w:tcPr>
            <w:tcW w:type="dxa" w:w="255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36개월 완전관측</w:t>
            </w:r>
          </w:p>
        </w:tc>
        <w:tc>
          <w:tcPr>
            <w:tcW w:type="dxa" w:w="255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35개월 이상</w:t>
            </w:r>
          </w:p>
        </w:tc>
        <w:tc>
          <w:tcPr>
            <w:tcW w:type="dxa" w:w="255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7"/>
              </w:rPr>
              <w:t>변화</w:t>
            </w:r>
          </w:p>
        </w:tc>
      </w:tr>
      <w:t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분석군 법인 수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3,372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4,784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+1,412 (+41.9%)</w:t>
            </w:r>
          </w:p>
        </w:tc>
      </w:tr>
      <w:t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제외군 법인 수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12,101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10,689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-1,412</w:t>
            </w:r>
          </w:p>
        </w:tc>
      </w:tr>
      <w:t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전체 법인 포함률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21.79%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30.92%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+9.13%p</w:t>
            </w:r>
          </w:p>
        </w:tc>
      </w:tr>
      <w:tr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정확히 35개월 관측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제외군에 포함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1,412개 포함</w:t>
            </w:r>
          </w:p>
        </w:tc>
        <w:tc>
          <w:tcPr>
            <w:tcW w:type="dxa" w:w="25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분석군으로 이동</w:t>
            </w:r>
          </w:p>
        </w:tc>
      </w:tr>
    </w:tbl>
    <w:p>
      <w:pPr>
        <w:pStyle w:val="Heading1"/>
      </w:pPr>
      <w:r>
        <w:t>3. 36개월 완전관측 기준 결과 및 결론</w:t>
      </w:r>
    </w:p>
    <w:p>
      <w:r>
        <w:rPr>
          <w:b/>
        </w:rPr>
        <w:t xml:space="preserve">전체 방향. </w:t>
      </w:r>
      <w:r>
        <w:t>29개 중 24개에서 1+ 비율 중앙값이 완전관측군에서 높았고, 20개 변수는 36개월 모두 완전관측군 우위였다. 양수자 내부 delta는 계산 가능한 27개 중 18개가 양수, 9개가 음수였다.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변수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완전관측 1+%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제외군 1+%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차이 %p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delta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완전관측 우위월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인터넷뱅킹거래건수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81.48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59.74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22.07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0.158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창구거래건수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33.38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17.15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15.55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0.055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신용카드개수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85.72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72.18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13.27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0.152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신탁좌수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31.24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19.33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12.02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-0.004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퇴직연금좌수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27.94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17.02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10.96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-0.009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ATM거래건수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34.09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25.29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8.95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-0.026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스마트뱅킹거래건수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34.42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26.30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8.01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-0.022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자동이체거래건수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99.26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93.03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6.20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0.232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폰뱅킹거래건수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11.18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5.54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5.44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-0.004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운전_일반자금대출좌수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85.23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80.31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4.79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0.148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</w:tbl>
    <w:p>
      <w:r>
        <w:rPr>
          <w:b/>
        </w:rPr>
        <w:t xml:space="preserve">주요 해석. </w:t>
      </w:r>
      <w:r>
        <w:t>인터넷뱅킹(+22.07%p), 창구(+15.55%p), 신용카드(+13.27%p), 신탁(+12.02%p), 퇴직연금(+10.96%p), ATM(+8.95%p), 스마트뱅킹(+8.01%p)에서 큰 구성 차이가 나타났다.</w:t>
      </w:r>
    </w:p>
    <w:p>
      <w:r>
        <w:rPr>
          <w:b/>
        </w:rPr>
        <w:t xml:space="preserve">보유 여부 중심 변수. </w:t>
      </w:r>
      <w:r>
        <w:t>신탁(delta -0.004), 퇴직연금(-0.010), 스마트뱅킹(-0.022), ATM(-0.026), 폰뱅킹(-0.004)은 1+ 비율 차이는 크지만 양수자 내부 delta는 작거나 음수였다. 즉 완전관측군에 해당 상품·채널을 가진 법인이 더 많이 포함된 것이 핵심이다.</w:t>
      </w:r>
    </w:p>
    <w:p>
      <w:r>
        <w:rPr>
          <w:b/>
        </w:rPr>
        <w:t xml:space="preserve">보유와 수준이 함께 다른 변수. </w:t>
      </w:r>
      <w:r>
        <w:t>인터넷뱅킹(delta +0.158), 자동이체(+0.232), 신용카드(+0.152), 운전자금대출(+0.151), 일반자금대출(+0.148), 요구불예금(+0.127)은 양수자 내부에서도 완전관측군이 높은 범주에 위치하는 경향이 반복되었다.</w:t>
      </w:r>
    </w:p>
    <w:p>
      <w:r>
        <w:rPr>
          <w:b/>
        </w:rPr>
        <w:t xml:space="preserve">반대 방향. </w:t>
      </w:r>
      <w:r>
        <w:t>외환 수출은 -1.30%p, 외환 수입은 -1.95%p로 제외군의 1+ 비율이 더 높았다. 다만 두 변수 모두 거래 발생률 자체가 낮다.</w:t>
      </w:r>
    </w:p>
    <w:p>
      <w:r>
        <w:rPr>
          <w:b/>
        </w:rPr>
        <w:t xml:space="preserve">36개월 기준 결론. </w:t>
      </w:r>
      <w:r>
        <w:t>36개월 완전관측 조건은 단순히 관측이 오래 지속된 법인만 선택하는 것이 아니라, 주요 은행상품을 보유하고 국내 거래채널을 이용하는 법인을 상대적으로 더 많이 포함한다. 따라서 이후 완전관측군 기반 결과는 전체 법인고객의 무편향 표본이 아니라 장기간 관측되고 은행관계·활동성이 상대적으로 높은 고객군에 대한 결과로 해석하는 것이 타당하다.</w:t>
      </w:r>
    </w:p>
    <w:p>
      <w:pPr>
        <w:pStyle w:val="Heading1"/>
      </w:pPr>
      <w:r>
        <w:t>4. 35개월 이상 기준 결과 및 결론</w:t>
      </w:r>
    </w:p>
    <w:p>
      <w:r>
        <w:rPr>
          <w:b/>
        </w:rPr>
        <w:t xml:space="preserve">전체 방향. </w:t>
      </w:r>
      <w:r>
        <w:t>29개 중 25개에서 1+ 비율 중앙값이 35개월 이상군에서 높았고, 22개는 36개월 내내 35개월 이상군 우위였다. delta 중앙값은 20개가 양수, 9개가 음수였다.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변수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35+ 1+%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34개월이하 1+%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차이 %p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delta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35+ 우위월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인터넷뱅킹거래건수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79.52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55.89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23.98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0.171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신용카드개수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84.78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69.70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14.75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0.164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창구거래건수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30.64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15.96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13.95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0.041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신탁좌수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29.96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17.34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12.60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-0.013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퇴직연금좌수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26.71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15.26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11.39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-0.011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ATM거래건수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33.49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23.70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10.09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-0.019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스마트뱅킹거래건수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33.72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24.92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8.79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-0.040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자동이체거래건수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99.14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91.55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7.62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0.257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운전_일반자금대출좌수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85.66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78.87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6.60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0.204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폰뱅킹거래건수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10.43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4.66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5.57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-0.030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36/36</w:t>
            </w:r>
          </w:p>
        </w:tc>
      </w:tr>
    </w:tbl>
    <w:p>
      <w:r>
        <w:rPr>
          <w:b/>
        </w:rPr>
        <w:t xml:space="preserve">주요 해석. </w:t>
      </w:r>
      <w:r>
        <w:t>인터넷뱅킹(+23.98%p), 신용카드(+14.75%p), 창구(+13.95%p), 신탁(+12.60%p), 퇴직연금(+11.39%p), ATM(+10.09%p), 스마트뱅킹(+8.79%p)의 차이가 컸다.</w:t>
      </w:r>
    </w:p>
    <w:p>
      <w:r>
        <w:rPr>
          <w:b/>
        </w:rPr>
        <w:t xml:space="preserve">보유 여부 중심 변수. </w:t>
      </w:r>
      <w:r>
        <w:t>신탁(delta -0.014), 퇴직연금(-0.011), 창구(+0.041), 스마트뱅킹(-0.040), 폰뱅킹(-0.031), ATM(-0.019)은 1+ 비율 격차에 비해 양수자 내부 수준 차이가 작았다.</w:t>
      </w:r>
    </w:p>
    <w:p>
      <w:r>
        <w:rPr>
          <w:b/>
        </w:rPr>
        <w:t xml:space="preserve">보유와 수준이 함께 다른 변수. </w:t>
      </w:r>
      <w:r>
        <w:t>인터넷뱅킹(delta +0.171), 자동이체(+0.257), 신용카드(+0.164), 운전자금대출(+0.211), 일반자금대출(+0.204), 요구불예금(+0.175)은 35개월 이상군의 상위범주 편중이 반복되었다.</w:t>
      </w:r>
    </w:p>
    <w:p>
      <w:r>
        <w:rPr>
          <w:b/>
        </w:rPr>
        <w:t xml:space="preserve">외환 거래. </w:t>
      </w:r>
      <w:r>
        <w:t>외환 수출은 -1.07%p, 외환 수입은 -1.13%p로 34개월 이하군의 거래 발생 비율이 높아 국내 주요 채널과는 반대 방향이었다.</w:t>
      </w:r>
    </w:p>
    <w:p>
      <w:r>
        <w:rPr>
          <w:b/>
        </w:rPr>
        <w:t xml:space="preserve">희소 변수 주의. </w:t>
      </w:r>
      <w:r>
        <w:t>운전·시설 주택자금대출의 delta 중앙값은 -0.500이지만 양수자가 극소수이고 2025년 12월에는 계산이 불가능했다. 따라서 delta 절대값만 보고 강한 실질적 편향으로 해석하면 안 된다.</w:t>
      </w:r>
    </w:p>
    <w:p>
      <w:r>
        <w:rPr>
          <w:b/>
        </w:rPr>
        <w:t xml:space="preserve">35개월 이상 기준 결론. </w:t>
      </w:r>
      <w:r>
        <w:t>35개월 이상으로 표본을 넓혀도 핵심 상품 보유와 국내 거래채널 이용에서 분석군 우위의 구성 차이가 유지된다. 즉 35개월 이상 기준 역시 장기관측·고관계/고활동 법인을 상대적으로 많이 포함하는 표본이다.</w:t>
      </w:r>
    </w:p>
    <w:p>
      <w:pPr>
        <w:pStyle w:val="Heading1"/>
      </w:pPr>
      <w:r>
        <w:t>5. 36개월 vs 35개월 이상 민감도 비교</w:t>
      </w:r>
    </w:p>
    <w:p>
      <w:pPr>
        <w:pStyle w:val="ListBullet"/>
      </w:pPr>
      <w:r>
        <w:t>분석군은 3,372개에서 4,784개로 41.9% 증가하고, 전체 법인 포함률은 21.79%에서 30.92%로 9.13%p 상승한다.</w:t>
      </w:r>
    </w:p>
    <w:p>
      <w:pPr>
        <w:pStyle w:val="ListBullet"/>
      </w:pPr>
      <w:r>
        <w:t>29개 중 |1+ 비율차이|가 커진 변수는 19개, 줄어든 변수는 10개다.</w:t>
      </w:r>
    </w:p>
    <w:p>
      <w:pPr>
        <w:pStyle w:val="ListBullet"/>
      </w:pPr>
      <w:r>
        <w:t>변수별 |1+ 비율차이| 중앙값은 1.82%p에서 1.51%p로 낮아졌지만, 평균은 4.46%p에서 4.80%p로 높아졌다. 즉 작은 격차 변수는 일부 완화됐지만 핵심 변수의 큰 격차가 유지·확대되었다.</w:t>
      </w:r>
    </w:p>
    <w:p>
      <w:pPr>
        <w:pStyle w:val="ListBullet"/>
      </w:pPr>
      <w:r>
        <w:t>36개월 기준에서도 delta 계산이 가능했던 27개 변수만 비교하면 |delta| 중앙값은 0.055에서 0.066, 평균은 0.073에서 0.086으로 증가했다. 27개 중 19개는 |delta|가 커지고 8개는 줄었다.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변수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36개월 차이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35+ 차이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|차이| 변화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36개월 delta</w:t>
            </w:r>
          </w:p>
        </w:tc>
        <w:tc>
          <w:tcPr>
            <w:tcW w:type="dxa" w:w="170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35+ delta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인터넷뱅킹거래건수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22.07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23.98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1.91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0.158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0.171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운전_일반자금대출좌수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4.79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6.60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1.82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0.148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0.204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창구거래건수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15.55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13.95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-1.60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0.055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0.041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신용카드개수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13.27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14.75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1.48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0.152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0.164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자동이체거래건수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6.20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7.62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1.41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0.232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0.257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여신_운전자금대출좌수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3.76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4.96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1.21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0.150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0.211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ATM거래건수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8.95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10.09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1.14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-0.026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-0.019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외환_수입실적거래건수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-1.95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-1.13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-0.81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0.038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0.050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스마트뱅킹거래건수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8.01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8.79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0.78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-0.022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-0.040</w:t>
            </w:r>
          </w:p>
        </w:tc>
      </w:tr>
      <w:tr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시설_기타시설자금대출좌수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5"/>
              </w:rPr>
              <w:t>0.85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1.47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0.62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0.024</w:t>
            </w:r>
          </w:p>
        </w:tc>
        <w:tc>
          <w:tcPr>
            <w:tcW w:type="dxa" w:w="1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5"/>
              </w:rPr>
              <w:t>0.000</w:t>
            </w:r>
          </w:p>
        </w:tc>
      </w:tr>
    </w:tbl>
    <w:p>
      <w:r>
        <w:rPr>
          <w:b/>
        </w:rPr>
        <w:t xml:space="preserve">확대 사례. </w:t>
      </w:r>
      <w:r>
        <w:t>인터넷뱅킹은 +22.07%p→+23.98%p, 신용카드는 +13.27%p→+14.75%p, 자동이체는 +6.20%p→+7.62%p, 일반자금대출은 +4.79%p→+6.60%p, 운전자금대출은 +3.76%p→+4.96%p로 격차가 확대되었다.</w:t>
      </w:r>
    </w:p>
    <w:p>
      <w:r>
        <w:rPr>
          <w:b/>
        </w:rPr>
        <w:t xml:space="preserve">축소 사례. </w:t>
      </w:r>
      <w:r>
        <w:t>창구는 +15.55%p→+13.95%p로 감소했고, 외환 수입의 분석군 열위도 -1.95%p→-1.13%p로 축소되었다. 그러나 이런 축소가 전체 변수에 일관되게 나타난 것은 아니다.</w:t>
      </w:r>
    </w:p>
    <w:p>
      <w:r>
        <w:rPr>
          <w:b/>
        </w:rPr>
        <w:t xml:space="preserve">비교 결론. </w:t>
      </w:r>
      <w:r>
        <w:t>35개월 이상 기준은 표본 수 확보 측면에서는 분명한 장점이 있지만, 범주화 변수의 표본선정 편향을 일관되게 완화하지는 않는다. 오히려 주요 핵심 변수에서 격차가 커진 경우가 많다. 따라서 35개월 이상 기준을 채택하더라도 대표성 개선을 근거로 삼기보다는 표본 수 확대와 한 달 결측 법인 포함이라는 실무적 장점을 근거로 설명하는 것이 정확하다.</w:t>
      </w:r>
    </w:p>
    <w:p>
      <w:pPr>
        <w:pStyle w:val="Heading1"/>
      </w:pPr>
      <w:r>
        <w:t>6. 최종 종합 결론</w:t>
      </w:r>
    </w:p>
    <w:p>
      <w:r>
        <w:rPr>
          <w:b/>
        </w:rPr>
        <w:t xml:space="preserve">최종적으로 두 기준 모두 같은 방향의 선택편향 구조를 보여준다. </w:t>
      </w:r>
      <w:r>
        <w:t>장기간 관측된 법인은 주요 은행상품 보유와 국내 거래채널 이용의 발생 비율이 더 높고, 일부 핵심 변수에서는 양수자 내부의 좌수·거래빈도도 더 높은 범주에 위치한다. 반면 외환 거래처럼 제외군이 더 활발한 변수도 있어 “분석군이 모든 활동에서 더 높은 집단”으로 일반화할 수는 없다.</w:t>
      </w:r>
    </w:p>
    <w:p>
      <w:r>
        <w:rPr>
          <w:b/>
        </w:rPr>
        <w:t xml:space="preserve">36개월→35개월 이상 완화의 의미는 대표성 회복보다는 표본 범위 확대에 가깝다. </w:t>
      </w:r>
      <w:r>
        <w:t>따라서 이후 거래위축 분석에서 35개월 이상 기준을 사용한다면, 결과를 전체 법인고객 일반으로 그대로 확장하기보다 “장기간 관측되고 은행관계·국내 채널 이용이 상대적으로 높은 고객군에 대한 결과”라는 해석 한계를 명시하는 것이 적절하다.</w:t>
      </w:r>
    </w:p>
    <w:p>
      <w:pPr>
        <w:pStyle w:val="Heading1"/>
      </w:pPr>
      <w:r>
        <w:t>7. 산출물 범위 및 노트북 저장 상태</w:t>
      </w:r>
    </w:p>
    <w:p>
      <w:pPr>
        <w:pStyle w:val="ListBullet"/>
      </w:pPr>
      <w:r>
        <w:t>36개월 노트북에는 29개 변수 요약표, 220행 범주별 상세표, 29개 핵심범주 압축표가 모두 실행 출력으로 저장되어 있다.</w:t>
      </w:r>
    </w:p>
    <w:p>
      <w:pPr>
        <w:pStyle w:val="ListBullet"/>
      </w:pPr>
      <w:r>
        <w:t>35개월 이상 노트북에는 29개 요약표와 29개 핵심범주 압축표가 저장되어 있고, 범주별 상세표가 220행으로 생성되었다는 검증 로그가 있다.</w:t>
      </w:r>
    </w:p>
    <w:p>
      <w:pPr>
        <w:pStyle w:val="ListBullet"/>
      </w:pPr>
      <w:r>
        <w:t>다만 35개월 이상 노트북에는 해당 220행 DataFrame 자체가 화면 출력으로 저장되지 않아, 본 보고서와 Excel에서는 저장된 수치만 사용했다. 35개월 이상 220행 상세표가 필요하면 원 분석환경에서 category_summary를 별도 파일로 저장해야 한다.</w:t>
      </w:r>
    </w:p>
    <w:p>
      <w:pPr>
        <w:sectPr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부록. 29개 변수 기준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2"/>
        <w:gridCol w:w="1852"/>
        <w:gridCol w:w="1852"/>
        <w:gridCol w:w="1852"/>
        <w:gridCol w:w="1852"/>
        <w:gridCol w:w="1852"/>
        <w:gridCol w:w="1852"/>
        <w:gridCol w:w="1852"/>
      </w:tblGrid>
      <w:tr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구분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변수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36개월 차이%p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35+ 차이%p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|차이| 변화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36개월 δ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35+ δ</w:t>
            </w:r>
          </w:p>
        </w:tc>
        <w:tc>
          <w:tcPr>
            <w:tcW w:type="dxa" w:w="185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|δ| 변화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요구불예금좌수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0.68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0.89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0.127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0.175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0.048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거치식예금좌수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2.43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2.41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0.045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0.052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0.008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적립식예금좌수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2.83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2.94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0.064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0.101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0.037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수익증권좌수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1.27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1.16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-0.107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-0.096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-0.011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신탁좌수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12.02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12.60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0.58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-0.004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0.009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퇴직연금좌수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10.96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11.39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0.43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-0.009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0.002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여신_운전자금대출좌수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3.76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4.96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1.21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0.150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0.211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0.061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운전_할인어음좌수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1.08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1.51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0.43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0.027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0.013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운전_당좌대출좌수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1.21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1.05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-0.007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운전_일반자금대출좌수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4.79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6.60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1.82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0.148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0.204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0.055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운전_무역금융좌수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0.070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0.132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0.062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운전_주택자금대출좌수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계산불가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-0.500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계산불가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운전_기업구매자금대출좌수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1.82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1.79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0.114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0.066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-0.048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운전_외상매출채권담보대출좌수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-0.28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0.059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0.084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0.025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운전_기타운전자금대출좌수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0.35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0.103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0.112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0.009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여신_시설자금대출좌수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0.85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1.23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0.38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0.041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0.095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0.054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시설_일반자금대출좌수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0.37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0.042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0.086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0.044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시설_에너지절약시설대출좌수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0.89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0.97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-0.053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0.004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-0.049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시설_주택자금대출좌수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-0.13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계산불가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-0.500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계산불가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시설_기타시설자금대출좌수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0.85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1.47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0.62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0.024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0.000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-0.024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보유/관계 깊이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신용카드개수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13.27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14.75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1.48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0.152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0.164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0.012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외환_수출실적거래건수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-1.30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-1.07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-0.22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-0.078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-0.066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-0.013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외환_수입실적거래건수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-1.95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-1.13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-0.81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0.038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0.050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0.012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창구거래건수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15.55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13.95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-1.60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0.055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0.041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-0.014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인터넷뱅킹거래건수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22.07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23.98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1.91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0.158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0.171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0.013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스마트뱅킹거래건수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8.01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8.79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0.78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-0.022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-0.040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0.018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폰뱅킹거래건수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5.44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5.57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0.14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-0.004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-0.030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0.027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ATM거래건수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8.95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10.09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1.14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-0.026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-0.019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-0.007</w:t>
            </w:r>
          </w:p>
        </w:tc>
      </w:tr>
      <w:tr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거래 활동성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3"/>
              </w:rPr>
              <w:t>자동이체거래건수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6.20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7.62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1.41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0.232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0.257</w:t>
            </w:r>
          </w:p>
        </w:tc>
        <w:tc>
          <w:tcPr>
            <w:tcW w:type="dxa" w:w="18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3"/>
              </w:rPr>
              <w:t>0.025</w:t>
            </w:r>
          </w:p>
        </w:tc>
      </w:tr>
    </w:tbl>
    <w:sectPr w:rsidR="00FC693F" w:rsidRPr="0006063C" w:rsidSect="00034616">
      <w:pgSz w:w="15840" w:h="12240" w:orient="landscape"/>
      <w:pgMar w:top="567" w:right="510" w:bottom="56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