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수치형 데이터 표본편향 종합분석</w:t>
      </w:r>
    </w:p>
    <w:p>
      <w:pPr>
        <w:jc w:val="center"/>
      </w:pPr>
      <w:r>
        <w:rPr>
          <w:sz w:val="27"/>
        </w:rPr>
        <w:t>36개월 완전관측 기준과 35개월 이상 관측 기준의 민감도 비교</w:t>
      </w:r>
    </w:p>
    <w:p>
      <w:pPr>
        <w:jc w:val="center"/>
      </w:pPr>
      <w:r>
        <w:rPr>
          <w:sz w:val="19"/>
        </w:rPr>
        <w:t>분석기간 2023.01–2025.12 | 금액형 변수 33개 | 전체 법인 15,473개</w:t>
      </w:r>
    </w:p>
    <w:p/>
    <w:p>
      <w:pPr>
        <w:pStyle w:val="Heading1"/>
      </w:pPr>
      <w:r>
        <w:t>핵심 결론</w:t>
      </w:r>
    </w:p>
    <w:p>
      <w:r>
        <w:rPr>
          <w:b/>
        </w:rPr>
        <w:t xml:space="preserve">35개월 이상 기준은 표본 수를 3,372개에서 4,784개로 확대하지만, 수치형 데이터의 선택편향을 전반적으로 완화하지는 않았다. </w:t>
      </w:r>
      <w:r>
        <w:t>금액&gt;0 비율의 절대 집단격차는 33개 중 24개 변수에서 확대되었고, 변수별 절대격차 중앙값도 1.770%p에서 2.128%p로 증가했다. 반면 양수 법인 내부 금액분포는 공통 비교 가능 31개 변수에서 |Cliff's delta| 중앙값이 0.075에서 0.072로 소폭 감소해, 금액 규모 편향은 확대와 축소가 혼재했다.</w:t>
      </w:r>
    </w:p>
    <w:p>
      <w:r>
        <w:rPr>
          <w:b/>
        </w:rPr>
        <w:t xml:space="preserve">따라서 35개월 이상 기준의 장점은 '대표성 편향 감소'라기보다 '표본 수 확대'에 가깝다. </w:t>
      </w:r>
      <w:r>
        <w:t>두 기준 모두 장기간 관측되며 주요 금융상품·거래 금액이 실제로 발생하는 법인이 상대적으로 더 많이 포함되는 경향이 있으므로, 이후 결과를 전체 법인고객의 무편향 대표결과로 해석하지 않는 것이 적절하다.</w:t>
      </w:r>
    </w:p>
    <w:p>
      <w:pPr>
        <w:pStyle w:val="Heading1"/>
      </w:pPr>
      <w:r>
        <w:t>1. 분석 설계</w:t>
      </w:r>
    </w:p>
    <w:p>
      <w:r>
        <w:rPr>
          <w:b/>
        </w:rPr>
        <w:t xml:space="preserve">표본 기준. </w:t>
      </w:r>
      <w:r>
        <w:t>36개월 완전관측 기준은 3,372개 법인을 분석군, 나머지 12,101개를 제외군으로 구분했다. 35개월 이상 기준은 정확히 35개월 관측 법인 1,412개를 추가해 분석군 4,784개, 34개월 이하 제외군 10,689개로 구분했다.</w:t>
      </w:r>
    </w:p>
    <w:p>
      <w:r>
        <w:rPr>
          <w:b/>
        </w:rPr>
        <w:t xml:space="preserve">Part 1 — 금액 발생 여부. </w:t>
      </w:r>
      <w:r>
        <w:t>각 월·변수에서 금액이 0보다 큰 법인 비율을 계산하고 분석군−제외군의 비율차이(%p)를 구했다. 이는 해당 상품·거래의 '금액이 실제로 존재하는 고객 비중' 차이를 측정한다.</w:t>
      </w:r>
    </w:p>
    <w:p>
      <w:r>
        <w:rPr>
          <w:b/>
        </w:rPr>
        <w:t xml:space="preserve">Part 2 — 양수 고객 금액 규모. </w:t>
      </w:r>
      <w:r>
        <w:t>금액&gt;0인 법인만 남긴 뒤 실제 금액분포에 대해 Cliff's delta를 계산하고, 각 집단의 월별 중앙값과 중앙값 차이를 구했다. delta&gt;0은 분석군 금액이 더 큰 경향, delta&lt;0은 제외군 금액이 더 큰 경향을 의미한다.</w:t>
      </w:r>
    </w:p>
    <w:p>
      <w:r>
        <w:rPr>
          <w:b/>
        </w:rPr>
        <w:t xml:space="preserve">36개월 요약. </w:t>
      </w:r>
      <w:r>
        <w:t>월별 비교 결과를 다시 중앙값·최소·최대와 방향 월수로 요약했다. 실제 금액 중앙값 차이도 월별 차이의 36개월 중앙값을 대표값으로 사용했다.</w:t>
      </w:r>
    </w:p>
    <w:p>
      <w:r>
        <w:rPr>
          <w:b/>
        </w:rPr>
        <w:t xml:space="preserve">미관측월 처리. </w:t>
      </w:r>
      <w:r>
        <w:t>35개월 이상군에서 빠진 1개월은 0으로 채우지 않고, 각 월에 실제 존재하는 법인만 비교했다.</w:t>
      </w:r>
    </w:p>
    <w:p>
      <w:pPr>
        <w:pStyle w:val="Heading1"/>
      </w:pPr>
      <w:r>
        <w:t>2. 36개월 완전관측 기준 결과</w:t>
      </w:r>
    </w:p>
    <w:p>
      <w:pPr>
        <w:pStyle w:val="ListBullet"/>
      </w:pPr>
      <w:r>
        <w:t>33개 중 27개 변수에서 금액&gt;0 비율의 36개월 중앙값이 완전관측군에서 더 높았고, 20개 변수는 36개월 모두 완전관측군 우위였다.</w:t>
      </w:r>
    </w:p>
    <w:p>
      <w:pPr>
        <w:pStyle w:val="ListBullet"/>
      </w:pPr>
      <w:r>
        <w:t>가장 큰 양수비율 격차는 인터넷뱅킹거래금액 +22.070%p, 신용카드사용금액 +18.615%p, 여신한도금액 +16.779%p, 창구거래금액 +15.553%p, 신탁잔액 +10.899%p였다.</w:t>
      </w:r>
    </w:p>
    <w:p>
      <w:pPr>
        <w:pStyle w:val="ListBullet"/>
      </w:pPr>
      <w:r>
        <w:t>외환 수출·수입실적금액은 각각 -1.296%p, -1.949%p로 제외군의 금액 발생 비율이 더 높았다.</w:t>
      </w:r>
    </w:p>
    <w:p>
      <w:pPr>
        <w:pStyle w:val="ListBullet"/>
      </w:pPr>
      <w:r>
        <w:t>요구불출금(δ=+0.222), 기타운전자금대출(+0.217), 자동이체(+0.203), 요구불입금(+0.199), 요구불예금(+0.172)은 양수 고객 내부에서도 완전관측군 금액이 더 큰 경향이 뚜렷했다.</w:t>
      </w:r>
    </w:p>
    <w:p>
      <w:pPr>
        <w:pStyle w:val="ListBullet"/>
      </w:pPr>
      <w:r>
        <w:t>여신한도는 발생 비율은 +16.779%p로 높지만 δ=-0.053, 실제 월별 중앙값 차이 대표값 -70으로, 양수 고객 중 금액 자체는 제외군이 더 컸다.</w:t>
      </w:r>
    </w:p>
    <w:p>
      <w:pPr>
        <w:pStyle w:val="ListBullet"/>
      </w:pPr>
      <w:r>
        <w:t>창구거래금액도 발생 비율 격차 +15.553%p에 비해 δ=+0.030, 중앙값 차이 +1에 그쳐 주된 편향은 거래 '발생 여부'에 있었다.</w:t>
      </w:r>
    </w:p>
    <w:p>
      <w:pPr>
        <w:pStyle w:val="ListBullet"/>
      </w:pPr>
      <w:r>
        <w:t>운전/시설 주택자금대출잔액은 완전관측군의 양수 관측이 없어 36개월 내내 양수 금액 규모 비교가 불가능했다.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5"/>
              </w:rPr>
              <w:t>변수</w:t>
            </w:r>
          </w:p>
        </w:tc>
        <w:tc>
          <w:tcPr>
            <w:tcW w:type="dxa" w:w="2550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5"/>
              </w:rPr>
              <w:t>양수비율차이(%p)</w:t>
            </w:r>
          </w:p>
        </w:tc>
        <w:tc>
          <w:tcPr>
            <w:tcW w:type="dxa" w:w="2550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5"/>
              </w:rPr>
              <w:t>Cliff 중앙값</w:t>
            </w:r>
          </w:p>
        </w:tc>
        <w:tc>
          <w:tcPr>
            <w:tcW w:type="dxa" w:w="2550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5"/>
              </w:rPr>
              <w:t>양수자 중앙값차이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인터넷뱅킹거래금액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+22.070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+0.104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+32.500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신용카드사용금액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+18.615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+0.049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+0.400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여신한도금액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+16.779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-0.053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-70.000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창구거래금액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+15.553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+0.030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+1.000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신탁잔액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+10.899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+0.028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+16.000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퇴직연금잔액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+9.682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+0.032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+15.000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요구불입금금액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+8.163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+0.199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+60.000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ATM거래금액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+8.947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-0.036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-0.700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자동이체금액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+6.204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+0.203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+6.450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요구불출금금액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+4.341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+0.222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+65.000</w:t>
            </w:r>
          </w:p>
        </w:tc>
      </w:tr>
    </w:tbl>
    <w:p>
      <w:pPr>
        <w:pStyle w:val="Heading1"/>
      </w:pPr>
      <w:r>
        <w:t>3. 35개월 이상 기준 결과</w:t>
      </w:r>
    </w:p>
    <w:p>
      <w:pPr>
        <w:pStyle w:val="ListBullet"/>
      </w:pPr>
      <w:r>
        <w:t>33개 중 28개 변수에서 금액&gt;0 비율이 35개월 이상군에서 높았고, 21개 변수는 36개월 모두 같은 방향이었다.</w:t>
      </w:r>
    </w:p>
    <w:p>
      <w:pPr>
        <w:pStyle w:val="ListBullet"/>
      </w:pPr>
      <w:r>
        <w:t>인터넷뱅킹 +23.981%p, 신용카드 +21.053%p, 여신한도 +19.456%p, 창구 +13.953%p, 신탁 +11.682%p, 퇴직연금 +10.352%p, ATM +10.089%p의 격차가 컸다.</w:t>
      </w:r>
    </w:p>
    <w:p>
      <w:pPr>
        <w:pStyle w:val="ListBullet"/>
      </w:pPr>
      <w:r>
        <w:t>요구불출금(δ=+0.221), 자동이체(+0.198), 요구불입금(+0.194), 기타운전자금대출(+0.170), 요구불예금(+0.151)은 양수자 내부에서도 35개월 이상군 금액이 더 큰 경향을 보였다.</w:t>
      </w:r>
    </w:p>
    <w:p>
      <w:pPr>
        <w:pStyle w:val="ListBullet"/>
      </w:pPr>
      <w:r>
        <w:t>시설자금대출 계열, 여신한도, 스마트뱅킹, ATM은 금액 발생 비율은 분석군이 높거나 비슷해도 양수자 내부 금액은 제외군이 더 큰 방향이었다.</w:t>
      </w:r>
    </w:p>
    <w:p>
      <w:pPr>
        <w:pStyle w:val="ListBullet"/>
      </w:pPr>
      <w:r>
        <w:t>신탁과 퇴직연금은 금액 발생 비율은 각각 +11.682%p, +10.352%p로 높지만, 양수자 내부 δ는 -0.020, -0.014이고 중앙값 차이도 -5.25, -1.00으로 '보유/발생 여부' 차이가 핵심이다.</w:t>
      </w:r>
    </w:p>
    <w:p>
      <w:pPr>
        <w:pStyle w:val="ListBullet"/>
      </w:pPr>
      <w:r>
        <w:t>주택자금대출 2개 변수는 35개월 기준에서 35개월간 계산 가능해졌지만, 양수 고객이 매우 희소하고 두 컬럼이 완전히 동일하므로 δ=-0.818과 중앙값 차이 -17,500을 일반적인 편향 크기로 해석하지 않았다.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5"/>
              </w:rPr>
              <w:t>변수</w:t>
            </w:r>
          </w:p>
        </w:tc>
        <w:tc>
          <w:tcPr>
            <w:tcW w:type="dxa" w:w="2550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5"/>
              </w:rPr>
              <w:t>양수비율차이(%p)</w:t>
            </w:r>
          </w:p>
        </w:tc>
        <w:tc>
          <w:tcPr>
            <w:tcW w:type="dxa" w:w="2550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5"/>
              </w:rPr>
              <w:t>Cliff 중앙값</w:t>
            </w:r>
          </w:p>
        </w:tc>
        <w:tc>
          <w:tcPr>
            <w:tcW w:type="dxa" w:w="2550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5"/>
              </w:rPr>
              <w:t>양수자 중앙값차이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인터넷뱅킹거래금액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+23.981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+0.105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+31.500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신용카드사용금액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+21.053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+0.059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+0.500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여신한도금액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+19.456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-0.072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-80.000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창구거래금액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+13.953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+0.018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+1.000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신탁잔액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+11.682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-0.020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-5.250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퇴직연금잔액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+10.352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-0.014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-1.000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ATM거래금액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+10.089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-0.036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-0.825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요구불입금금액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+9.458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+0.194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+57.000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자동이체금액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+7.617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+0.198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+5.950</w:t>
            </w:r>
          </w:p>
        </w:tc>
      </w:tr>
      <w:tr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5"/>
              </w:rPr>
              <w:t>요구불출금금액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+5.377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+0.221</w:t>
            </w:r>
          </w:p>
        </w:tc>
        <w:tc>
          <w:tcPr>
            <w:tcW w:type="dxa" w:w="255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5"/>
              </w:rPr>
              <w:t>+62.500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691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positive_rate_36_vs_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69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그림 1. 수치형 33개 변수의 금액&gt;0 비율 차이: 36개월 기준과 35개월 이상 기준</w:t>
      </w:r>
    </w:p>
    <w:p>
      <w:pPr>
        <w:pStyle w:val="Heading1"/>
      </w:pPr>
      <w:r>
        <w:t>4. 36개월 vs 35개월 이상 민감도 비교</w:t>
      </w:r>
    </w:p>
    <w:p>
      <w:pPr>
        <w:pStyle w:val="ListBullet"/>
      </w:pPr>
      <w:r>
        <w:t>분석군은 3,372개에서 4,784개로 1,412개(+41.9%) 증가했고, 전체 법인 포함률은 21.79%에서 30.92%로 상승했다.</w:t>
      </w:r>
    </w:p>
    <w:p>
      <w:pPr>
        <w:pStyle w:val="ListBullet"/>
      </w:pPr>
      <w:r>
        <w:t>금액&gt;0 비율의 절대격차는 33개 중 24개에서 확대, 9개에서 축소됐다. 절대격차 중앙값도 1.770%p → 2.128%p로 증가했다.</w:t>
      </w:r>
    </w:p>
    <w:p>
      <w:pPr>
        <w:pStyle w:val="ListBullet"/>
      </w:pPr>
      <w:r>
        <w:t>확대 폭이 큰 변수는 여신한도 16.779→19.456%p, 신용카드 18.615→21.053%p, 일반운전자금대출 1.708→3.912%p, 인터넷뱅킹 22.070→23.981%p, 운전자금대출 1.201→2.902%p였다.</w:t>
      </w:r>
    </w:p>
    <w:p>
      <w:pPr>
        <w:pStyle w:val="ListBullet"/>
      </w:pPr>
      <w:r>
        <w:t>창구거래금액은 15.553→13.953%p로 발생 비율 격차가 줄었고, 외환 수입·수출과 체크카드도 절대격차가 축소됐다.</w:t>
      </w:r>
    </w:p>
    <w:p>
      <w:pPr>
        <w:pStyle w:val="ListBullet"/>
      </w:pPr>
      <w:r>
        <w:t>양수자 내부 분포는 36개월 기준에서도 계산 가능했던 31개 변수를 동일하게 비교하면 |Cliff| 중앙값이 0.075→0.072로 소폭 감소했다. 17개 변수는 절대효과가 축소, 13개는 확대, 1개는 동일했다.</w:t>
      </w:r>
    </w:p>
    <w:p>
      <w:pPr>
        <w:pStyle w:val="ListBullet"/>
      </w:pPr>
      <w:r>
        <w:t>실제 양수자 중앙값 차이도 공통 비교 가능한 31개 중 15개는 절대격차 확대, 14개는 축소, 2개는 동일했다. 거치식예금, 신탁, 퇴직연금, 할인어음, 무역금융은 대표 중앙값 차이의 부호가 바뀌어 금액 규모 결과가 표본 기준에 민감했다.</w:t>
      </w:r>
    </w:p>
    <w:p>
      <w:pPr>
        <w:pStyle w:val="ListBullet"/>
      </w:pPr>
      <w:r>
        <w:t>따라서 35개월 이상 기준은 '금액이 발생하는 고객의 구성 차이'를 줄이지 못했고, 양수자 내부 금액 규모는 변수별로 개선·악화가 혼재했다.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338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eric_cliff_36_vs_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33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그림 2. 공통 비교 가능 31개 변수의 Cliff's delta 중앙값</w:t>
      </w:r>
    </w:p>
    <w:p>
      <w:pPr>
        <w:pStyle w:val="Heading1"/>
      </w:pPr>
      <w:r>
        <w:t>5. 해석상 핵심 포인트</w:t>
      </w:r>
    </w:p>
    <w:p>
      <w:r>
        <w:rPr>
          <w:b/>
        </w:rPr>
        <w:t xml:space="preserve">발생 여부와 금액 규모를 분리해야 한다. </w:t>
      </w:r>
      <w:r>
        <w:t>예를 들어 여신한도·신탁·퇴직연금·창구·ATM처럼 분석군의 양수비율은 크게 높지만 양수자 내부 금액은 비슷하거나 제외군이 더 큰 변수가 존재한다. 따라서 '분석군이 모든 면에서 더 큰 고객'이라는 해석은 맞지 않는다.</w:t>
      </w:r>
    </w:p>
    <w:p>
      <w:r>
        <w:rPr>
          <w:b/>
        </w:rPr>
        <w:t xml:space="preserve">35개월 완화의 효과는 표본 확대에 가깝다. </w:t>
      </w:r>
      <w:r>
        <w:t>포함률은 약 9.13%p 상승하지만, Part 1의 절대격차가 다수 변수에서 확대돼 대표성 개선 근거는 확인되지 않았다.</w:t>
      </w:r>
    </w:p>
    <w:p>
      <w:r>
        <w:rPr>
          <w:b/>
        </w:rPr>
        <w:t xml:space="preserve">희소 변수는 별도 취급해야 한다. </w:t>
      </w:r>
      <w:r>
        <w:t>주택자금대출 2개 변수처럼 양수자가 극소수인 경우 큰 delta나 중앙값 차이가 계산되어도 전체 표본구성에 미치는 영향과 통계적 안정성은 제한적이다.</w:t>
      </w:r>
    </w:p>
    <w:p>
      <w:r>
        <w:rPr>
          <w:b/>
        </w:rPr>
        <w:t xml:space="preserve">중복 컬럼에 유의한다. </w:t>
      </w:r>
      <w:r>
        <w:t>운전_주택자금대출잔액과 시설_주택자금대출잔액은 원자료 전체 행에서 완전히 동일하므로 서로 독립적인 두 개의 근거로 세면 안 된다.</w:t>
      </w:r>
    </w:p>
    <w:p>
      <w:pPr>
        <w:pStyle w:val="Heading1"/>
      </w:pPr>
      <w:r>
        <w:t>6. 최종 결론</w:t>
      </w:r>
    </w:p>
    <w:p>
      <w:r>
        <w:rPr>
          <w:b/>
        </w:rPr>
        <w:t xml:space="preserve">수치형 데이터 기준으로 35개월 이상 관측군을 사용하는 것은 표본 수와 분석 가능 범위를 늘리는 실무적 절충안이 될 수 있다. </w:t>
      </w:r>
      <w:r>
        <w:t>다만 표본선정 편향 자체가 줄었다고 결론내릴 수는 없다. 특히 주요 상품·채널의 금액 발생 비율에서는 35개월 이상 기준에서도 장기간 관측군이 더 높은 비중을 보였고, 오히려 절대격차가 확대된 변수가 더 많았다. 따라서 이후 거래위축 분석 결과는 전체 법인고객 일반이 아니라 장기간 관측되고 금융관계·거래가 상대적으로 지속되는 고객군에 더 가까운 결과로 해석해야 한다.</w:t>
      </w:r>
    </w:p>
    <w:p>
      <w:pPr>
        <w:sectPr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부록. 33개 변수 기준 비교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9"/>
        <w:gridCol w:w="2149"/>
        <w:gridCol w:w="2149"/>
        <w:gridCol w:w="2149"/>
        <w:gridCol w:w="2149"/>
        <w:gridCol w:w="2149"/>
        <w:gridCol w:w="2149"/>
      </w:tblGrid>
      <w:tr>
        <w:tc>
          <w:tcPr>
            <w:tcW w:type="dxa" w:w="2149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변수</w:t>
            </w:r>
          </w:p>
        </w:tc>
        <w:tc>
          <w:tcPr>
            <w:tcW w:type="dxa" w:w="2149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36 양수율차</w:t>
            </w:r>
          </w:p>
        </w:tc>
        <w:tc>
          <w:tcPr>
            <w:tcW w:type="dxa" w:w="2149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35+ 양수율차</w:t>
            </w:r>
          </w:p>
        </w:tc>
        <w:tc>
          <w:tcPr>
            <w:tcW w:type="dxa" w:w="2149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36 δ</w:t>
            </w:r>
          </w:p>
        </w:tc>
        <w:tc>
          <w:tcPr>
            <w:tcW w:type="dxa" w:w="2149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35+ δ</w:t>
            </w:r>
          </w:p>
        </w:tc>
        <w:tc>
          <w:tcPr>
            <w:tcW w:type="dxa" w:w="2149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36 중앙값차</w:t>
            </w:r>
          </w:p>
        </w:tc>
        <w:tc>
          <w:tcPr>
            <w:tcW w:type="dxa" w:w="2149"/>
            <w:shd w:fill="D9EAF7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b/>
                <w:sz w:val="13"/>
              </w:rPr>
              <w:t>35+ 중앙값차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요구불예금잔액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+3.917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+3.761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+0.172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+0.151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+11.350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+9.000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거치식예금잔액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+2.115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+2.128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+0.002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-0.081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+37.500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-72.500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적립식예금잔액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+2.248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+2.270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-0.003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+0.048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+3.250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수익증권잔액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+0.717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+0.806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+0.023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+0.012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+1.050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+0.775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신탁잔액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+10.899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+11.682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+0.028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-0.020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+16.000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-5.250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퇴직연금잔액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+9.682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+10.352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+0.032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-0.014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+15.000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여신한도금액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+16.779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+19.456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-0.053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-0.072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-70.000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-80.000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여신_운전자금대출잔액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+1.201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+2.902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+0.115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+0.111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+80.000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+80.000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운전_할인어음잔액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+0.693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+1.115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+0.075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-0.031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+13.500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-5.000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운전_당좌대출잔액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+0.514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+0.503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+0.116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+0.029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+45.000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+10.000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운전_일반자금대출잔액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+1.708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+3.912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+0.099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+60.000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+80.000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운전_무역금융잔액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+0.071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+0.314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-0.024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-0.138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+100.000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-437.500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운전_주택자금대출잔액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-0.118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-0.109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계산불가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-0.818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계산불가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-17500.000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운전_기업구매자금대출잔액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+1.770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+1.686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-0.006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-0.042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-15.000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-55.000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운전_외상매출채권담보대출잔액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+0.005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+0.413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+0.032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-0.034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-1.500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-25.000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운전_기타운전자금대출잔액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+0.010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+0.160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+0.217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+0.170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+330.000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+250.000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여신_시설자금대출잔액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+0.602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+1.005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-0.116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-0.120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-300.000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-337.500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시설_일반자금대출잔액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-0.021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+0.288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-0.116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-0.124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-292.500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-340.000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시설_에너지절약시설대출잔액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+0.789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+0.810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-0.056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-0.042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-15.000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-10.000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시설_주택자금대출잔액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-0.118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-0.109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계산불가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-0.818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계산불가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-17500.000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시설_기타시설자금대출잔액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+0.699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+1.305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-0.105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-0.152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-147.500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-225.000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외환_수출실적금액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-1.296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-1.074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+0.089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+0.078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+0.032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+0.025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외환_수입실적금액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-1.949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-1.144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+0.090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+0.112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+0.018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+0.030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신용카드사용금액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+18.615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+21.053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+0.049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+0.059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+0.400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+0.500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체크카드사용금액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-0.351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-0.003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+0.078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+0.059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+0.300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+0.200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창구거래금액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+15.553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+13.953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+0.030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+0.018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인터넷뱅킹거래금액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+22.070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+23.981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+0.104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+0.105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+32.500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+31.500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스마트뱅킹거래금액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+8.013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+8.792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-0.026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-0.044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-0.675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-1.225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폰뱅킹거래금액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+5.436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+5.574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-0.023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-0.022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-0.275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-0.525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ATM거래금액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+8.947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+10.089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-0.036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-0.036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-0.700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-0.825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자동이체금액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+6.204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+7.617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+0.203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+0.198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+6.450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+5.950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요구불입금금액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+8.163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+9.458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+0.199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+0.194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+60.000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+57.000</w:t>
            </w:r>
          </w:p>
        </w:tc>
      </w:tr>
      <w:tr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/>
                <w:sz w:val="13"/>
              </w:rPr>
              <w:t>요구불출금금액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+4.341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+5.377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+0.222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+0.221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+65.000</w:t>
            </w:r>
          </w:p>
        </w:tc>
        <w:tc>
          <w:tcPr>
            <w:tcW w:type="dxa" w:w="2149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/>
                <w:sz w:val="13"/>
              </w:rPr>
              <w:t>+62.500</w:t>
            </w:r>
          </w:p>
        </w:tc>
      </w:tr>
    </w:tbl>
    <w:p/>
    <w:p>
      <w:r>
        <w:rPr>
          <w:b/>
        </w:rPr>
        <w:t xml:space="preserve">주: </w:t>
      </w:r>
      <w:r>
        <w:t>금액 중앙값 차이는 각 월의 양수 법인 중앙값(분석군−제외군)을 계산한 뒤 36개월 중앙값으로 요약한 값이다. 금액 단위는 원 노트북의 원자료 단위를 그대로 사용했으며 별도 단위 변환은 하지 않았다.</w:t>
      </w:r>
    </w:p>
    <w:sectPr w:rsidR="00FC693F" w:rsidRPr="0006063C" w:rsidSect="00034616">
      <w:pgSz w:w="15840" w:h="12240" w:orient="landscape"/>
      <w:pgMar w:top="567" w:right="397" w:bottom="56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