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595959"/>
          <w:sz w:val="20"/>
          <w:szCs w:val="20"/>
          <w:rtl w:val="0"/>
        </w:rPr>
        <w:t xml:space="preserve">데이터 분석 프로젝트 기획안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40"/>
          <w:szCs w:val="40"/>
          <w:rtl w:val="0"/>
        </w:rPr>
        <w:t xml:space="preserve">법인고객 위축 탐지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bfc7d2" w:space="6" w:sz="6" w:val="single"/>
        </w:pBdr>
        <w:spacing w:after="24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595959"/>
          <w:sz w:val="24"/>
          <w:szCs w:val="24"/>
          <w:rtl w:val="0"/>
        </w:rPr>
        <w:t xml:space="preserve">통계 기법 선정과 판정 기준 설계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팀 / 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[팀명] / [작성자]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2026.09.30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자료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법인 여수신 월별 패널 (2023.01~2025.12, 36개월)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기술통계, 추론통계(카이제곱 검정, 두 비율 z검정, t검정, 분산분석)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1. 분석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1.1 배경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법인 고객은 계좌를 해지하지 않은 채 본행으로 들어오는 거래를 줄일 수 있다. 이 변화는 해지 여부만으로는 보이지 않으므로, 월별 거래 자료에서 거래가 뚜렷하게 줄어드는 법인을 해지 이전 단계에서 식별할 필요가 있다.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1.2 목적과 연구 질문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요구불입금 감소를 기준으로 위축 고객을 탐지하고, 위축 고객을 유형별로 분류해 유형마다 어떤 특성과 이후 경과를 보이는지 확인한다.</w:t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00"/>
        <w:gridCol w:w="2800"/>
        <w:gridCol w:w="2238"/>
        <w:tblGridChange w:id="0">
          <w:tblGrid>
            <w:gridCol w:w="900"/>
            <w:gridCol w:w="3700"/>
            <w:gridCol w:w="2800"/>
            <w:gridCol w:w="2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핵심 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36개월 기업만 남겨도 전체 고객을 대표하는가?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검정, t검정, 차이 크기 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대표성 판정, 결론 적용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요구불입금이 몇 % 이상 줄면 위축인가?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분위수, 두 비율 z검정, 비율비 신뢰구간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기준 n%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고객은 어떤 유형으로 나뉘고 무엇이 다른가?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교차 분류, 카이제곱 검정, 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유형 4개와 유형별 특성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1.3 사용 변수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400"/>
        <w:gridCol w:w="3738"/>
        <w:tblGridChange w:id="0">
          <w:tblGrid>
            <w:gridCol w:w="1500"/>
            <w:gridCol w:w="4400"/>
            <w:gridCol w:w="3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요구불입금금액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계산, 위축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요구불출금금액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출금 동반 감소 여부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요구불예금잔액, 채널별 거래건수, 자동이체 거래건수(구간코드)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 이후 관계 약화 여부 판정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특성·비교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업종 대분류, 법인 고객등급, 전담 여부, 사업장 시도, 규모(입금 수준 구간)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편향 진단, 유형별 특성 비교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1.4 분석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기준 사전 확정: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모든 판정 기준은 이 기획안에 먼저 적고, 결과를 본 뒤 바꾸지 않는다.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탐지 변수와 결과 변수 분리: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입금으로 탐지하고 입금이 아닌 지표(잔액·채널·자동이체)로 확인한다. 같은 변수로 확인하면 차이가 당연히 생기는 순환 논리가 된다.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검정 단위는 기업 1건: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같은 기업이 매달 반복 관측되므로, 검정에는 기업당 1건(첫 탐지 시점)만 쓴다.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p값과 차이 크기 병행: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표본이 커서 작은 차이도 유의하게 나오므로, 판정은 미리 정한 차이 크기 기준과 함께 한다.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유의수준: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모든 검정은 5%로 한다.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2. 분석 설계 총괄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2.1 분석 절차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900"/>
        <w:gridCol w:w="2100"/>
        <w:gridCol w:w="2338"/>
        <w:gridCol w:w="1800"/>
        <w:tblGridChange w:id="0">
          <w:tblGrid>
            <w:gridCol w:w="1500"/>
            <w:gridCol w:w="1900"/>
            <w:gridCol w:w="2100"/>
            <w:gridCol w:w="2338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통계 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판정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산출물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① 데이터 이해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자료 구조 파악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도수분포, 결측률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관측 개월 수 분포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② 전처리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범위 확정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36개월 전부 관측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대상 기업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③ 편향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검정, t검정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비율 차 5%p, 중앙값 차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적용 범위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 탐지 규칙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기준·창 길이·금액 하한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지수, 상관계수, 비율, IQR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상관 0.5, 최대/최소 1.3배, 20%, 1.5배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 규칙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 n% 도출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분위수, 두 비율 z검정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p&lt;0.05, 비율비 하한&gt;1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기준 n%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⑥ 위축 집단 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RQ3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검정, 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p&lt;0.05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 4개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⑦ 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 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⑤·⑥ 재실행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 방향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민감도 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⑧ 해석·한계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적용 범위 명시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결론, 한계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2.2 설정값과 결정 방법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1400"/>
        <w:gridCol w:w="5038"/>
        <w:tblGridChange w:id="0">
          <w:tblGrid>
            <w:gridCol w:w="3200"/>
            <w:gridCol w:w="1400"/>
            <w:gridCol w:w="5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설정값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결정 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결정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② · 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36개월 추출 후 편향 진단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기준 (직전 기간 / 작년 같은 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계절성 확인 후, 두 방식 중 월별 탐지율이 덜 흔들리는 방식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창 길이 k (몇 개월 평균)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일시적 하락 비율이 20% 미만인 가장 짧은 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금액 하한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흩어짐(IQR)이 안정되는 금액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판정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기간과 사후 추적 기간으로 계산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기준 n%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하위 5% 지점 제안 → 두 비율 검정으로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감소 강도 × 출금 동반 교차 분류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2.3 통계 기법 사용 규칙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500"/>
        <w:gridCol w:w="2700"/>
        <w:gridCol w:w="2738"/>
        <w:tblGridChange w:id="0">
          <w:tblGrid>
            <w:gridCol w:w="1700"/>
            <w:gridCol w:w="2500"/>
            <w:gridCol w:w="2700"/>
            <w:gridCol w:w="2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쓰는 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전제 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전제가 안 맞을 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범주 구성 비교 (③, 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기대빈도 5 이상인 칸이 80%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작은 범주를 '기타'로 합침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 비율 z검정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 vs 비교군 약화 비율 (⑤)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각 집단 약화·비약화 건수 5 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2×2 카이제곱 검정으로 대체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t검정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 집단 평균 비교 (③)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금액은 로그 변환 후 사용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 집단 분산이 다르면 Welch t검정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3개 이상 집단 평균 비교 (⑥)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로그 변환, 집단별 분산 비슷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표준편차 최대/최소 2배 초과 시 Welch 분산분석, 치우침 심하면 Kruskal-Wallis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피어슨 상관계수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연도별 계절 패턴 비교 (④-1)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월별 지수 12개 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분위수·IQR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기준값 설정 (④-3, ⑤)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95% 신뢰구간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비율, 비율비, 평균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3. 단계별 상세 계획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3.1 ① 데이터 이해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목적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기업마다 관측 기간이 얼마나 다른지, 빈 달이 어떤 모양으로 생기는지 파악한다.</w:t>
      </w:r>
    </w:p>
    <w:p w:rsidR="00000000" w:rsidDel="00000000" w:rsidP="00000000" w:rsidRDefault="00000000" w:rsidRPr="00000000" w14:paraId="000000AA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방법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기업별 관측 개월 수 = 기업별로 서로 다른 기준년월의 개수 → 도수분포표와 히스토그램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월별 관측 기업 수 추이 → 특정 월(분기 말 등)에 빠짐이 몰리는지 확인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빈 달의 형태: 한 달만 비는지, 여러 달 연속으로 비는지 → 빈 구간 길이의 도수분포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변수별 결측률, 금액 변수의 0 비율</w:t>
      </w:r>
    </w:p>
    <w:p w:rsidR="00000000" w:rsidDel="00000000" w:rsidP="00000000" w:rsidRDefault="00000000" w:rsidRPr="00000000" w14:paraId="000000AF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확인할 점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관측 기간 불균형이 크면 기업마다 비교에 쓸 수 있는 기간이 달라진다. 이것이 ②에서 36개월 기업만 추출하는 근거가 된다.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3.2 ② 전처리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1400"/>
        <w:gridCol w:w="3700"/>
        <w:gridCol w:w="3738"/>
        <w:tblGridChange w:id="0">
          <w:tblGrid>
            <w:gridCol w:w="800"/>
            <w:gridCol w:w="1400"/>
            <w:gridCol w:w="3700"/>
            <w:gridCol w:w="3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36개월이 모두 관측된 기업만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모든 기업에 같은 비교 기간·사후 추적 기간을 적용할 수 있고, 빈 달을 채우는 규칙이 필요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분모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기간 평균 입금이 0이면 변화율을 계산하지 않음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0으로 나눌 수 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지역 결측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사업장 시도 결측은 '결측' 범주로 따로 표시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결측을 임의로 채우지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순서형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구간 코드는 평균하지 않고, 코드 차이(단계)로 변화를 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코드 간격이 금액 간격과 같지 않음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분석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검정은 기업 1건 단위로 수행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반복 관측으로 인한 독립성 위반 방지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3.3 ③ 편향 진단 (RQ1)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목적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36개월 기업(A집단)이 나머지 기업(B집단)과 얼마나 다른지 측정하고, 결론을 어디까지 적용할지 정한다.</w:t>
      </w:r>
    </w:p>
    <w:p w:rsidR="00000000" w:rsidDel="00000000" w:rsidP="00000000" w:rsidRDefault="00000000" w:rsidRPr="00000000" w14:paraId="000000CB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범주형 변수: 업종, 고객등급, 전담 여부, 시도, 규모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가설: H0 = 두 집단의 구성비가 같다 / H1 = 다르다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방법: 집단 × 범주 교차표 → 카이제곱 검정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차이 크기: 범주별 비율 차이(A비율 − B비율, %p) 중 가장 큰 값</w:t>
      </w:r>
    </w:p>
    <w:p w:rsidR="00000000" w:rsidDel="00000000" w:rsidP="00000000" w:rsidRDefault="00000000" w:rsidRPr="00000000" w14:paraId="000000CF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카이제곱 통계량 = 모든 칸의 합 [ (관측 빈도 − 기대 빈도)² ÷ 기대 빈도 ]</w:t>
        <w:br w:type="textWrapping"/>
        <w:t xml:space="preserve">기대 빈도 = (행 합계 × 열 합계) ÷ 전체 합계</w:t>
      </w:r>
    </w:p>
    <w:p w:rsidR="00000000" w:rsidDel="00000000" w:rsidP="00000000" w:rsidRDefault="00000000" w:rsidRPr="00000000" w14:paraId="000000D0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연속형 변수: 입금 수준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기업별로 관측된 달의 월평균 요구불입금을 구하고 로그를 취한다 (금액 분포가 오른쪽으로 크게 치우치므로)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가설: H0 = 두 집단의 평균이 같다 / H1 = 다르다 → Welch t검정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차이 크기: 중앙값 차이(%) = (A 중앙값 − B 중앙값) ÷ B 중앙값</w:t>
      </w:r>
    </w:p>
    <w:p w:rsidR="00000000" w:rsidDel="00000000" w:rsidP="00000000" w:rsidRDefault="00000000" w:rsidRPr="00000000" w14:paraId="000000D4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판정 기준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4400"/>
        <w:gridCol w:w="3838"/>
        <w:tblGridChange w:id="0">
          <w:tblGrid>
            <w:gridCol w:w="1400"/>
            <w:gridCol w:w="4400"/>
            <w:gridCol w:w="3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차이 작음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모든 범주형 변수의 최대 비율 차이 ≤ 5%p, 입금 중앙값 차이 ≤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결론을 전체 고객에 대한 것으로 해석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일부 차이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1~2개 변수만 기준 초과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해당 변수로 나눈 하위 집단별로 ⑤ 결과를 함께 제시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차이 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3개 이상 변수가 기준 초과, 또는 입금 중앙값 차이 &gt;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결론의 적용 범위를 '36개월 유지 고객'으로 한정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0" w:before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595959"/>
          <w:sz w:val="17"/>
          <w:szCs w:val="17"/>
          <w:rtl w:val="0"/>
        </w:rPr>
        <w:t xml:space="preserve">※ 5%p·10%는 실무상 무시할 수 있는 차이로 사전에 정한 값이다. 표본이 커서 p값은 거의 항상 유의하게 나오므로, p값은 보조로만 보고한다.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산출물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집단별 구성비와 검정 결과 표, 구성비 비교 막대그래프</w:t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3.4 ④ 탐지 규칙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위축 판정에 쓸 변화율의 계산 방식을 정한다. 이 단계의 비교 실험에는 임시값(감소 기준 30%, 창 3개월)을 쓰고, ⑤에서 n%가 확정되면 최종값으로 다시 확인한다(⑦).</w:t>
      </w:r>
    </w:p>
    <w:p w:rsidR="00000000" w:rsidDel="00000000" w:rsidP="00000000" w:rsidRDefault="00000000" w:rsidRPr="00000000" w14:paraId="000000E5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④-1. 비교 기준: 직전 기간 vs 작년 같은 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1단계: 계절성이 있는가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월별 지수(연도, 월) = 그 달의 기업 입금 중앙값 ÷ 그 해 12개월 중앙값들의 평균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2023·2024·2025년 각각 월별 지수 12개를 만든다.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ⓐ 연도 쌍(23–24, 23–25, 24–25)의 피어슨 상관계수 평균 ≥ 0.5 → 해마다 같은 모양이 반복된다.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ⓑ 월별 지수의 최대 ÷ 최소 ≥ 1.3 → 달마다 수준 차이가 크다.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ⓐ와 ⓑ를 모두 만족하면 '계절성 있음'으로 판정한다.</w:t>
      </w:r>
    </w:p>
    <w:p w:rsidR="00000000" w:rsidDel="00000000" w:rsidP="00000000" w:rsidRDefault="00000000" w:rsidRPr="00000000" w14:paraId="000000EC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2단계: 어느 비교 방식이 안정적인가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직전 기간 비교: 최근 k개월 평균 입금 vs 바로 앞 k개월 평균 입금</w:t>
        <w:br w:type="textWrapping"/>
        <w:t xml:space="preserve">작년 같은 달 비교: 최근 k개월 평균 입금 vs 12개월 전 같은 k개월 평균 입금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두 방식으로 각각 월별 탐지율(해당 월 탐지 기업 수 ÷ 판정 대상 기업 수)을 계산한다.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판정: 월별 탐지율의 최대 ÷ 최소가 더 작은 방식을 채택한다. 탐지율이 달마다 크게 흔들리면 계절 때문에 위축으로 잡히는 기업이 섞였다는 뜻이기 때문이다.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보조: 월 × 탐지 여부 교차표로 카이제곱 동질성 검정(H0 = 월별 탐지율이 같다)을 두 방식에 각각 실시해 함께 보고한다.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계절성이 없다고 판정되면 더 최근 정보를 쓰는 직전 기간 비교를 채택한다.</w:t>
      </w:r>
    </w:p>
    <w:p w:rsidR="00000000" w:rsidDel="00000000" w:rsidP="00000000" w:rsidRDefault="00000000" w:rsidRPr="00000000" w14:paraId="000000F2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시각화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연도별 월 지수 겹친 선그래프, 두 방식의 월별 탐지율 선그래프</w:t>
      </w:r>
    </w:p>
    <w:p w:rsidR="00000000" w:rsidDel="00000000" w:rsidP="00000000" w:rsidRDefault="00000000" w:rsidRPr="00000000" w14:paraId="000000F3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④-2. 창 길이 k: 몇 개월 평균으로 볼 것인가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후보: k = 1, 2, 3, 6개월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창이 짧으면 빨리 잡지만, 대금 지연 같은 한 달짜리 우연한 감소까지 잡힌다. 창이 길면 안정적이지만 늦게 잡는다.</w:t>
      </w:r>
    </w:p>
    <w:p w:rsidR="00000000" w:rsidDel="00000000" w:rsidP="00000000" w:rsidRDefault="00000000" w:rsidRPr="00000000" w14:paraId="000000F6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일시적 하락: 탐지된 다음 달의 단월 입금 ≥ 비교 기간 평균 입금 × 0.9 (한 달 만에 원래 수준의 90% 이상으로 복귀)</w:t>
        <w:br w:type="textWrapping"/>
        <w:t xml:space="preserve">일시적 하락 비율 = 일시적 하락 건수 ÷ 탐지 건수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판정: 일시적 하락 비율 &lt; 20%를 만족하는 가장 짧은 창을 채택한다 (탐지 5건 중 1건 이상이 한 달 만에 돌아오면 알림으로서 신뢰도가 낮다고 봄).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모든 후보가 20% 이상이면: 인접한 창끼리(1 vs 2, 2 vs 3, 3 vs 6) 두 비율 z검정을 하고, 창을 늘려도 비율이 더 이상 유의하게 줄지 않는 창을 채택한다.</w:t>
      </w:r>
    </w:p>
    <w:p w:rsidR="00000000" w:rsidDel="00000000" w:rsidP="00000000" w:rsidRDefault="00000000" w:rsidRPr="00000000" w14:paraId="000000F9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시각화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창 길이별 일시적 하락 비율 막대그래프 (95% 신뢰구간 표시)</w:t>
      </w:r>
    </w:p>
    <w:p w:rsidR="00000000" w:rsidDel="00000000" w:rsidP="00000000" w:rsidRDefault="00000000" w:rsidRPr="00000000" w14:paraId="000000FA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④-3. 금액 하한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금액이 구간 단위로 반올림된 자료에서는, 작은 금액일수록 반올림 한 칸 차이로 변화율이 크게 튄다. 이런 기업을 판정 대상에서 뺄 기준을 정한다.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기준 금액 = 비교 기간 평균 입금 → 10분위로 나눈다.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분위마다 변화율의 사분위범위 IQR(= 3사분위수 − 1사분위수)을 구한다.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기준 IQR = 상위 5개 분위 IQR의 중앙값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판정: IQR ≤ 기준 IQR × 1.5를 만족하기 시작하는 가장 낮은 분위의 하한 금액을 금액 하한으로 한다 (그 위 분위도 모두 만족해야 함).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하한 적용으로 제외되는 기업 비율을 함께 보고한다.</w:t>
      </w:r>
    </w:p>
    <w:p w:rsidR="00000000" w:rsidDel="00000000" w:rsidP="00000000" w:rsidRDefault="00000000" w:rsidRPr="00000000" w14:paraId="00000101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시각화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금액 분위별 변화율 상자그림 (금액 하한 위치 표시)</w:t>
      </w:r>
    </w:p>
    <w:p w:rsidR="00000000" w:rsidDel="00000000" w:rsidP="00000000" w:rsidRDefault="00000000" w:rsidRPr="00000000" w14:paraId="00000102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④-4. 판정 기간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월 번호: 2023.01 = 1, …, 2025.12 = 36</w:t>
        <w:br w:type="textWrapping"/>
        <w:t xml:space="preserve">시작 월 = k + 12  (작년 같은 k개월 자료가 있어야 함)</w:t>
        <w:br w:type="textWrapping"/>
        <w:t xml:space="preserve">끝 월 = 36 − 6  (탐지 후 6개월 사후 추적이 가능해야 함) = 30 (2025.06)</w:t>
      </w:r>
    </w:p>
    <w:p w:rsidR="00000000" w:rsidDel="00000000" w:rsidP="00000000" w:rsidRDefault="00000000" w:rsidRPr="00000000" w14:paraId="00000104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예를 들어 k = 3이면 판정 기간은 15번째 달(2024.03)부터 30번째 달(2025.06)까지 16개월이다. 사후 추적을 6개월로 둔 이유는 한두 달의 일시적 변동을 넘어서는 기간이면서, 판정 기간을 충분히 확보할 수 있는 길이이기 때문이다.</w:t>
      </w:r>
    </w:p>
    <w:p w:rsidR="00000000" w:rsidDel="00000000" w:rsidP="00000000" w:rsidRDefault="00000000" w:rsidRPr="00000000" w14:paraId="00000105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④-5. 변화율 분포 요약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변화율(기업, t월) = (최근 k개월 평균 입금 − 비교 k개월 평균 입금) ÷ 비교 k개월 평균 입금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대상: 판정 기간 안의 모든 기업-월 (금액 하한 이상)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기술통계: 관측 수, 평균, 표준편차, 백분위수(1·5·10·25·50·75·90), 왜도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변화율은 아래로는 −100%에서 막히고 위로는 제한이 없어 분포가 오른쪽으로 치우친다. 따라서 요약은 평균보다 중앙값·분위수 중심으로 한다.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월별 상자그림으로 판정 기간 동안 분포가 안정적인지 확인한다.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3.5 ⑤ n% 도출 (RQ2)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두 겹의 근거로 n%를 정한다. 분포로 '통계적으로 드문 감소'를 찾아 기준을 제안하고, 그 기준으로 잡힌 기업이 다른 지표에서도 실제로 나빠졌는지 검정으로 확인한다.</w:t>
      </w:r>
    </w:p>
    <w:p w:rsidR="00000000" w:rsidDel="00000000" w:rsidP="00000000" w:rsidRDefault="00000000" w:rsidRPr="00000000" w14:paraId="0000010D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⑤-1. 기준 제안: 분포의 하위 5% 지점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귀무가설: 이 기업의 입금 변화는 평소 변동 범위 안에 있다</w:t>
        <w:br w:type="textWrapping"/>
        <w:t xml:space="preserve">n₀ = −(변화율 분포의 5번째 백분위수)  →  실무용으로 5%p 단위 반올림해 n으로 사용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의미: 평소라면 100곳 중 5곳만 이만큼 감소한다. 유의수준 5%의 단측 기준과 같은 논리다.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안정성 확인: 판정 기간을 2024년 월과 2025년 월로 나눠 각각 5번째 백분위수를 구한다.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판정: 두 값의 차이 ≤ 5%p면 안정적인 기준으로 본다. 초과하면 감소폭이 더 큰 값(보수적 기준)을 채택하고 한계에 적는다.</w:t>
      </w:r>
    </w:p>
    <w:p w:rsidR="00000000" w:rsidDel="00000000" w:rsidP="00000000" w:rsidRDefault="00000000" w:rsidRPr="00000000" w14:paraId="00000112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⑤-2. 기준 검정: 탐지군 vs 비교군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8138"/>
        <w:tblGridChange w:id="0">
          <w:tblGrid>
            <w:gridCol w:w="1500"/>
            <w:gridCol w:w="8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판정 기간 중 처음으로 변화율 ≤ −n%가 된 기업. 그 달을 기준월 t로 둔다 (기업당 1건).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판정 기간 내내 변화율 ≤ −n%가 한 번도 없었던 기업 (금액 하한 이상). 기준월은 탐지군의 기준월 분포와 같은 비율로 무작위 배정해, 두 집단이 같은 시기의 계절·경기 영향을 받도록 맞춘다.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사후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t+1 ~ t+6 (6개월). 탐지에 쓴 기간과 겹치지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결과 지표: 관계 약화 (입금이 아닌 지표, 모두 작년 같은 6개월과 비교)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7838"/>
        <w:tblGridChange w:id="0">
          <w:tblGrid>
            <w:gridCol w:w="1800"/>
            <w:gridCol w:w="7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약화 판정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ⓐ 잔액 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요구불예금잔액 변화율(사후 6개월 평균 vs 작년 같은 6개월 평균) ≤ 전체 기업 같은 지표의 5번째 백분위수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ⓑ 채널 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이용 채널 수(거래건수 코드가 0이 아닌 채널 개수)의 6개월 평균이 작년 같은 기간보다 1개 이상 적음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ⓒ 자동이체 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자동이체 거래건수 구간코드의 6개월 중앙값이 작년 같은 기간보다 1단계 이상 낮음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관계 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ⓐ ⓑ ⓒ 중 하나 이상 해당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검정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가설: H0 = 탐지군과 비교군의 관계 약화 비율이 같다 / H1 = 탐지군이 더 높다 (단측)</w:t>
      </w:r>
    </w:p>
    <w:p w:rsidR="00000000" w:rsidDel="00000000" w:rsidP="00000000" w:rsidRDefault="00000000" w:rsidRPr="00000000" w14:paraId="0000012A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탐지군 약화 비율 p₁ = x₁ ÷ n₁,   비교군 약화 비율 p₂ = x₂ ÷ n₂</w:t>
        <w:br w:type="textWrapping"/>
        <w:t xml:space="preserve">합동 비율 p = (x₁ + x₂) ÷ (n₁ + n₂)</w:t>
        <w:br w:type="textWrapping"/>
        <w:t xml:space="preserve">z = (p₁ − p₂) ÷ √[ p(1 − p)(1/n₁ + 1/n₂) ]</w:t>
        <w:br w:type="textWrapping"/>
        <w:t xml:space="preserve">비율비 = p₁ ÷ p₂,   95% 신뢰구간 = exp[ ln(비율비) ± 1.96 × √((1 − p₁)/x₁ + (1 − p₂)/x₂) ]</w:t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3600"/>
        <w:gridCol w:w="4838"/>
        <w:tblGridChange w:id="0">
          <w:tblGrid>
            <w:gridCol w:w="1200"/>
            <w:gridCol w:w="3600"/>
            <w:gridCol w:w="4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조치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 &lt; 0.05 이고 비율비 95% 신뢰구간 하한 &gt;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n%를 위축 기준으로 확정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미채택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 조건 불충족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⑤-3 참고표에서 n₀보다 큰 후보 중 조건을 만족하는 가장 작은 값으로 재설정. 검정을 한 번 더 한 셈이므로 이때는 유의수준을 1%로 강화해 판정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4">
      <w:pPr>
        <w:spacing w:after="200" w:before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595959"/>
          <w:sz w:val="17"/>
          <w:szCs w:val="17"/>
          <w:rtl w:val="0"/>
        </w:rPr>
        <w:t xml:space="preserve">※ 지표 ⓐ·ⓑ·ⓒ 각각의 탐지군·비교군 비율도 따로 보고해, 어떤 측면의 약화가 두드러지는지 보여 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⑤-3. 참고표: 기준을 바꾸면 어떻게 달라지나 (기술통계만)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1500"/>
        <w:gridCol w:w="1700"/>
        <w:gridCol w:w="1700"/>
        <w:gridCol w:w="1700"/>
        <w:gridCol w:w="1738"/>
        <w:tblGridChange w:id="0">
          <w:tblGrid>
            <w:gridCol w:w="1300"/>
            <w:gridCol w:w="1500"/>
            <w:gridCol w:w="1700"/>
            <w:gridCol w:w="1700"/>
            <w:gridCol w:w="1700"/>
            <w:gridCol w:w="1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탐지 기업 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월평균 탐지 건수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탐지군 약화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비교군 약화 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비율 차이(%p)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 (채택)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200" w:before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595959"/>
          <w:sz w:val="17"/>
          <w:szCs w:val="17"/>
          <w:rtl w:val="0"/>
        </w:rPr>
        <w:t xml:space="preserve">※ 이 표는 검정 없이 비교용으로만 제시한다. 월평균 탐지 건수는 영업 현장에서 감당할 수 있는 규모인지 판단하는 자료가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시각화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변화율 히스토그램에 n% 위치 표시, 후보 n별 탐지군·비교군 약화 비율 막대그래프</w:t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3.6 ⑥ 위축 집단 분류 (RQ3)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목적 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위축 고객을 성격이 다른 집단으로 나눠, 집단마다 대응 방향을 다르게 설계할 근거를 만든다.</w:t>
      </w:r>
    </w:p>
    <w:p w:rsidR="00000000" w:rsidDel="00000000" w:rsidP="00000000" w:rsidRDefault="00000000" w:rsidRPr="00000000" w14:paraId="00000164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분류 기준 (사전 확정)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0"/>
        <w:gridCol w:w="2200"/>
        <w:gridCol w:w="5738"/>
        <w:tblGridChange w:id="0">
          <w:tblGrid>
            <w:gridCol w:w="1700"/>
            <w:gridCol w:w="2200"/>
            <w:gridCol w:w="57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판정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A. 감소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심함 /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 변화율의 중앙값 m을 기준으로, 변화율 &lt; m이면 심함, 그 외는 중간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B. 출금 동반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동반 감소 / 출금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같은 기간·같은 방식으로 계산한 요구불출금 변화율 ≤ −n%이면 동반 감소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3919"/>
        <w:gridCol w:w="3919"/>
        <w:tblGridChange w:id="0">
          <w:tblGrid>
            <w:gridCol w:w="1800"/>
            <w:gridCol w:w="3919"/>
            <w:gridCol w:w="39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출금도 함께 감소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출금 유지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감소 심함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사업 전반 축소형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(매출·지출이 함께 줄어듦)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입금 이탈 심화형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(입금 경로를 다른 은행으로 옮긴 것으로 의심)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감소 중간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경기 위축형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(업황 둔화로 거래가 전반적으로 줄어듦)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입금 이탈 초기형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(일부 입금 경로가 이동하기 시작)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spacing w:after="200" w:before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color w:val="595959"/>
          <w:sz w:val="17"/>
          <w:szCs w:val="17"/>
          <w:rtl w:val="0"/>
        </w:rPr>
        <w:t xml:space="preserve">※ 유형명은 가설적 명칭이며, 아래 집단 비교 결과로 성격을 확인한다. 한 칸의 기업이 30개 미만이면 축 A를 합쳐 2개 유형으로 분석한다.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00" w:before="20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2b4c7e"/>
          <w:rtl w:val="0"/>
        </w:rPr>
        <w:t xml:space="preserve">유형별 비교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00"/>
        <w:gridCol w:w="900"/>
        <w:gridCol w:w="2400"/>
        <w:gridCol w:w="2338"/>
        <w:gridCol w:w="2100"/>
        <w:tblGridChange w:id="0">
          <w:tblGrid>
            <w:gridCol w:w="1900"/>
            <w:gridCol w:w="900"/>
            <w:gridCol w:w="2400"/>
            <w:gridCol w:w="233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비교 변수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형태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귀무가설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시각화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업종 대분류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범주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업종 구성이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100% 누적 막대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규모, 고객등급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범주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구성이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100% 누적 막대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관계 약화 여부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카이제곱 검정 (유형 × 약화 여부)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약화 비율이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막대 + 95% 신뢰구간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잔액 변화율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평균이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상자그림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이용 채널 수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평균이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상자그림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입금 회복률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분산분석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평균이 같다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상자그림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1">
      <w:pPr>
        <w:spacing w:after="60" w:line="24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Bdr>
          <w:left w:color="8fa3bf" w:space="8" w:sz="24" w:val="single"/>
        </w:pBdr>
        <w:shd w:fill="f4f6f9" w:val="clear"/>
        <w:spacing w:after="160" w:before="120" w:line="300" w:lineRule="auto"/>
        <w:ind w:left="160" w:right="160" w:firstLine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입금 회복률 = 사후 t+4 ~ t+6 평균 입금 ÷ 비교 기간 평균 입금  (1 이상이면 이전 수준 회복)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분산분석 전에 유형별 표준편차의 최대/최소를 확인하고, 2배를 넘으면 Welch 분산분석을 쓴다. 금액 기반 변수는 로그 변환 후 분석한다.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분산분석이 유의하면, 유형별 평균과 95% 신뢰구간을 한 그림에 그려 신뢰구간이 겹치지 않는 유형 쌍을 '차이가 뚜렷한 유형'으로 제시한다.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회복 여부는 분류 기준에 넣지 않고, 유형 간 비교 변수로만 쓴다 (분류 기준에 결과를 넣으면 비교가 순환 논리가 됨).</w:t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3.7 ⑦ 검증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4600"/>
        <w:gridCol w:w="3438"/>
        <w:tblGridChange w:id="0">
          <w:tblGrid>
            <w:gridCol w:w="1600"/>
            <w:gridCol w:w="4600"/>
            <w:gridCol w:w="3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검증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방법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통과 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기간 나눔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2024년 기준월 탐지분과 2025년 기준월 탐지분으로 나눠 ⑤-2 검정을 각각 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 기간 모두 p &lt; 0.05, 비율비 &gt;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기준 변화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n을 ±10%p 바꿔 ⑥ 분류를 다시 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비중 변화가 각 5%p 이내, 유형별 특성의 방향 동일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범위 확대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33개월 이상 관측 기업에 같은 규칙 적용 (창 안에서 빈 달이 1개 이하면 관측된 달로 평균)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5번째 백분위수 차이 ≤ 5%p, 비율비 방향 동일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임시값 재확인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④에서 쓴 임시 기준(30%)을 최종 n으로 바꿔 ④-1·④-2 재실시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기준과 창 길이 결정이 바뀌지 않음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6">
      <w:pPr>
        <w:pStyle w:val="Heading2"/>
        <w:keepNext w:val="0"/>
        <w:keepLines w:val="0"/>
        <w:spacing w:before="240" w:line="240" w:lineRule="auto"/>
        <w:rPr>
          <w:rFonts w:ascii="Malgun Gothic" w:cs="Malgun Gothic" w:eastAsia="Malgun Gothic" w:hAnsi="Malgun Gothic"/>
          <w:color w:val="2e74b5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24"/>
          <w:szCs w:val="24"/>
          <w:rtl w:val="0"/>
        </w:rPr>
        <w:t xml:space="preserve">3.8 ⑧ 해석과 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해석 원칙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결론의 적용 범위는 ③의 판정에 따라 '전체 고객' 또는 '36개월 유지 고객'으로 명시한다.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검정 결과는 '위축 탐지와 이후 관계 약화가 함께 나타난다'는 연관성이며, 인과관계로 해석하지 않는다.</w:t>
      </w:r>
    </w:p>
    <w:p w:rsidR="00000000" w:rsidDel="00000000" w:rsidP="00000000" w:rsidRDefault="00000000" w:rsidRPr="00000000" w14:paraId="000001BA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한계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생존 기업 편향: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분석 기간 중 거래가 끊긴 기업은 제외되므로, 가장 심한 위축 사례가 빠져 위축의 심각도가 과소평가될 수 있다.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금액 구간 반올림: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원자료 금액이 구간 단위로 반올림돼 있어, 작은 변화는 포착되지 않을 수 있다 (④-3으로 일부 보완).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외부 요인: </w:t>
      </w: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경기·업황 요인을 직접 통제하지 않는다. 비교군의 기준월을 탐지군과 맞춰 같은 시기의 영향을 받도록 한 것으로 일부 보완한다.</w:t>
      </w:r>
    </w:p>
    <w:p w:rsidR="00000000" w:rsidDel="00000000" w:rsidP="00000000" w:rsidRDefault="00000000" w:rsidRPr="00000000" w14:paraId="000001BE">
      <w:pPr>
        <w:spacing w:after="120" w:line="300" w:lineRule="auto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1"/>
          <w:szCs w:val="21"/>
          <w:rtl w:val="0"/>
        </w:rPr>
        <w:t xml:space="preserve">활용 방향 (분석 결과 확인 후 구체화)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입금 이탈형: 주거래 재유치 (결제·수납 계좌 전환 혜택, 자동이체 연계 상품)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사업 축소형·경기 위축형: 유동성 지원 상담 (운전자금, 이자 부담 완화 상품)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spacing w:after="80" w:line="290" w:lineRule="auto"/>
        <w:ind w:left="400" w:hanging="26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Fonts w:ascii="Malgun Gothic" w:cs="Malgun Gothic" w:eastAsia="Malgun Gothic" w:hAnsi="Malgun Gothic"/>
          <w:sz w:val="21"/>
          <w:szCs w:val="21"/>
          <w:rtl w:val="0"/>
        </w:rPr>
        <w:t xml:space="preserve">월평균 탐지 건수를 기준으로 영업점별 관리 대상 규모를 제시</w:t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4. 시각화 계획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900"/>
        <w:gridCol w:w="2600"/>
        <w:gridCol w:w="5038"/>
        <w:tblGridChange w:id="0">
          <w:tblGrid>
            <w:gridCol w:w="1100"/>
            <w:gridCol w:w="900"/>
            <w:gridCol w:w="2600"/>
            <w:gridCol w:w="50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번호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그래프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보여 줄 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히스토그램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기업별 관측 개월 수 분포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선그래프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월별 관측 기업 수 추이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묶은 막대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36개월 기업 vs 나머지 기업 구성비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겹친 선그래프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연도별 월 지수 (계절 패턴 반복 여부)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선그래프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두 비교 방식의 월별 탐지율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막대 + 신뢰구간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창 길이별 일시적 하락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상자그림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금액 분위별 변화율 흩어짐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히스토그램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분포와 n% 위치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막대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후보 n별 탐지군·비교군 약화 비율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100% 누적 막대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업종·규모 구성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그림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상자그림, 평균 + 신뢰구간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유형별 잔액 변화·채널 변화·회복률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5. 판정 기준 요약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600"/>
        <w:gridCol w:w="3700"/>
        <w:gridCol w:w="3438"/>
        <w:tblGridChange w:id="0">
          <w:tblGrid>
            <w:gridCol w:w="900"/>
            <w:gridCol w:w="1600"/>
            <w:gridCol w:w="3700"/>
            <w:gridCol w:w="34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설정 이유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편향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비율 차이 ≤ 5%p, 중앙값 차이 ≤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실무상 무시 가능한 차이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계절성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연도 간 상관 평균 ≥ 0.5, 최대/최소 ≥ 1.3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패턴 반복성과 크기를 함께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비교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월별 탐지율 최대/최소가 작은 방식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계절에 의한 오탐지 최소화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창 길이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일시적 하락 비율 &lt; 20%인 가장 짧은 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조기 탐지와 신뢰도의 균형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금액 하한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분위별 IQR ≤ 기준 IQR × 1.5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반올림 잡음 제거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④-4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사후 추적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6개월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일시적 변동을 넘어서는 기간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n% 제안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 5번째 백분위수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유의수준 5% 단측과 같은 논리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안정성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연도별 백분위수 차이 ≤ 5%p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기준의 재현성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⑤-2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n% 채택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p &lt; 0.05, 비율비 하한 &gt;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다른 지표로 확인한 타당성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최소 칸 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유형당 30개 기업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집단 비교 검정의 안정성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민감도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유형 비중 변화 ≤ 5%p, 결론 방향 동일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결론의 강건성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4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6. 발표 구성 (25분)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038"/>
        <w:gridCol w:w="1400"/>
        <w:tblGridChange w:id="0">
          <w:tblGrid>
            <w:gridCol w:w="2200"/>
            <w:gridCol w:w="6038"/>
            <w:gridCol w:w="1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시간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문제·데이터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연구 질문, 관측 기간 불균형, 36개월 추출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편향 진단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구성비 비교표와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3분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 규칙 설계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계절성 → 비교 기준, 창 길이, 금액 하한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6분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n% 도출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하위 5% 지점, 두 비율 검정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6분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4개 유형과 집단 비교, 활용 방향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4분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검증·한계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민감도, 적용 범위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spacing w:line="270" w:lineRule="auto"/>
              <w:jc w:val="center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2분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A">
      <w:pPr>
        <w:pStyle w:val="Heading1"/>
        <w:keepNext w:val="0"/>
        <w:keepLines w:val="0"/>
        <w:pBdr>
          <w:bottom w:color="1d3557" w:space="4" w:sz="8" w:val="single"/>
        </w:pBdr>
        <w:spacing w:after="160" w:before="360" w:line="240" w:lineRule="auto"/>
        <w:rPr>
          <w:rFonts w:ascii="Malgun Gothic" w:cs="Malgun Gothic" w:eastAsia="Malgun Gothic" w:hAnsi="Malgun Gothic"/>
          <w:color w:val="2e74b5"/>
          <w:sz w:val="32"/>
          <w:szCs w:val="3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d3557"/>
          <w:sz w:val="30"/>
          <w:szCs w:val="30"/>
          <w:rtl w:val="0"/>
        </w:rPr>
        <w:t xml:space="preserve">부록. 용어 정의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638"/>
        <w:tblGridChange w:id="0">
          <w:tblGrid>
            <w:gridCol w:w="2000"/>
            <w:gridCol w:w="7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용어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shd w:fill="1d3557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정의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변화율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(최근 k개월 평균 입금 − 비교 k개월 평균 입금) ÷ 비교 k개월 평균 입금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창 길이 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평균을 낼 개월 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판정 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 여부를 판정하는 월의 범위. 비교 자료와 사후 추적 자료가 모두 있는 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 / 비교군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위축으로 판정된 기업 / 판정 기간 내내 판정되지 않은 기업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기준월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6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탐지군은 처음 위축으로 판정된 달, 비교군은 무작위로 배정한 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관계 약화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사후 6개월 동안 잔액·채널·자동이체 중 하나 이상이 작년 같은 기간보다 약해진 상태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비율비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탐지군 약화 비율 ÷ 비교군 약화 비율. 1보다 크면 탐지군이 더 자주 약해짐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일시적 하락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7d2" w:space="0" w:sz="4" w:val="single"/>
              <w:left w:color="bfc7d2" w:space="0" w:sz="4" w:val="single"/>
              <w:bottom w:color="bfc7d2" w:space="0" w:sz="4" w:val="single"/>
              <w:right w:color="bfc7d2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spacing w:line="270" w:lineRule="auto"/>
              <w:rPr>
                <w:rFonts w:ascii="Malgun Gothic" w:cs="Malgun Gothic" w:eastAsia="Malgun Gothic" w:hAnsi="Malgun Gothic"/>
                <w:sz w:val="21"/>
                <w:szCs w:val="21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19"/>
                <w:szCs w:val="19"/>
                <w:rtl w:val="0"/>
              </w:rPr>
              <w:t xml:space="preserve">탐지 다음 달에 입금이 비교 기간 평균의 90% 이상으로 돌아온 경우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D">
      <w:pPr>
        <w:widowControl w:val="0"/>
        <w:rPr>
          <w:rFonts w:ascii="Malgun Gothic" w:cs="Malgun Gothic" w:eastAsia="Malgun Gothic" w:hAnsi="Malgun Gothi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00" w:hanging="260"/>
      </w:pPr>
      <w:rPr>
        <w:u w:val="none"/>
      </w:rPr>
    </w:lvl>
    <w:lvl w:ilvl="1">
      <w:start w:val="1"/>
      <w:numFmt w:val="bullet"/>
      <w:lvlText w:val="–"/>
      <w:lvlJc w:val="left"/>
      <w:pPr>
        <w:ind w:left="800" w:hanging="26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