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drawing>
          <wp:inline>
            <wp:extent cx="5943600" cy="4358670"/>
            <wp:docPr id="1" name="Picture 1" descr="Illustrative interface concept for a private Punjab and Kashmir research explorer. Labels demonstrate region browsing, name search and claim-specific evidence notes."/>
            <wp:cNvGraphicFramePr>
              <a:graphicFrameLocks noChangeAspect="1"/>
            </wp:cNvGraphicFramePr>
            <a:graphic>
              <a:graphicData uri="http://schemas.openxmlformats.org/drawingml/2006/picture">
                <pic:pic>
                  <pic:nvPicPr>
                    <pic:cNvPr id="0" name="cover_concept.png"/>
                    <pic:cNvPicPr/>
                  </pic:nvPicPr>
                  <pic:blipFill>
                    <a:blip r:embed="rId6"/>
                    <a:stretch>
                      <a:fillRect/>
                    </a:stretch>
                  </pic:blipFill>
                  <pic:spPr>
                    <a:xfrm>
                      <a:off x="0" y="0"/>
                      <a:ext cx="5943600" cy="4358670"/>
                    </a:xfrm>
                    <a:prstGeom prst="rect"/>
                  </pic:spPr>
                </pic:pic>
              </a:graphicData>
            </a:graphic>
          </wp:inline>
        </w:drawing>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52" w:lineRule="auto"/>
        <w:rPr/>
      </w:pPr>
      <w:r>
        <w:rPr>
          <w:rFonts w:ascii="Helvetica Neue" w:hAnsi="Helvetica Neue"/>
          <w:b/>
          <w:color w:val="000000"/>
          <w:sz w:val="64"/>
        </w:rPr>
        <w:t>Tribes Clans and Biradaris</w:t>
        <w:br/>
        <w:t>of Punjab and Kashmir</w:t>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000000"/>
                <w:sz w:val="22"/>
              </w:rPr>
              <w:t>Private explorer design report</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000000"/>
                <w:sz w:val="20"/>
              </w:rPr>
              <w:t>Project working draft</w:t>
            </w:r>
          </w:p>
          <w:p w14:paraId="00000007">
            <w:pPr>
              <w:spacing w:after="0" w:line="240" w:lineRule="auto"/>
              <w:rPr>
                <w:color w:val="666666"/>
              </w:rPr>
            </w:pPr>
            <w:r>
              <w:rPr>
                <w:color w:val="000000"/>
                <w:sz w:val="20"/>
              </w:rPr>
              <w:t>7 October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headerReference w:type="default" r:id="rId11"/>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Contents</w:t>
      </w:r>
    </w:p>
    <w:p>
      <w:pPr>
        <w:spacing w:after="280"/>
      </w:pPr>
      <w:r>
        <w:rPr>
          <w:rFonts w:ascii="Helvetica Neue" w:hAnsi="Helvetica Neue"/>
          <w:color w:val="000000"/>
          <w:sz w:val="28"/>
        </w:rPr>
        <w:t>Executive summary    3</w:t>
      </w:r>
    </w:p>
    <w:p>
      <w:pPr>
        <w:spacing w:after="280"/>
      </w:pPr>
      <w:r>
        <w:rPr>
          <w:rFonts w:ascii="Helvetica Neue" w:hAnsi="Helvetica Neue"/>
          <w:color w:val="000000"/>
          <w:sz w:val="28"/>
        </w:rPr>
        <w:t>Key findings    4</w:t>
      </w:r>
    </w:p>
    <w:p>
      <w:pPr>
        <w:spacing w:after="280"/>
      </w:pPr>
      <w:r>
        <w:rPr>
          <w:rFonts w:ascii="Helvetica Neue" w:hAnsi="Helvetica Neue"/>
          <w:color w:val="000000"/>
          <w:sz w:val="28"/>
        </w:rPr>
        <w:t>Recommendations    5</w:t>
      </w:r>
    </w:p>
    <w:p>
      <w:pPr>
        <w:spacing w:after="280"/>
      </w:pPr>
      <w:r>
        <w:rPr>
          <w:rFonts w:ascii="Helvetica Neue" w:hAnsi="Helvetica Neue"/>
          <w:color w:val="000000"/>
          <w:sz w:val="28"/>
        </w:rPr>
        <w:t>Appendix    6</w:t>
      </w:r>
    </w:p>
    <w:p>
      <w:pPr>
        <w:pStyle w:val="Heading2"/>
      </w:pPr>
      <w:r>
        <w:rPr>
          <w:rFonts w:ascii="Helvetica Neue" w:hAnsi="Helvetica Neue"/>
          <w:color w:val="000000"/>
        </w:rPr>
        <w:t>How to use this report</w:t>
      </w:r>
    </w:p>
    <w:p>
      <w:pPr>
        <w:spacing w:line="276" w:lineRule="auto" w:after="320"/>
      </w:pPr>
      <w:r>
        <w:rPr>
          <w:rFonts w:ascii="Helvetica Neue" w:hAnsi="Helvetica Neue"/>
          <w:sz w:val="22"/>
        </w:rPr>
        <w:t>Read the executive summary for the proposed scope. Use the findings to guide how claims appear in records. Use the recommendations as the implementation checklist and the appendix as the evidence policy.</w:t>
      </w:r>
    </w:p>
    <w:p>
      <w:pPr>
        <w:pStyle w:val="Heading2"/>
      </w:pPr>
      <w:r>
        <w:rPr>
          <w:rFonts w:ascii="Helvetica Neue" w:hAnsi="Helvetica Neue"/>
          <w:color w:val="000000"/>
        </w:rPr>
        <w:t>Document status</w:t>
      </w:r>
    </w:p>
    <w:p>
      <w:pPr>
        <w:spacing w:line="276" w:lineRule="auto" w:after="320"/>
      </w:pPr>
      <w:r>
        <w:rPr>
          <w:rFonts w:ascii="Helvetica Neue" w:hAnsi="Helvetica Neue"/>
          <w:sz w:val="22"/>
        </w:rPr>
        <w:t>This is a design specification for a private explorer. The cover shows an interface concept. Record research, website implementation and website validation remain separate work.</w:t>
      </w:r>
    </w:p>
    <w:p>
      <w:pPr>
        <w:pStyle w:val="Heading2"/>
      </w:pPr>
      <w:r>
        <w:rPr>
          <w:rFonts w:ascii="Helvetica Neue" w:hAnsi="Helvetica Neue"/>
          <w:color w:val="000000"/>
        </w:rPr>
        <w:t>Coverage note</w:t>
      </w:r>
    </w:p>
    <w:p>
      <w:pPr>
        <w:spacing w:line="276" w:lineRule="auto" w:after="320"/>
      </w:pPr>
      <w:r>
        <w:rPr>
          <w:rFonts w:ascii="Helvetica Neue" w:hAnsi="Helvetica Neue"/>
          <w:sz w:val="22"/>
        </w:rPr>
        <w:t>Initial coverage follows the Pakistani Punjab and AJK project material. A record appearing in more than one region should be discoverable in each relevant filter. The directory will be selected rather than exhaustive.</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bookmarkStart w:colFirst="0" w:colLast="0" w:name="bookmark=id.i23wo83gyh7m" w:id="1"/>
    <w:bookmarkEnd w:id="1"/>
    <w:p w14:paraId="00000017">
      <w:pPr>
        <w:pStyle w:val="Heading1"/>
        <w:pageBreakBefore w:val="1"/>
        <w:rPr/>
      </w:pPr>
      <w:r>
        <w:rPr>
          <w:rFonts w:ascii="Helvetica Neue" w:hAnsi="Helvetica Neue"/>
          <w:color w:val="000000"/>
        </w:rPr>
        <w:t>Executive summary</w:t>
      </w:r>
    </w:p>
    <w:p w14:paraId="00000018">
      <w:pPr>
        <w:spacing w:line="276" w:lineRule="auto" w:after="160"/>
        <w:rPr/>
      </w:pPr>
      <w:r>
        <w:rPr>
          <w:rFonts w:ascii="Helvetica Neue" w:hAnsi="Helvetica Neue"/>
          <w:color w:val="000000"/>
          <w:sz w:val="22"/>
        </w:rPr>
        <w:t>Build a private research explorer that helps you check community names, classifications, locality examples and source notes before preparing social posts. The first version should let you browse Punjab or Kashmir, search alternative spellings and open one clear record at a time.</w:t>
      </w:r>
    </w:p>
    <w:p w14:paraId="00000019">
      <w:pPr>
        <w:spacing w:line="276" w:lineRule="auto" w:after="160"/>
        <w:rPr/>
      </w:pPr>
      <w:r>
        <w:rPr>
          <w:rFonts w:ascii="Helvetica Neue" w:hAnsi="Helvetica Neue"/>
          <w:color w:val="000000"/>
          <w:sz w:val="22"/>
        </w:rPr>
        <w:t>The central design decision is to attach evidence and uncertainty to individual claims. A name, a classification and a lineage tradition can have different levels of support. The interface should preserve those differences when you read a record or copy its wording. This document specifies a proposed design. It does not certify a complete historical directory or a deployed website.</w:t>
      </w:r>
    </w:p>
    <w:bookmarkStart w:colFirst="0" w:colLast="0" w:name="bookmark=id.1sqjewf8afxt" w:id="2"/>
    <w:bookmarkEnd w:id="2"/>
    <w:p w14:paraId="0000001A">
      <w:pPr>
        <w:pStyle w:val="Heading2"/>
        <w:rPr/>
      </w:pPr>
      <w:r>
        <w:rPr>
          <w:rFonts w:ascii="Helvetica Neue" w:hAnsi="Helvetica Neue"/>
          <w:color w:val="000000"/>
        </w:rPr>
        <w:t>At a glance</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540" w:right="0" w:hanging="270"/>
        <w:jc w:val="left"/>
        <w:rPr/>
      </w:pPr>
      <w:r>
        <w:rPr>
          <w:rFonts w:ascii="Helvetica Neue" w:hAnsi="Helvetica Neue"/>
          <w:color w:val="000000"/>
          <w:sz w:val="22"/>
        </w:rPr>
        <w:t>Purpose. Check project content before turning it into social posts.</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540" w:right="0" w:hanging="270"/>
        <w:jc w:val="left"/>
        <w:rPr/>
      </w:pPr>
      <w:r>
        <w:rPr>
          <w:rFonts w:ascii="Helvetica Neue" w:hAnsi="Helvetica Neue"/>
          <w:color w:val="000000"/>
          <w:sz w:val="22"/>
        </w:rPr>
        <w:t>First version. Region browsing, name search, record details and qualified copy.</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540" w:right="0" w:hanging="270"/>
        <w:jc w:val="left"/>
        <w:rPr/>
      </w:pPr>
      <w:r>
        <w:rPr>
          <w:rFonts w:ascii="Helvetica Neue" w:hAnsi="Helvetica Neue"/>
          <w:color w:val="000000"/>
          <w:sz w:val="22"/>
        </w:rPr>
        <w:t>Access. Owner only through Sites. Public access requires your explicit approval.</w:t>
      </w:r>
    </w:p>
    <w:bookmarkStart w:colFirst="0" w:colLast="0" w:name="bookmark=id.4t4jj91ycfx" w:id="3"/>
    <w:bookmarkEnd w:id="3"/>
    <w:p w14:paraId="0000001E">
      <w:pPr>
        <w:pStyle w:val="Heading2"/>
        <w:rPr/>
      </w:pPr>
      <w:r>
        <w:rPr>
          <w:rFonts w:ascii="Helvetica Neue" w:hAnsi="Helvetica Neue"/>
          <w:color w:val="000000"/>
        </w:rPr>
        <w:t>Scope and audience</w:t>
      </w:r>
    </w:p>
    <w:p w14:paraId="0000001F">
      <w:pPr>
        <w:spacing w:line="276" w:lineRule="auto" w:after="160"/>
        <w:rPr/>
      </w:pPr>
      <w:r>
        <w:rPr>
          <w:rFonts w:ascii="Helvetica Neue" w:hAnsi="Helvetica Neue"/>
          <w:color w:val="000000"/>
          <w:sz w:val="22"/>
        </w:rPr>
        <w:t>Use Pakistani Punjab and Azad Jammu and Kashmir as the initial browsing scope because these are the areas represented in the available project posters. Label Kashmir as Kashmir with an AJK scope note. Keep the project title broad, but do not imply that the initial collection covers the Kashmir Valley or every part of the wider region.</w:t>
      </w:r>
    </w:p>
    <w:p w14:paraId="00000020">
      <w:pPr>
        <w:spacing w:line="276" w:lineRule="auto" w:after="160"/>
        <w:rPr/>
      </w:pPr>
      <w:r>
        <w:rPr>
          <w:rFonts w:ascii="Helvetica Neue" w:hAnsi="Helvetica Neue"/>
          <w:color w:val="000000"/>
          <w:sz w:val="22"/>
        </w:rPr>
        <w:t>The primary user is the project owner reviewing names and wording on a phone or desktop. Begin with a bounded selection of records from the existing material. State the coverage limits prominently and add further communities only after their claims have usable references.</w:t>
      </w:r>
    </w:p>
    <w:bookmarkStart w:colFirst="0" w:colLast="0" w:name="bookmark=id.xx7bxdemqiq" w:id="4"/>
    <w:bookmarkEnd w:id="4"/>
    <w:p w14:paraId="00000021">
      <w:pPr>
        <w:pStyle w:val="Heading1"/>
        <w:pageBreakBefore w:val="1"/>
        <w:rPr/>
      </w:pPr>
      <w:r>
        <w:rPr>
          <w:rFonts w:ascii="Helvetica Neue" w:hAnsi="Helvetica Neue"/>
          <w:color w:val="000000"/>
        </w:rPr>
        <w:t>Key findings</w:t>
      </w:r>
    </w:p>
    <w:p w14:paraId="00000022">
      <w:pPr>
        <w:spacing w:line="276" w:lineRule="auto" w:after="160"/>
        <w:rPr/>
      </w:pPr>
      <w:r>
        <w:rPr>
          <w:rFonts w:ascii="Helvetica Neue" w:hAnsi="Helvetica Neue"/>
          <w:color w:val="000000"/>
          <w:sz w:val="22"/>
        </w:rPr>
        <w:t>The existing project material gives a useful starting inventory, but poster wording is not enough to verify every historical statement. The current AJK directory explicitly treats locations as examples, describes the list as selected and warns that affiliations vary by family, locality and source. Preserve those qualifications in the explorer. [1]</w:t>
      </w:r>
    </w:p>
    <w:p w14:paraId="00000023">
      <w:pPr>
        <w:pStyle w:val="Heading2"/>
        <w:rPr/>
      </w:pPr>
      <w:r>
        <w:rPr>
          <w:rFonts w:ascii="Helvetica Neue" w:hAnsi="Helvetica Neue"/>
          <w:color w:val="000000"/>
        </w:rPr>
        <w:t>Classifications need context</w:t>
      </w:r>
    </w:p>
    <w:p w14:paraId="00000024">
      <w:pPr>
        <w:spacing w:line="276" w:lineRule="auto" w:after="160"/>
        <w:rPr/>
      </w:pPr>
      <w:r>
        <w:rPr>
          <w:rFonts w:ascii="Helvetica Neue" w:hAnsi="Helvetica Neue"/>
          <w:color w:val="000000"/>
          <w:sz w:val="22"/>
        </w:rPr>
        <w:t>Store tribe, clan, biradari, title and broader community identity as separate descriptive fields where the source supports that distinction. Do not force every record into one fixed lineage tree. A study of biraderi terminology specifically cautions that its relationship to caste, quom and zat is often overlooked. This supports a design with source-specific labels rather than a universal hierarchy. [3]</w:t>
      </w:r>
    </w:p>
    <w:p w14:paraId="00000025">
      <w:pPr>
        <w:pStyle w:val="Heading2"/>
        <w:rPr/>
      </w:pPr>
      <w:r>
        <w:rPr>
          <w:rFonts w:ascii="Helvetica Neue" w:hAnsi="Helvetica Neue"/>
          <w:color w:val="000000"/>
        </w:rPr>
        <w:t>The source has a limited reach</w:t>
      </w:r>
    </w:p>
    <w:p w14:paraId="00000026">
      <w:pPr>
        <w:spacing w:line="276" w:lineRule="auto" w:after="160"/>
        <w:rPr/>
      </w:pPr>
      <w:r>
        <w:rPr>
          <w:rFonts w:ascii="Helvetica Neue" w:hAnsi="Helvetica Neue"/>
          <w:color w:val="000000"/>
          <w:sz w:val="22"/>
        </w:rPr>
        <w:t>A Bhimber study records locally used ethnicity or caste categories in a defined district sample. It can support statements about the groups recorded in that study. It cannot establish a complete AJK inventory, the ancestry of those groups or their distribution across all of Kashmir. Record the place, date and study limits beside the citation. [4]</w:t>
      </w:r>
    </w:p>
    <w:p w14:paraId="00000028">
      <w:pPr>
        <w:keepNext w:val="0"/>
        <w:keepLines w:val="1"/>
        <w:pageBreakBefore w:val="0"/>
        <w:widowControl w:val="1"/>
        <w:spacing w:after="160" w:before="160" w:line="276" w:lineRule="auto"/>
        <w:ind w:left="0" w:right="0"/>
        <w:jc w:val="left"/>
        <w:rPr/>
      </w:pPr>
      <w:r>
        <w:rPr>
          <w:rFonts w:ascii="Helvetica Neue" w:hAnsi="Helvetica Neue"/>
          <w:color w:val="000000"/>
          <w:sz w:val="22"/>
        </w:rPr>
        <w:t>Editorial rule. A reported identity or lineage tradition remains attributed to its source. A shared surname alone does not prove common ancestry. Missing evidence should produce a clear research note.</w:t>
      </w:r>
    </w:p>
    <w:bookmarkStart w:colFirst="0" w:colLast="0" w:name="bookmark=id.suv0vlq0gz4r" w:id="5"/>
    <w:bookmarkEnd w:id="5"/>
    <w:p w14:paraId="0000002A">
      <w:pPr>
        <w:pStyle w:val="Heading2"/>
        <w:rPr/>
      </w:pPr>
      <w:r>
        <w:rPr>
          <w:rFonts w:ascii="Helvetica Neue" w:hAnsi="Helvetica Neue"/>
          <w:color w:val="000000"/>
        </w:rPr>
        <w:t>Implications for the explorer</w:t>
      </w:r>
    </w:p>
    <w:p w14:paraId="0000002B">
      <w:pPr>
        <w:spacing w:line="276" w:lineRule="auto" w:after="160"/>
        <w:rPr/>
      </w:pPr>
      <w:r>
        <w:rPr>
          <w:rFonts w:ascii="Helvetica Neue" w:hAnsi="Helvetica Neue"/>
          <w:color w:val="000000"/>
          <w:sz w:val="22"/>
        </w:rPr>
        <w:t>Use concise summaries for browsing and a fuller evidence section for checking. Search aliases together, but show whether an alias is a verified spelling or a possible related name. Keep localities as sourced examples with dates where available. Avoid clan emblems unless their provenance can be documented; the current AJK directory labels its motifs as decorative. [1]</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hAnsi="Helvetica Neue"/>
                <w:b/>
                <w:color w:val="000000"/>
                <w:sz w:val="20"/>
              </w:rPr>
              <w:t>Theme</w:t>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hAnsi="Helvetica Neue"/>
                <w:b/>
                <w:color w:val="000000"/>
                <w:sz w:val="20"/>
              </w:rPr>
              <w:t>Observation</w:t>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hAnsi="Helvetica Neue"/>
                <w:b/>
                <w:color w:val="000000"/>
                <w:sz w:val="20"/>
              </w:rPr>
              <w:t>Implication</w:t>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hAnsi="Helvetica Neue"/>
                <w:b w:val="0"/>
                <w:color w:val="000000"/>
                <w:sz w:val="20"/>
              </w:rPr>
              <w:t>Names</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hAnsi="Helvetica Neue"/>
                <w:b w:val="0"/>
                <w:color w:val="000000"/>
                <w:sz w:val="20"/>
              </w:rPr>
              <w:t>Spellings vary in the working material.</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hAnsi="Helvetica Neue"/>
                <w:b w:val="0"/>
                <w:color w:val="000000"/>
                <w:sz w:val="20"/>
              </w:rPr>
              <w:t>Search aliases and retain their source.</w:t>
            </w:r>
          </w:p>
        </w:tc>
      </w:tr>
      <w:tr>
        <w:trPr>
          <w:cantSplit w:val="0"/>
          <w:tblHeader w:val="0"/>
        </w:trPr>
        <w:tc>
          <w:tcPr>
            <w:shd w:fill="ffffff" w:val="clear"/>
            <w:tcMar>
              <w:top w:w="110.0" w:type="dxa"/>
              <w:bottom w:w="110.0" w:type="dxa"/>
            </w:tcMar>
            <w:vAlign w:val="center"/>
          </w:tcPr>
          <w:p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hAnsi="Helvetica Neue"/>
                <w:b w:val="0"/>
                <w:color w:val="000000"/>
                <w:sz w:val="20"/>
              </w:rPr>
              <w:t>Localities</w:t>
            </w:r>
          </w:p>
        </w:tc>
        <w:tc>
          <w:tcPr>
            <w:shd w:fill="ffffff" w:val="clear"/>
            <w:tcMar>
              <w:top w:w="110.0" w:type="dxa"/>
              <w:bottom w:w="110.0" w:type="dxa"/>
            </w:tcMar>
            <w:vAlign w:val="center"/>
          </w:tcPr>
          <w:p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hAnsi="Helvetica Neue"/>
                <w:b w:val="0"/>
                <w:color w:val="000000"/>
                <w:sz w:val="20"/>
              </w:rPr>
              <w:t>Directory locations are examples.</w:t>
            </w:r>
          </w:p>
        </w:tc>
        <w:tc>
          <w:tcPr>
            <w:shd w:fill="ffffff" w:val="clear"/>
            <w:tcMar>
              <w:top w:w="110.0" w:type="dxa"/>
              <w:bottom w:w="110.0" w:type="dxa"/>
            </w:tcMar>
            <w:vAlign w:val="center"/>
          </w:tcPr>
          <w:p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hAnsi="Helvetica Neue"/>
                <w:b w:val="0"/>
                <w:color w:val="000000"/>
                <w:sz w:val="20"/>
              </w:rPr>
              <w:t>Avoid exclusive territory labels.</w:t>
            </w:r>
          </w:p>
        </w:tc>
      </w:tr>
      <w:tr>
        <w:trPr>
          <w:cantSplit w:val="0"/>
          <w:tblHeader w:val="0"/>
        </w:trPr>
        <w:tc>
          <w:tcPr>
            <w:shd w:fill="ffffff" w:val="clear"/>
            <w:tcMar>
              <w:top w:w="110.0" w:type="dxa"/>
              <w:bottom w:w="110.0" w:type="dxa"/>
            </w:tcMar>
            <w:vAlign w:val="center"/>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hAnsi="Helvetica Neue"/>
                <w:b w:val="0"/>
                <w:color w:val="000000"/>
                <w:sz w:val="20"/>
              </w:rPr>
              <w:t>Lineage</w:t>
            </w:r>
          </w:p>
        </w:tc>
        <w:tc>
          <w:tcPr>
            <w:shd w:fill="ffffff" w:val="clear"/>
            <w:tcMar>
              <w:top w:w="110.0" w:type="dxa"/>
              <w:bottom w:w="110.0" w:type="dxa"/>
            </w:tcMar>
            <w:vAlign w:val="center"/>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hAnsi="Helvetica Neue"/>
                <w:b w:val="0"/>
                <w:color w:val="000000"/>
                <w:sz w:val="20"/>
              </w:rPr>
              <w:t>The brief requires qualified claims.</w:t>
            </w:r>
          </w:p>
        </w:tc>
        <w:tc>
          <w:tcPr>
            <w:shd w:fill="ffffff" w:val="clear"/>
            <w:tcMar>
              <w:top w:w="110.0" w:type="dxa"/>
              <w:bottom w:w="110.0" w:type="dxa"/>
            </w:tcMar>
            <w:vAlign w:val="center"/>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hAnsi="Helvetica Neue"/>
                <w:b w:val="0"/>
                <w:color w:val="000000"/>
                <w:sz w:val="20"/>
              </w:rPr>
              <w:t>Keep attribution in copied wording.</w:t>
            </w:r>
          </w:p>
        </w:tc>
      </w:tr>
    </w:tbl>
    <w:bookmarkStart w:colFirst="0" w:colLast="0" w:name="bookmark=id.vvr4bduzzdc0" w:id="6"/>
    <w:bookmarkEnd w:id="6"/>
    <w:p w14:paraId="00000038">
      <w:pPr>
        <w:pStyle w:val="Heading1"/>
        <w:pageBreakBefore w:val="1"/>
        <w:rPr/>
      </w:pPr>
      <w:r>
        <w:rPr>
          <w:rFonts w:ascii="Helvetica Neue" w:hAnsi="Helvetica Neue"/>
          <w:color w:val="000000"/>
        </w:rPr>
        <w:t>Recommendations</w:t>
      </w:r>
    </w:p>
    <w:p w14:paraId="00000039">
      <w:pPr>
        <w:spacing w:line="276" w:lineRule="auto" w:after="160"/>
        <w:rPr/>
      </w:pPr>
      <w:r>
        <w:rPr>
          <w:rFonts w:ascii="Helvetica Neue" w:hAnsi="Helvetica Neue"/>
          <w:color w:val="000000"/>
          <w:sz w:val="22"/>
        </w:rPr>
        <w:t>Build one focused view with region filters, a search field and a list of matching records. Opening a record should reveal its classification, aliases, locality examples, claim notes and sources. Keep all of this available without hover interactions so the same workflow works on a phone.</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540" w:right="0" w:hanging="270"/>
        <w:jc w:val="left"/>
        <w:rPr/>
      </w:pPr>
      <w:r>
        <w:rPr>
          <w:rFonts w:ascii="Helvetica Neue" w:hAnsi="Helvetica Neue"/>
          <w:color w:val="000000"/>
          <w:sz w:val="22"/>
        </w:rPr>
        <w:t>Make the record readable. Show the preferred name first, followed by alternative spellings and the source-specific classification. Use short paragraphs, visible headings, dark text and generous spacing. Display unresolved claims beside the affected wording rather than hiding them in a general disclaimer.</w:t>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540" w:right="0" w:hanging="270"/>
        <w:jc w:val="left"/>
        <w:rPr/>
      </w:pPr>
      <w:r>
        <w:rPr>
          <w:rFonts w:ascii="Helvetica Neue" w:hAnsi="Helvetica Neue"/>
          <w:color w:val="000000"/>
          <w:sz w:val="22"/>
        </w:rPr>
        <w:t>Keep review simple. Provide a Needs review filter and a Copy qualified summary action. Copy the concise description together with its necessary caveat and source reference. If a record lacks adequate support, offer wording that describes the research gap. Do not label it verified.</w:t>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540" w:right="0" w:hanging="270"/>
        <w:jc w:val="left"/>
        <w:rPr/>
      </w:pPr>
      <w:r>
        <w:rPr>
          <w:rFonts w:ascii="Helvetica Neue" w:hAnsi="Helvetica Neue"/>
          <w:color w:val="000000"/>
          <w:sz w:val="22"/>
        </w:rPr>
        <w:t>Deliver a bounded first version. Use a curated static dataset and browser-side search for the initial collection. A later version can add editing and synchronised notes if needed. If review flags use browser storage, label them as local to that browser and do not imply that they sync across devices.</w:t>
      </w:r>
    </w:p>
    <w:bookmarkStart w:colFirst="0" w:colLast="0" w:name="bookmark=id.rl3o3rp5qmnq" w:id="7"/>
    <w:bookmarkEnd w:id="7"/>
    <w:p w14:paraId="0000003D">
      <w:pPr>
        <w:pStyle w:val="Heading2"/>
        <w:rPr/>
      </w:pPr>
      <w:r>
        <w:rPr>
          <w:rFonts w:ascii="Helvetica Neue" w:hAnsi="Helvetica Neue"/>
          <w:color w:val="000000"/>
        </w:rPr>
        <w:t>Validation before private release</w:t>
      </w:r>
    </w:p>
    <w:p w14:paraId="0000003E">
      <w:pPr>
        <w:spacing w:line="276" w:lineRule="auto" w:after="160"/>
        <w:rPr/>
      </w:pPr>
      <w:r>
        <w:rPr>
          <w:rFonts w:ascii="Helvetica Neue" w:hAnsi="Helvetica Neue"/>
          <w:color w:val="000000"/>
          <w:sz w:val="22"/>
        </w:rPr>
        <w:t>Check that preferred names and documented aliases return the same intended record, region filters handle records found in both regions, and a search with no matches offers a clear reset. Confirm that copied summaries retain their qualification and reference. Review the wording of every seeded record against the cited passage.</w:t>
      </w:r>
    </w:p>
    <w:p w14:paraId="0000003F">
      <w:pPr>
        <w:spacing w:line="276" w:lineRule="auto" w:after="160"/>
        <w:rPr/>
      </w:pPr>
      <w:r>
        <w:rPr>
          <w:rFonts w:ascii="Helvetica Neue" w:hAnsi="Helvetica Neue"/>
          <w:color w:val="000000"/>
          <w:sz w:val="22"/>
        </w:rPr>
        <w:t>Check layouts at 320 and 390 pixels wide, readable text at 200 percent zoom, keyboard navigation, visible focus, labels for controls and touch targets of at least 44 pixels. Deploy only through the owner-private Sites path and confirm successful deployment. These are acceptance criteria for the future website, not completed website test results.</w:t>
      </w:r>
    </w:p>
    <w:bookmarkStart w:colFirst="0" w:colLast="0" w:name="bookmark=id.cf45595vup8a" w:id="8"/>
    <w:bookmarkEnd w:id="8"/>
    <w:p w14:paraId="00000040">
      <w:pPr>
        <w:pStyle w:val="Heading1"/>
        <w:pageBreakBefore w:val="1"/>
        <w:rPr/>
      </w:pPr>
      <w:r>
        <w:rPr>
          <w:rFonts w:ascii="Helvetica Neue" w:hAnsi="Helvetica Neue"/>
          <w:color w:val="000000"/>
        </w:rPr>
        <w:t>Appendix</w:t>
      </w:r>
    </w:p>
    <w:bookmarkStart w:colFirst="0" w:colLast="0" w:name="bookmark=id.ptrg31dozyqs" w:id="9"/>
    <w:bookmarkEnd w:id="9"/>
    <w:p w14:paraId="00000041">
      <w:pPr>
        <w:pStyle w:val="Heading2"/>
        <w:rPr/>
      </w:pPr>
      <w:r>
        <w:rPr>
          <w:rFonts w:ascii="Helvetica Neue" w:hAnsi="Helvetica Neue"/>
          <w:color w:val="000000"/>
        </w:rPr>
        <w:t>Evidence and review rules</w:t>
      </w:r>
    </w:p>
    <w:p w14:paraId="00000042">
      <w:pPr>
        <w:spacing w:line="276" w:lineRule="auto" w:after="160"/>
        <w:rPr/>
      </w:pPr>
      <w:r>
        <w:rPr>
          <w:rFonts w:ascii="Helvetica Neue" w:hAnsi="Helvetica Neue"/>
          <w:color w:val="000000"/>
          <w:sz w:val="22"/>
        </w:rPr>
        <w:t>For each record, retain a stable identifier, preferred name, documented spellings, browsing regions, sourced classification, locality examples, concise summary and claim-specific references. Each reference needs an author or organisation, title, date, URL where available, and a page, table or section locator. Store original source wording separately from the edited summary.</w:t>
      </w:r>
    </w:p>
    <w:p w14:paraId="00000043">
      <w:pPr>
        <w:spacing w:line="276" w:lineRule="auto" w:after="160"/>
        <w:rPr/>
      </w:pPr>
      <w:r>
        <w:rPr>
          <w:rFonts w:ascii="Helvetica Neue" w:hAnsi="Helvetica Neue"/>
          <w:color w:val="000000"/>
          <w:sz w:val="22"/>
        </w:rPr>
        <w:t>Use three evidence labels: Supported in cited context, Reported tradition and Needs verification. Keep these separate from editorial progress such as Needs review or Reviewed. A reviewed record can still contain a disputed claim. Sources that report a tradition demonstrate that the tradition was recorded, not that its genealogy is proven.</w:t>
      </w:r>
    </w:p>
    <w:bookmarkStart w:colFirst="0" w:colLast="0" w:name="bookmark=id.nnk1eebni0ji" w:id="10"/>
    <w:bookmarkEnd w:id="10"/>
    <w:p w14:paraId="00000044">
      <w:pPr>
        <w:pStyle w:val="Heading2"/>
        <w:rPr/>
      </w:pPr>
      <w:r>
        <w:rPr>
          <w:rFonts w:ascii="Helvetica Neue" w:hAnsi="Helvetica Neue"/>
          <w:color w:val="000000"/>
        </w:rPr>
        <w:t>Sources and their limits</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540" w:right="0" w:hanging="270"/>
        <w:jc w:val="left"/>
        <w:rPr/>
      </w:pPr>
      <w:r>
        <w:rPr>
          <w:rFonts w:ascii="Helvetica Neue" w:hAnsi="Helvetica Neue"/>
          <w:color w:val="000000"/>
          <w:sz w:val="22"/>
        </w:rPr>
        <w:t>[1] Project material. AJK Biradari Localities Directory and Ornate AJK Biradaris Locality Guide. Current supplied images, inspected 7 October 2026. Use for the project inventory and its stated caveats. Text extraction was incomplete, so verify names against the images before importing them.</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540" w:right="0" w:hanging="270"/>
        <w:jc w:val="left"/>
        <w:rPr/>
      </w:pPr>
      <w:r>
        <w:rPr>
          <w:rFonts w:ascii="Helvetica Neue" w:hAnsi="Helvetica Neue"/>
          <w:color w:val="000000"/>
          <w:sz w:val="22"/>
        </w:rPr>
        <w:t>[2] Project material. Major Rajput Clans of Pakistan. Current supplied image, inspected 7 October 2026. Use as a working inventory. Its classifications, locality examples and emblem claims still need individual references before publication.</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540" w:right="0" w:hanging="270"/>
        <w:jc w:val="left"/>
        <w:rPr/>
      </w:pPr>
      <w:r>
        <w:rPr>
          <w:rFonts w:ascii="Helvetica Neue" w:hAnsi="Helvetica Neue"/>
          <w:color w:val="000000"/>
          <w:sz w:val="22"/>
        </w:rPr>
        <w:t>[3] Bittles, A H, and N A Small. Consanguinity genetics and definitions of kinship in the UK Pakistani population. Journal of Biosocial Science 48(6), 2016, pp 844 to 854. Abstract consulted for the terminology caution. https://pubmed.ncbi.nlm.nih.gov/26707179/</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540" w:right="0" w:hanging="270"/>
        <w:jc w:val="left"/>
        <w:rPr/>
      </w:pPr>
      <w:r>
        <w:rPr>
          <w:rFonts w:ascii="Helvetica Neue" w:hAnsi="Helvetica Neue"/>
          <w:color w:val="000000"/>
          <w:sz w:val="22"/>
        </w:rPr>
        <w:t>[4] Jabeen, Nazish, and Sajid Malik. Consanguinity and Its Sociodemographic Differentials in Bhimber District Azad Jammu and Kashmir Pakistan. Journal of Health Population and Nutrition 32(2), 2014, pp 301 to 313. Consult Table 1 and the methods for local sample limits. https://pmc.ncbi.nlm.nih.gov/articles/PMC4216966/</w:t>
      </w:r>
    </w:p>
    <w:p w14:paraId="0000004A">
      <w:pPr>
        <w:keepNext w:val="0"/>
        <w:keepLines w:val="1"/>
        <w:pageBreakBefore w:val="0"/>
        <w:widowControl w:val="1"/>
        <w:spacing w:after="160" w:before="160" w:line="276" w:lineRule="auto"/>
        <w:ind w:left="0" w:right="0"/>
        <w:jc w:val="left"/>
        <w:rPr>
          <w:rFonts w:ascii="Helvetica Neue" w:cs="Helvetica Neue" w:eastAsia="Helvetica Neue" w:hAnsi="Helvetica Neue"/>
          <w:b w:val="0"/>
          <w:bCs w:val="0"/>
          <w:i w:val="0"/>
          <w:iCs w:val="0"/>
          <w:smallCaps w:val="0"/>
          <w:strike w:val="0"/>
          <w:color w:val="000000"/>
          <w:u w:val="none"/>
          <w:shd w:fill="auto" w:val="clear"/>
          <w:vertAlign w:val="baseline"/>
        </w:rPr>
      </w:pPr>
      <w:r>
        <w:rPr>
          <w:rFonts w:ascii="Helvetica Neue" w:hAnsi="Helvetica Neue"/>
          <w:color w:val="000000"/>
          <w:sz w:val="22"/>
        </w:rPr>
        <w:t>Research next step. Resolve source passages for each selected name before treating the dataset as ready for social posts. Historic census works and gazetteers may help, but their administrative categories and period boundaries need explicit context. Keep the website owner private unless you approve a change in access.</w:t>
      </w:r>
    </w:p>
    <w:sectPr>
      <w:headerReference r:id="rId9" w:type="default"/>
      <w:footerReference r:id="rId10" w:type="default"/>
      <w:type w:val="nextPage"/>
      <w:pgSz w:h="15840" w:w="12240" w:orient="portrait"/>
      <w:pgMar w:bottom="1440" w:top="1440" w:left="1440" w:right="1440" w:header="720" w:footer="720"/>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000000"/>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000000"/>
                  <w:sz w:val="17"/>
                  <w:szCs w:val="17"/>
                </w:rPr>
              </w:pPr>
              <w:r>
                <w:rPr>
                  <w:color w:val="000000"/>
                  <w:sz w:val="17"/>
                  <w:szCs w:val="17"/>
                  <w:rtl w:val="0"/>
                </w:rPr>
                <w:t xml:space="preserve">Punjab and Kashmir explorer</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000000"/>
                  <w:sz w:val="17"/>
                  <w:szCs w:val="17"/>
                </w:rPr>
              </w:pPr>
              <w:r>
                <w:rPr>
                  <w:color w:val="000000"/>
                  <w:sz w:val="17"/>
                  <w:szCs w:val="17"/>
                  <w:rtl w:val="0"/>
                </w:rPr>
                <w:t xml:space="preserve">7 October 2026</w:t>
              </w:r>
            </w:p>
          </w:tc>
        </w:tr>
      </w:tbl>
    </w:sdtContent>
  </w:sdt>
  <w:p w14:paraId="0000004F">
    <w:pPr>
      <w:rPr/>
    </w:pPr>
    <w:r>
      <w:rPr>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color w:val="000000"/>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6" Type="http://schemas.openxmlformats.org/officeDocument/2006/relationships/image" Target="media/image2.png"/><Relationship Id="rId11"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Tribes Clans and Biradaris of Punjab and Kashmir</dc:title>
  <cp:lastModifiedBy>python-docx</cp:lastModifiedBy>
  <cp:revision>1</cp:revision>
  <dcterms:modified xsi:type="dcterms:W3CDTF">2026-10-07T16:48:47Z</dcterms:modified>
  <dc:subject>Private explorer design report</dc:subject>
  <dc:creator/>
  <cp:keywords>Punjab Kashmir biradari research private explorer design</cp:keywords>
</cp:coreProperties>
</file>