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0A710">
      <w:pPr>
        <w:spacing w:after="60"/>
        <w:jc w:val="center"/>
      </w:pPr>
      <w:r>
        <w:rPr>
          <w:rFonts w:ascii="Arial" w:eastAsia="Noto Sans SC"/>
          <w:b/>
          <w:bCs/>
          <w:color w:val="1A1A1A"/>
          <w:sz w:val="40"/>
          <w:szCs w:val="40"/>
        </w:rPr>
        <w:t>Lumy 产品型号四层定义与实例</w:t>
      </w:r>
    </w:p>
    <w:p w14:paraId="5CC84225">
      <w:pPr>
        <w:spacing w:after="280"/>
        <w:jc w:val="center"/>
      </w:pPr>
      <w:r>
        <w:rPr>
          <w:rFonts w:ascii="Arial" w:eastAsia="Noto Sans SC"/>
          <w:color w:val="888888"/>
          <w:sz w:val="19"/>
          <w:szCs w:val="19"/>
        </w:rPr>
        <w:t>v1.5　|　2026-07-16　|　依据14张规格书标注截图核对整理（TI / Maxim / ROHM / Torex / ADI / onsemi / PI）</w:t>
      </w:r>
    </w:p>
    <w:p w14:paraId="26AFDDD6">
      <w:pPr>
        <w:pStyle w:val="2"/>
        <w:spacing w:before="300" w:after="160"/>
      </w:pPr>
      <w:r>
        <w:rPr>
          <w:rFonts w:ascii="Arial" w:eastAsia="Noto Sans SC"/>
          <w:b/>
          <w:bCs/>
          <w:color w:val="00B881"/>
          <w:sz w:val="30"/>
          <w:szCs w:val="30"/>
        </w:rPr>
        <w:t>一、一致性检查结论</w:t>
      </w:r>
    </w:p>
    <w:p w14:paraId="1A6943A0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11张截图的标注规则基本统一：产品家族＝规格书封面/角标型号；PPN＝家族名＋功能参数编码位；OPN＝PPN＋订购属性编码位（封装、包装、环保、湿度等级）。</w:t>
      </w:r>
    </w:p>
    <w:p w14:paraId="042916DB">
      <w:pPr>
        <w:spacing w:after="120" w:line="300" w:lineRule="auto"/>
      </w:pPr>
      <w:r>
        <w:rPr>
          <w:rFonts w:ascii="Arial" w:eastAsia="Noto Sans SC"/>
          <w:b/>
          <w:bCs/>
          <w:color w:val="1A1A1A"/>
          <w:sz w:val="21"/>
          <w:szCs w:val="21"/>
        </w:rPr>
        <w:t>核心判定标准：编码位代表的属性性质决定层级——功能参数落PPN位，订购属性落OPN位，与字符在型号串中的位置无关。</w:t>
      </w:r>
    </w:p>
    <w:p w14:paraId="5174FD2B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4条约定已确认（2026-07-16），见第五节。</w:t>
      </w:r>
    </w:p>
    <w:p w14:paraId="2211260E">
      <w:pPr>
        <w:pStyle w:val="2"/>
        <w:spacing w:before="300" w:after="160"/>
      </w:pPr>
      <w:r>
        <w:rPr>
          <w:rFonts w:ascii="Arial" w:eastAsia="Noto Sans SC"/>
          <w:b/>
          <w:bCs/>
          <w:color w:val="00B881"/>
          <w:sz w:val="30"/>
          <w:szCs w:val="30"/>
        </w:rPr>
        <w:t>二、四个层级的定义</w:t>
      </w:r>
    </w:p>
    <w:tbl>
      <w:tblPr>
        <w:tblStyle w:val="11"/>
        <w:tblW w:w="13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6800"/>
        <w:gridCol w:w="4800"/>
      </w:tblGrid>
      <w:tr w14:paraId="64D89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00B88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9E2B5">
            <w:pPr>
              <w:spacing w:after="0"/>
            </w:pPr>
            <w:r>
              <w:rPr>
                <w:rFonts w:ascii="Arial" w:eastAsia="Noto Sans SC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6800" w:type="dxa"/>
            <w:shd w:val="clear" w:color="auto" w:fill="00B88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584AA">
            <w:pPr>
              <w:spacing w:after="0"/>
            </w:pPr>
            <w:r>
              <w:rPr>
                <w:rFonts w:ascii="Arial" w:eastAsia="Noto Sans SC"/>
                <w:b/>
                <w:bCs/>
                <w:color w:val="FFFFFF"/>
                <w:sz w:val="18"/>
                <w:szCs w:val="18"/>
              </w:rPr>
              <w:t>定义</w:t>
            </w:r>
          </w:p>
        </w:tc>
        <w:tc>
          <w:tcPr>
            <w:tcW w:w="4800" w:type="dxa"/>
            <w:shd w:val="clear" w:color="auto" w:fill="00B88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83971">
            <w:pPr>
              <w:spacing w:after="0"/>
            </w:pPr>
            <w:r>
              <w:rPr>
                <w:rFonts w:ascii="Arial" w:eastAsia="Noto Sans SC"/>
                <w:b/>
                <w:bCs/>
                <w:color w:val="FFFFFF"/>
                <w:sz w:val="18"/>
                <w:szCs w:val="18"/>
              </w:rPr>
              <w:t>判定标准 / 来源</w:t>
            </w:r>
          </w:p>
        </w:tc>
      </w:tr>
      <w:tr w14:paraId="0BB76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B60EE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PPN系列（产品系列）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B1B19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跨多本规格书的产品线统称（如 STM32）。本批截图未涉及，定义保留。</w:t>
            </w:r>
          </w:p>
        </w:tc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0BCA6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跨规格书归并，由算法+人工定义</w:t>
            </w:r>
          </w:p>
        </w:tc>
      </w:tr>
      <w:tr w14:paraId="7867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558E6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产品家族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A5D58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一本规格书内，关键规格相同、部分功能不同的多个PPN的统称。通常就是规格书封面/角标型号。一本规格书可含 0 / 1 / N 个家族：只有一个PPN时不建家族；MAX6316–MAX6322 一本含7个家族，ROHM 一本含2个家族。家族名可含通配位（BDxxC0A-C、TPS56624x），也可以是商品名、与PPN无字符串包含关系（InnoSwitch3-CP → INN32xx）。</w:t>
            </w:r>
          </w:p>
        </w:tc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7F94C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规格书封面/角标型号；单PPN（无功能变体）的规格书不建家族层</w:t>
            </w:r>
          </w:p>
        </w:tc>
      </w:tr>
      <w:tr w14:paraId="57ED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4F7C7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PPN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08B47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家族名＋全部功能参数编码位构成的型号。功能参数如：灵敏度、增益、输出电压、阈值电压、超时时间、拓扑、迟滞、抖频、运行模式、看门狗配置等。PPN不必是OPN的连续前缀：部分厂商（如Maxim）功能码排在封装码之后，PPN位与OPN位在字符串上交错。</w:t>
            </w:r>
          </w:p>
        </w:tc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26545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两种来源：① 规格书逐条列出（EC表、Selector Guide、Available gains 列表）；② 命名规则表按位组合。以EC表/命名规则表为准，不以Features缩写为准；按属性性质切分，不按字符位置切分</w:t>
            </w:r>
          </w:p>
        </w:tc>
      </w:tr>
      <w:tr w14:paraId="4C1E4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6C1C0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OPN（可订购型号）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204AF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PPN＋订购属性编码位：封装、包装形式（卷带/编带）、环保（#PBF、Pb-Free、-G无卤）、湿度等级、温度档标识等。可下单的最小单位。</w:t>
            </w:r>
          </w:p>
        </w:tc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9A1BB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订购信息表（Order Information / Ordering Information）逐条列出，或命名规则表的订购位组合</w:t>
            </w:r>
          </w:p>
        </w:tc>
      </w:tr>
    </w:tbl>
    <w:p w14:paraId="233E8DB2">
      <w:pPr>
        <w:spacing w:before="140" w:after="120"/>
      </w:pPr>
      <w:r>
        <w:rPr>
          <w:rFonts w:ascii="Arial" w:eastAsia="Noto Sans SC"/>
          <w:b w:val="0"/>
          <w:bCs w:val="0"/>
          <w:color w:val="555555"/>
          <w:sz w:val="20"/>
          <w:szCs w:val="20"/>
        </w:rPr>
        <w:t>命名规则图必须按位置文法解析：同一字母在不同位置含义不同（TPS37、NCP1342均如此），不能当扁平字典查。</w:t>
      </w:r>
    </w:p>
    <w:p w14:paraId="5C2F3031">
      <w:pPr>
        <w:pStyle w:val="2"/>
        <w:spacing w:before="300" w:after="160"/>
      </w:pPr>
      <w:r>
        <w:rPr>
          <w:rFonts w:ascii="Arial" w:eastAsia="Noto Sans SC"/>
          <w:b/>
          <w:bCs/>
          <w:color w:val="00B881"/>
          <w:sz w:val="30"/>
          <w:szCs w:val="30"/>
        </w:rPr>
        <w:t>三、四个业务中的应用方法</w:t>
      </w:r>
    </w:p>
    <w:p w14:paraId="32261F70">
      <w:pPr>
        <w:spacing w:before="60" w:after="100"/>
        <w:jc w:val="center"/>
      </w:pPr>
      <w:r>
        <w:drawing>
          <wp:inline distT="0" distB="0" distL="0" distR="0">
            <wp:extent cx="8191500" cy="55911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ABD0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1. 搜索</w:t>
      </w:r>
    </w:p>
    <w:p w14:paraId="0297028D">
      <w:pPr>
        <w:spacing w:after="120" w:line="300" w:lineRule="auto"/>
        <w:rPr>
          <w:rFonts w:hint="eastAsia" w:eastAsia="Noto Sans SC"/>
          <w:lang w:eastAsia="zh-CN"/>
        </w:rPr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精确命中哪一级，就返回哪一级的详情页。搜 TMCS1107 → 家族详情页；搜 TMCS1107A2B 或 INA187A1-Q1 → PPN详情页；搜 LTM4632EV#PBF → OPN详情页。</w:t>
      </w:r>
      <w:r>
        <w:rPr>
          <w:rFonts w:hint="eastAsia" w:ascii="Arial" w:eastAsia="Noto Sans SC"/>
          <w:b w:val="0"/>
          <w:bCs w:val="0"/>
          <w:color w:val="1A1A1A"/>
          <w:sz w:val="21"/>
          <w:szCs w:val="21"/>
          <w:highlight w:val="yellow"/>
          <w:lang w:eastAsia="zh-CN"/>
        </w:rPr>
        <w:t>（</w:t>
      </w:r>
      <w:r>
        <w:rPr>
          <w:rFonts w:hint="eastAsia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  <w:t>当前无产品家族详情页，因此用户搜产品家族时在搜索结果页把匹配来源展示出来【每个PPN下面加一行-匹配来源：产品家族XXXXX】</w:t>
      </w:r>
      <w:r>
        <w:rPr>
          <w:rFonts w:hint="eastAsia" w:ascii="Arial" w:eastAsia="Noto Sans SC"/>
          <w:b w:val="0"/>
          <w:bCs w:val="0"/>
          <w:color w:val="1A1A1A"/>
          <w:sz w:val="21"/>
          <w:szCs w:val="21"/>
          <w:highlight w:val="yellow"/>
          <w:lang w:eastAsia="zh-CN"/>
        </w:rPr>
        <w:t>）</w:t>
      </w:r>
    </w:p>
    <w:p w14:paraId="77B704DA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中间态下沉：搜索词介于两级之间时，返回下一级清单。搜 TMCS1107A2（介于家族与PPN之间）→ 列出 TMCS1107A2B、TMCS1107A2U；搜 LTM4632EV（介于PPN与OPN之间）→ 列出 LTM4632EV#PBF 等OPN清单。</w:t>
      </w:r>
    </w:p>
    <w:p w14:paraId="4064091F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两类家族名的特殊处理：① 商品名家族（InnoSwitch3-CP）与型号串无包含关系，搜索须建“商品名 → 家族”映射，搜 InnoSwitch3-CP 命中家族详情页；② 通配位家族名（TPS56624x、BDxxC0A-C）用户不会照原样输入，搜 TPS566242 直接命中PPN，搜 TPS56624 视为中间态下沉列出 242/247。</w:t>
      </w:r>
    </w:p>
    <w:p w14:paraId="0FAB0C6D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2. 推荐</w:t>
      </w:r>
    </w:p>
    <w:p w14:paraId="2DACF99D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需求参数落在哪个层级，就在哪个层级推。“6A同步降压、SOT-563” → 家族级，推 TPS56624x；“轻载要ECO模式” → 运行模式是PPN位功能参数，推 TPS566242；“电流检测放大、增益50V/V” → 推 INA187A2-Q1。</w:t>
      </w:r>
    </w:p>
    <w:p w14:paraId="7F1EA623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功能参数在哪一级编码，推荐就到哪一级：Maxim需求含“复位阈值2.9V”时，阈值是PPN位，必须推到含阈值码的完整PPN，不能停在Selector Guide分组（MAX6316L）。</w:t>
      </w:r>
    </w:p>
    <w:p w14:paraId="241F3B2E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3. 替代</w:t>
      </w:r>
    </w:p>
    <w:p w14:paraId="14CE117B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替代关系的最终基准永远是OPN。用户在家族层面找就家族对家族推，在PPN层面找就PPN对PPN推：替代 INA187A2-Q1 时按PPN位功能参数（增益50V/V、共模范围等）匹配候选。</w:t>
      </w:r>
    </w:p>
    <w:p w14:paraId="18696BCA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替代确定后到下单环节，追问补齐OPN属性：封装、包装形式、环保（#PBF、-G）、湿度等级。LTM4632这类单PPN情形直接在PPN层面比对，下单时再选 LGA/BGA、#PBF 等OPN位。</w:t>
      </w:r>
    </w:p>
    <w:p w14:paraId="2EE22BE9">
      <w:pPr>
        <w:spacing w:after="120" w:line="300" w:lineRule="auto"/>
        <w:rPr>
          <w:rFonts w:ascii="Arial" w:eastAsia="Noto Sans SC"/>
          <w:b w:val="0"/>
          <w:bCs w:val="0"/>
          <w:color w:val="1A1A1A"/>
          <w:sz w:val="21"/>
          <w:szCs w:val="21"/>
        </w:rPr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PPN位与OPN位交错的厂商（Maxim），替代匹配按属性集合比对，不能按字符串前缀截取——这是第五节规则③的业务意义。</w:t>
      </w:r>
    </w:p>
    <w:p w14:paraId="539DDECB">
      <w:pPr>
        <w:spacing w:after="120" w:line="300" w:lineRule="auto"/>
        <w:rPr>
          <w:rFonts w:hint="default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</w:pPr>
      <w:r>
        <w:rPr>
          <w:rFonts w:hint="eastAsia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  <w:t>(无论在家族还是PPN找替代都是先通过家族或者PPN找到它下面的所有OPN，在通过这些OPN找出他们的替代OPN，然后将替代OPN的PPN或者家族去重返回给用户，返回的PPN或者家族里需要带上可以替代的OPN列表（OPN型号+替代等级）)</w:t>
      </w:r>
    </w:p>
    <w:p w14:paraId="5AD5239C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4. 测评（准确率／召回率）</w:t>
      </w:r>
    </w:p>
    <w:p w14:paraId="4DC35941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外部型号是OPN → 严格对齐：NCP1342AMDCCDR2G 须与Table 3订购信息逐字符对上才算对。</w:t>
      </w:r>
    </w:p>
    <w:p w14:paraId="43A28CC0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外部型号是PPN（TPS566242）或家族（TPS56624x、商品名InnoSwitch3-CP）→ 对齐到库内家族或PPN即判对。</w:t>
      </w:r>
    </w:p>
    <w:p w14:paraId="580B4EC7">
      <w:pPr>
        <w:spacing w:after="120" w:line="300" w:lineRule="auto"/>
        <w:rPr>
          <w:rFonts w:ascii="Arial" w:eastAsia="Noto Sans SC"/>
          <w:b w:val="0"/>
          <w:bCs w:val="0"/>
          <w:color w:val="1A1A1A"/>
          <w:sz w:val="21"/>
          <w:szCs w:val="21"/>
        </w:rPr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算法侧把一本规格书内所有可能的OPN列出（逐条表直接取，命名规则型按位组合展开，如TPS37、NCP1342），与外部型号match。</w:t>
      </w:r>
    </w:p>
    <w:p w14:paraId="316B4B6A">
      <w:pPr>
        <w:numPr>
          <w:ilvl w:val="0"/>
          <w:numId w:val="1"/>
        </w:numPr>
        <w:spacing w:after="120" w:line="300" w:lineRule="auto"/>
        <w:rPr>
          <w:rFonts w:hint="eastAsia" w:ascii="Arial" w:eastAsia="Noto Sans SC" w:hAnsiTheme="minorHAnsi" w:cstheme="minorBidi"/>
          <w:b/>
          <w:bCs/>
          <w:color w:val="1A1A1A"/>
          <w:sz w:val="24"/>
          <w:szCs w:val="24"/>
          <w:highlight w:val="yellow"/>
          <w:lang w:val="en-US" w:eastAsia="zh-CN"/>
        </w:rPr>
      </w:pPr>
      <w:r>
        <w:rPr>
          <w:rFonts w:hint="eastAsia" w:ascii="Arial" w:eastAsia="Noto Sans SC" w:hAnsiTheme="minorHAnsi" w:cstheme="minorBidi"/>
          <w:b/>
          <w:bCs/>
          <w:color w:val="1A1A1A"/>
          <w:sz w:val="24"/>
          <w:szCs w:val="24"/>
          <w:highlight w:val="yellow"/>
          <w:lang w:val="en-US" w:eastAsia="zh-CN"/>
        </w:rPr>
        <w:t>生命周期对齐</w:t>
      </w:r>
    </w:p>
    <w:p w14:paraId="23B60AF8">
      <w:pPr>
        <w:numPr>
          <w:ilvl w:val="0"/>
          <w:numId w:val="0"/>
        </w:numPr>
        <w:spacing w:after="120" w:line="300" w:lineRule="auto"/>
        <w:ind w:firstLine="500" w:firstLineChars="0"/>
        <w:rPr>
          <w:rFonts w:hint="default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</w:pPr>
      <w:r>
        <w:rPr>
          <w:rFonts w:hint="default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  <w:t>1、外部的型号跟内部型号首先采取严格对齐过滤，严格对齐后确定外部型号的层级及作用：OPN【生命周期、包装、封装、环保、湿度、温度、价格交期库存单独建账、替代的最终归属】、PPN【功能参数是确定的单值，跟生命周期单独建账，不单独运算替代数据，替代数据由他下面所有OPN的替代品的PPN聚合而来】、产品家族【功能参数是一系列数据的范围或集合，生命周期也是PPN的集合，不单独运算替代数据，替代数据由他下面所有OPN的替代品的产品家族聚合而来】</w:t>
      </w:r>
      <w:r>
        <w:rPr>
          <w:rFonts w:hint="eastAsia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  <w:tab/>
      </w:r>
      <w:r>
        <w:rPr>
          <w:rFonts w:hint="default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  <w:t>如果外部型号是2个相同的数据，跟内部对齐时以内部最低层级的级别定性</w:t>
      </w:r>
    </w:p>
    <w:p w14:paraId="494C0BB8">
      <w:pPr>
        <w:numPr>
          <w:ilvl w:val="0"/>
          <w:numId w:val="0"/>
        </w:numPr>
        <w:spacing w:after="120" w:line="300" w:lineRule="auto"/>
        <w:ind w:firstLine="500" w:firstLineChars="0"/>
        <w:rPr>
          <w:rFonts w:hint="default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</w:pPr>
      <w:r>
        <w:rPr>
          <w:rFonts w:hint="eastAsia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  <w:t>2.</w:t>
      </w:r>
      <w:r>
        <w:rPr>
          <w:rFonts w:hint="default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  <w:t>如果外部型号无法通过严格对齐过滤，之后采取前缀对齐过滤【建立三级型号之间的扩展规则，判断外部型号属于哪两级之间，跟哪个内部型号相同…】如果ppn的前缀对齐失败，那么需要对家族进行前缀对齐，通配符满足规则</w:t>
      </w:r>
    </w:p>
    <w:p w14:paraId="70B6B584">
      <w:pPr>
        <w:pStyle w:val="2"/>
        <w:spacing w:before="300" w:after="160"/>
      </w:pPr>
      <w:r>
        <w:rPr>
          <w:rFonts w:ascii="Arial" w:eastAsia="Noto Sans SC"/>
          <w:b/>
          <w:bCs/>
          <w:color w:val="00B881"/>
          <w:sz w:val="30"/>
          <w:szCs w:val="30"/>
        </w:rPr>
        <w:t>四、各厂商实例对照</w:t>
      </w:r>
    </w:p>
    <w:tbl>
      <w:tblPr>
        <w:tblStyle w:val="11"/>
        <w:tblW w:w="13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1"/>
        <w:gridCol w:w="2118"/>
        <w:gridCol w:w="4402"/>
        <w:gridCol w:w="2928"/>
        <w:gridCol w:w="2281"/>
      </w:tblGrid>
      <w:tr w14:paraId="7F694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shd w:val="clear" w:color="auto" w:fill="00B88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F73DD">
            <w:pPr>
              <w:spacing w:after="0"/>
            </w:pPr>
            <w:r>
              <w:rPr>
                <w:rFonts w:ascii="Arial" w:eastAsia="Noto Sans SC"/>
                <w:b/>
                <w:bCs/>
                <w:color w:val="FFFFFF"/>
                <w:sz w:val="18"/>
                <w:szCs w:val="18"/>
              </w:rPr>
              <w:t>厂商</w:t>
            </w:r>
          </w:p>
        </w:tc>
        <w:tc>
          <w:tcPr>
            <w:tcW w:w="2150" w:type="dxa"/>
            <w:shd w:val="clear" w:color="auto" w:fill="00B88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194B6">
            <w:pPr>
              <w:spacing w:after="0"/>
            </w:pPr>
            <w:r>
              <w:rPr>
                <w:rFonts w:ascii="Arial" w:eastAsia="Noto Sans SC"/>
                <w:b/>
                <w:bCs/>
                <w:color w:val="FFFFFF"/>
                <w:sz w:val="18"/>
                <w:szCs w:val="18"/>
              </w:rPr>
              <w:t>产品家族</w:t>
            </w:r>
          </w:p>
        </w:tc>
        <w:tc>
          <w:tcPr>
            <w:tcW w:w="3500" w:type="dxa"/>
            <w:shd w:val="clear" w:color="auto" w:fill="00B88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9A572">
            <w:pPr>
              <w:spacing w:after="0"/>
            </w:pPr>
            <w:r>
              <w:rPr>
                <w:rFonts w:ascii="Arial" w:eastAsia="Noto Sans SC"/>
                <w:b/>
                <w:bCs/>
                <w:color w:val="FFFFFF"/>
                <w:sz w:val="18"/>
                <w:szCs w:val="18"/>
              </w:rPr>
              <w:t>PPN（示例/编码位）</w:t>
            </w:r>
          </w:p>
        </w:tc>
        <w:tc>
          <w:tcPr>
            <w:tcW w:w="3550" w:type="dxa"/>
            <w:shd w:val="clear" w:color="auto" w:fill="00B88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AD459">
            <w:pPr>
              <w:spacing w:after="0"/>
            </w:pPr>
            <w:r>
              <w:rPr>
                <w:rFonts w:ascii="Arial" w:eastAsia="Noto Sans SC"/>
                <w:b/>
                <w:bCs/>
                <w:color w:val="FFFFFF"/>
                <w:sz w:val="18"/>
                <w:szCs w:val="18"/>
              </w:rPr>
              <w:t>OPN（示例/编码位）</w:t>
            </w:r>
          </w:p>
        </w:tc>
        <w:tc>
          <w:tcPr>
            <w:tcW w:w="3050" w:type="dxa"/>
            <w:shd w:val="clear" w:color="auto" w:fill="00B88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29BCA">
            <w:pPr>
              <w:spacing w:after="0"/>
            </w:pPr>
            <w:r>
              <w:rPr>
                <w:rFonts w:ascii="Arial" w:eastAsia="Noto Sans SC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14:paraId="0DBA5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56766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TI
TMCS1107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F2E94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TMCS1107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8E290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TMCS1107A1B/A2B/A3B/A4B/A1U/A2U/A3U/A4U，共8个（灵敏度50/100/200/400 mV/A × 双向B/单向U）</w:t>
            </w:r>
          </w:p>
        </w:tc>
        <w:tc>
          <w:tcPr>
            <w:tcW w:w="3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AABFC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截图未含。规则＝PPN＋封装（SOIC-8）＋包装位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BE0A8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Features里“A1B/U”是缩写，PPN以7.9节EC表逐条为准</w:t>
            </w:r>
          </w:p>
        </w:tc>
      </w:tr>
      <w:tr w14:paraId="2111D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570BE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TI
INA187-Q1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C19FF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INA187-Q1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3BA7B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INA187A1-Q1（20V/V）、INA187A2-Q1（50V/V）、INA187A3-Q1（100V/V）</w:t>
            </w:r>
          </w:p>
        </w:tc>
        <w:tc>
          <w:tcPr>
            <w:tcW w:w="3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E04A5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截图未含。封装 SOT23-6（DBV）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28E81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增益＝功能参数，落在PPN位</w:t>
            </w:r>
          </w:p>
        </w:tc>
      </w:tr>
      <w:tr w14:paraId="70523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A33F7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TI
TPS56624x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4F37C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TPS56624x（家族名含通配位x）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A22DD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TPS566242（ECO模式）、TPS566247（FCCM模式）</w:t>
            </w:r>
          </w:p>
        </w:tc>
        <w:tc>
          <w:tcPr>
            <w:tcW w:w="3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99D19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截图未含。封装 SOT-563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DDE71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功能差异＝轻载运行模式；TI也存在通配位家族名</w:t>
            </w:r>
          </w:p>
        </w:tc>
      </w:tr>
      <w:tr w14:paraId="72FE0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B4CBB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TI
TPS37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F38B7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TPS37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2A9B5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PPN位＝TPS37＋拓扑X＋CH1阈值XX＋CH2阈值XX＋迟滞X X</w:t>
            </w:r>
          </w:p>
        </w:tc>
        <w:tc>
          <w:tcPr>
            <w:tcW w:w="3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52A29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OPN位＝PPN＋封装XXX（DSK/DYY）＋卷带R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955C9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无逐条列表，按命名规则图组合；必须按位置文法解析</w:t>
            </w:r>
          </w:p>
        </w:tc>
      </w:tr>
      <w:tr w14:paraId="36E2F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908AA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Maxim
MAX6316–MAX6322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F4079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MAX6316…MAX6322，共7个家族（一本规格书多家族）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B34E0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MAX6316L、MAX6316M、MAX6317H、MAX6318LH、MAX6318MH、MAX6319LH、MAX6319MH、MAX6320P、MAX6321HP、MAX6322HP（Selector Guide）</w:t>
            </w:r>
          </w:p>
        </w:tc>
        <w:tc>
          <w:tcPr>
            <w:tcW w:w="3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BF0B4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截图未含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14AB8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待确认：阈值电压26档、超时时间4档也是功能参数，PPN是否需含对应编码位（见第四节③）</w:t>
            </w:r>
          </w:p>
        </w:tc>
      </w:tr>
      <w:tr w14:paraId="53A2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EAE95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ROHM
BDxxC0A-C 系列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9752C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BDxxC0A-C、BDxxC0AW-C，共2个家族（家族名含通配位xx）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7FEC6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PPN位＝BD＋输出电压xx（33/50/80/90）＋电流C0A＋SW位（W/无）</w:t>
            </w:r>
          </w:p>
        </w:tc>
        <w:tc>
          <w:tcPr>
            <w:tcW w:w="3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A92CD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OPN位＝PPN＋封装（FP/HFP/FP2）＋包装形式（E2卷带/TR编带）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957AB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一本规格书两个家族</w:t>
            </w:r>
          </w:p>
        </w:tc>
      </w:tr>
      <w:tr w14:paraId="1768A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BFA6D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Torex
XC6705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9552C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XC6705 Series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12118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PPN位＝XC6705＋Type①（A/B）＋输出电压②③＋固定位④</w:t>
            </w:r>
          </w:p>
        </w:tc>
        <w:tc>
          <w:tcPr>
            <w:tcW w:w="3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7E208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OPN位＝⑤⑥⑦封装/订购单位（GR-G USP-4、MR-G SOT-25）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16301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-G后缀＝无卤/RoHS环保，属OPN位</w:t>
            </w:r>
          </w:p>
        </w:tc>
      </w:tr>
      <w:tr w14:paraId="383E3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66EAC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ADI
LTM4632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A86B6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不建家族（单PPN退化情形，按第五节规则①）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6E5BD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LTM4632</w:t>
            </w:r>
          </w:p>
        </w:tc>
        <w:tc>
          <w:tcPr>
            <w:tcW w:w="3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C27AA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LTM4632EV#PBF、LTM4632IV#PBF、LTM4632EY#PBF、LTM4632IY#PBF、LTM4632IY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427AC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订购表差异＝封装（LGA/BGA）、焊球材质（#PBF）、温度档标识，均为订购属性，无功能变体</w:t>
            </w:r>
          </w:p>
        </w:tc>
      </w:tr>
      <w:tr w14:paraId="3AD75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53868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onsemi
NCP1342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004FB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NCP1342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8BD22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PPN位＝NCP1342＋ABCDEF六位功能码（OTP/过载、抖频、Quiet-Skip、CS Min、CS Min Shift、附加项；F位并非所有型号都有）</w:t>
            </w:r>
          </w:p>
        </w:tc>
        <w:tc>
          <w:tcPr>
            <w:tcW w:w="3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21367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NCP1342AMDCCDR2G、NCP1342ANDAAD1R2G 等（PPN＋封装/出货码，R2G＝卷带2500）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20134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Table 1功能解码＝PPN位；Table 3订购信息＝OPN</w:t>
            </w:r>
          </w:p>
        </w:tc>
      </w:tr>
      <w:tr w14:paraId="4094E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E888F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PI
InnoSwitch3-CP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83573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InnoSwitch3-CP Family（商品名，与型号字符串无包含关系）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05AA8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INN3264、INN3274、INN3265、INN3275、INN3266、INN3276、INN3277、INN3267、INN3268、INN3278、INN3279、INN3270，共12个（输出功率档差异）</w:t>
            </w:r>
          </w:p>
        </w:tc>
        <w:tc>
          <w:tcPr>
            <w:tcW w:w="3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A3DDA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OPN位＝PPN＋封装C（InSOP-24D）＋特性码（如H201）＋卷带TL。命名规则示例：INN3264C-H201-TL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CF135">
            <w:pPr>
              <w:spacing w:after="0"/>
            </w:pPr>
            <w:r>
              <w:rPr>
                <w:rFonts w:ascii="Arial" w:eastAsia="Noto Sans SC"/>
                <w:b w:val="0"/>
                <w:bCs w:val="0"/>
                <w:color w:val="1A1A1A"/>
                <w:sz w:val="18"/>
                <w:szCs w:val="18"/>
              </w:rPr>
              <w:t>特性码归OPN位（已确认）；家族名为商品名的新形态</w:t>
            </w:r>
          </w:p>
        </w:tc>
      </w:tr>
    </w:tbl>
    <w:p w14:paraId="094963F5">
      <w:pPr>
        <w:pStyle w:val="2"/>
        <w:spacing w:before="300" w:after="160"/>
      </w:pPr>
      <w:r>
        <w:rPr>
          <w:rFonts w:ascii="Arial" w:eastAsia="Noto Sans SC"/>
          <w:b/>
          <w:bCs/>
          <w:color w:val="00B881"/>
          <w:sz w:val="30"/>
          <w:szCs w:val="30"/>
        </w:rPr>
        <w:t>五、已确认规则（2026-07-16定）</w:t>
      </w:r>
    </w:p>
    <w:p w14:paraId="4FA6749C">
      <w:pPr>
        <w:pStyle w:val="16"/>
        <w:numPr>
          <w:ilvl w:val="0"/>
          <w:numId w:val="2"/>
        </w:num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单PPN规格书不建家族层：规格书内无功能变体时，型号即PPN，订购表直接为OPN（LTM4632即此情形，图9标法为准）。</w:t>
      </w:r>
    </w:p>
    <w:p w14:paraId="4EBC10F1">
      <w:pPr>
        <w:pStyle w:val="16"/>
        <w:numPr>
          <w:ilvl w:val="0"/>
          <w:numId w:val="2"/>
        </w:num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一本规格书可含0/1/N个家族（MAX6316–MAX6322含7个，ROHM含2个）；家族名可含通配位（BDxxC0A-C、TPS56624x），也可以是商品名、与PPN无字符串包含关系（InnoSwitch3-CP → INN32xx）。</w:t>
      </w:r>
    </w:p>
    <w:p w14:paraId="01D6C68A">
      <w:pPr>
        <w:pStyle w:val="16"/>
        <w:numPr>
          <w:ilvl w:val="0"/>
          <w:numId w:val="2"/>
        </w:num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PPN包含全部功能参数编码位（含阈值电压、超时时间等），接受PPN不是OPN的连续前缀。提取算法按编码位的属性性质切分（功能→PPN位，订购→OPN位），不按字符串连续性切分。</w:t>
      </w:r>
    </w:p>
    <w:p w14:paraId="2CAA7C00">
      <w:pPr>
        <w:pStyle w:val="16"/>
        <w:numPr>
          <w:ilvl w:val="0"/>
          <w:numId w:val="2"/>
        </w:num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特性码（如PI的-H201）归OPN位。</w:t>
      </w:r>
    </w:p>
    <w:p w14:paraId="694C214C">
      <w:pPr>
        <w:spacing w:after="120" w:line="300" w:lineRule="auto"/>
        <w:rPr>
          <w:rFonts w:ascii="Arial" w:eastAsia="Noto Sans SC"/>
          <w:b w:val="0"/>
          <w:bCs w:val="0"/>
          <w:color w:val="1A1A1A"/>
          <w:sz w:val="21"/>
          <w:szCs w:val="21"/>
        </w:rPr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小口径已定：PPN枚举以EC表/Selector Guide/命名规则表为准，Features中的缩写（如TMCS1107A1B/U）必须拆开为独立PPN。</w:t>
      </w:r>
    </w:p>
    <w:p w14:paraId="5783B234">
      <w:pPr>
        <w:spacing w:after="120" w:line="300" w:lineRule="auto"/>
        <w:rPr>
          <w:rFonts w:hint="default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</w:pPr>
      <w:r>
        <w:rPr>
          <w:rFonts w:hint="eastAsia" w:ascii="Arial" w:eastAsia="Noto Sans SC"/>
          <w:b w:val="0"/>
          <w:bCs w:val="0"/>
          <w:color w:val="1A1A1A"/>
          <w:sz w:val="21"/>
          <w:szCs w:val="21"/>
          <w:highlight w:val="yellow"/>
          <w:lang w:eastAsia="zh-CN"/>
        </w:rPr>
        <w:t>（</w:t>
      </w:r>
      <w:r>
        <w:rPr>
          <w:rFonts w:hint="eastAsia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  <w:t>2026-08-12更新：</w:t>
      </w:r>
      <w:r>
        <w:rPr>
          <w:rFonts w:hint="eastAsia" w:ascii="Arial" w:eastAsia="Noto Sans SC"/>
          <w:b w:val="0"/>
          <w:bCs w:val="0"/>
          <w:color w:val="1A1A1A"/>
          <w:sz w:val="21"/>
          <w:szCs w:val="21"/>
          <w:highlight w:val="yellow"/>
          <w:lang w:eastAsia="zh-CN"/>
        </w:rPr>
        <w:t>）</w:t>
      </w:r>
      <w:r>
        <w:rPr>
          <w:rFonts w:hint="eastAsia" w:ascii="Arial" w:eastAsia="Noto Sans SC"/>
          <w:b w:val="0"/>
          <w:bCs w:val="0"/>
          <w:color w:val="1A1A1A"/>
          <w:sz w:val="21"/>
          <w:szCs w:val="21"/>
          <w:highlight w:val="yellow"/>
          <w:lang w:val="en-US" w:eastAsia="zh-CN"/>
        </w:rPr>
        <w:t>算法提取ppn的逻辑，先按规格书提取，再按PPN位提取</w:t>
      </w:r>
    </w:p>
    <w:p w14:paraId="7204253F">
      <w:pPr>
        <w:pStyle w:val="2"/>
        <w:spacing w:before="300" w:after="160"/>
      </w:pPr>
      <w:r>
        <w:rPr>
          <w:rFonts w:ascii="Arial" w:eastAsia="Noto Sans SC"/>
          <w:b/>
          <w:bCs/>
          <w:color w:val="00B881"/>
          <w:sz w:val="30"/>
          <w:szCs w:val="30"/>
        </w:rPr>
        <w:t>六、截图逐张解读</w:t>
      </w:r>
    </w:p>
    <w:p w14:paraId="05A13AD3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图1｜TI TMCS1107 首页——家族与PPN缩写</w:t>
      </w:r>
    </w:p>
    <w:p w14:paraId="7513E279">
      <w:pPr>
        <w:spacing w:before="60" w:after="80"/>
        <w:jc w:val="center"/>
      </w:pPr>
      <w:r>
        <w:drawing>
          <wp:inline distT="0" distB="0" distL="0" distR="0">
            <wp:extent cx="5410200" cy="5334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8B41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家族＝规格书角标型号 TMCS1107。</w:t>
      </w:r>
    </w:p>
    <w:p w14:paraId="2FFE7B2E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Features里的灵敏度选项（TMCS1107A1B/U … A4B/U）是PPN的缩写写法：“B/U”须拆为双向B、单向U两个独立PPN。PPN枚举不以此为准，以EC表为准。</w:t>
      </w:r>
    </w:p>
    <w:p w14:paraId="729B525A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图2｜TMCS1107 7.9节EC表——PPN逐条来源</w:t>
      </w:r>
    </w:p>
    <w:p w14:paraId="574E1FE8">
      <w:pPr>
        <w:spacing w:before="60" w:after="80"/>
        <w:jc w:val="center"/>
      </w:pPr>
      <w:r>
        <w:drawing>
          <wp:inline distT="0" distB="0" distL="0" distR="0">
            <wp:extent cx="7019925" cy="5334000"/>
            <wp:effectExtent l="0" t="0" r="762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15A4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EC表按测试条件逐条列出8个PPN：A1B/A2B/A3B/A4B/A1U/A2U/A3U/A4U（灵敏度50/100/200/400 mV/A × 双向/单向）。</w:t>
      </w:r>
    </w:p>
    <w:p w14:paraId="554CB7B7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这是PPN来源①“规格书逐条列出”的标准形态。</w:t>
      </w:r>
    </w:p>
    <w:p w14:paraId="68146122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图3｜TI INA187-Q1 首页——增益选项即PPN</w:t>
      </w:r>
    </w:p>
    <w:p w14:paraId="5696F0F9">
      <w:pPr>
        <w:spacing w:before="60" w:after="80"/>
        <w:jc w:val="center"/>
      </w:pPr>
      <w:r>
        <w:drawing>
          <wp:inline distT="0" distB="0" distL="0" distR="0">
            <wp:extent cx="6677025" cy="5334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32B2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家族＝INA187-Q1。Available gains列出3个PPN：INA187A1-Q1（20V/V）、A2（50V/V）、A3（100V/V）。</w:t>
      </w:r>
    </w:p>
    <w:p w14:paraId="79984F0B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增益＝功能参数，落PPN位；封装SOT23-6（DBV）属OPN位。</w:t>
      </w:r>
    </w:p>
    <w:p w14:paraId="0045A342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图4｜Maxim MAX6316–MAX6322——一本规格书多个家族</w:t>
      </w:r>
    </w:p>
    <w:p w14:paraId="4E369169">
      <w:pPr>
        <w:spacing w:before="60" w:after="80"/>
        <w:jc w:val="center"/>
      </w:pPr>
      <w:r>
        <w:drawing>
          <wp:inline distT="0" distB="0" distL="0" distR="0">
            <wp:extent cx="4000500" cy="5334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7C32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一本规格书覆盖MAX6316…MAX6322共7个家族（标注取两端）。</w:t>
      </w:r>
    </w:p>
    <w:p w14:paraId="2F7F1FE0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Selector Guide条目（MAX6316L、MAX6316M…）只是家族下按看门狗/手动复位/输出级划分的功能分组；完整PPN还须含阈值电压码（26档）与超时时间码（4档）。</w:t>
      </w:r>
    </w:p>
    <w:p w14:paraId="3DACC347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完整型号中封装码夹在功能码之间：PPN位与OPN位交错，PPN不是OPN的连续前缀（规则③）。</w:t>
      </w:r>
    </w:p>
    <w:p w14:paraId="7485830E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图5｜TI TPS37 首页——家族角标</w:t>
      </w:r>
    </w:p>
    <w:p w14:paraId="6D6B7C2B">
      <w:pPr>
        <w:spacing w:before="60" w:after="80"/>
        <w:jc w:val="center"/>
      </w:pPr>
      <w:r>
        <w:drawing>
          <wp:inline distT="0" distB="0" distL="0" distR="0">
            <wp:extent cx="5381625" cy="5334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7CC2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家族＝角标型号 TPS37。该规格书无逐条PPN列表，PPN须由命名规则图组合（见图6）。</w:t>
      </w:r>
    </w:p>
    <w:p w14:paraId="65B149CF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图6｜TPS37 命名规则图——位置文法的标准样本</w:t>
      </w:r>
    </w:p>
    <w:p w14:paraId="146D2CA2">
      <w:pPr>
        <w:spacing w:before="60" w:after="80"/>
        <w:jc w:val="center"/>
      </w:pPr>
      <w:r>
        <w:drawing>
          <wp:inline distT="0" distB="0" distL="0" distR="0">
            <wp:extent cx="5314950" cy="5334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AEDF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PPN位＝TPS37＋拓扑X＋CH1</w:t>
      </w:r>
      <w:bookmarkStart w:id="0" w:name="_GoBack"/>
      <w:bookmarkEnd w:id="0"/>
      <w:r>
        <w:rPr>
          <w:rFonts w:ascii="Arial" w:eastAsia="Noto Sans SC"/>
          <w:b w:val="0"/>
          <w:bCs w:val="0"/>
          <w:color w:val="1A1A1A"/>
          <w:sz w:val="21"/>
          <w:szCs w:val="21"/>
        </w:rPr>
        <w:t>阈值XX＋CH2阈值XX＋迟滞X X；OPN位＝封装XXX（DSK/DYY）＋卷带R。</w:t>
      </w:r>
    </w:p>
    <w:p w14:paraId="28984AE9">
      <w:pPr>
        <w:spacing w:after="120" w:line="300" w:lineRule="auto"/>
        <w:rPr>
          <w:color w:val="FF0000"/>
          <w:highlight w:val="yellow"/>
        </w:rPr>
      </w:pPr>
      <w:r>
        <w:rPr>
          <w:rFonts w:ascii="Arial" w:eastAsia="Noto Sans SC"/>
          <w:b w:val="0"/>
          <w:bCs w:val="0"/>
          <w:color w:val="FF0000"/>
          <w:sz w:val="21"/>
          <w:szCs w:val="21"/>
          <w:highlight w:val="yellow"/>
        </w:rPr>
        <w:t>必须按位置文法解析：同一字母在不同位置含义不同，不能当扁平字典查。这是PPN来源②“命名规则表按位组合”的标准形态。</w:t>
      </w:r>
    </w:p>
    <w:p w14:paraId="0E99B0B1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图7｜ROHM BDxxC0A-C——通配位家族名，一本两家族</w:t>
      </w:r>
    </w:p>
    <w:p w14:paraId="2D27BF7B">
      <w:pPr>
        <w:spacing w:before="60" w:after="80"/>
        <w:jc w:val="center"/>
      </w:pPr>
      <w:r>
        <w:drawing>
          <wp:inline distT="0" distB="0" distL="0" distR="0">
            <wp:extent cx="3762375" cy="5334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F18C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一本规格书含BDxxC0A-C、BDxxC0AW-C两个家族，家族名含通配位xx（输出电压档）。</w:t>
      </w:r>
    </w:p>
    <w:p w14:paraId="042D8716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Ordering part number分段：PPN位＝BD＋输出电压xx（33/50/80/90）＋电流C0A＋SW位（W/无）；OPN位＝封装（FP/HFP/FP2）＋包装形式（E2卷带/TR编带）。</w:t>
      </w:r>
    </w:p>
    <w:p w14:paraId="04A0BECB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图8｜Torex XC6705——环保后缀属OPN位</w:t>
      </w:r>
    </w:p>
    <w:p w14:paraId="1AE2EEFD">
      <w:pPr>
        <w:spacing w:before="60" w:after="80"/>
        <w:jc w:val="center"/>
      </w:pPr>
      <w:r>
        <w:drawing>
          <wp:inline distT="0" distB="0" distL="0" distR="0">
            <wp:extent cx="7467600" cy="5334000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741F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家族＝XC6705 Series。PPN位＝XC6705＋Type①（A/B，CE/CL/软启动功能差异）＋输出电压②③＋固定位④；OPN位＝⑤⑥⑦封装/订购单位（GR-G、MR-G）。</w:t>
      </w:r>
    </w:p>
    <w:p w14:paraId="68BB2F1E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-G后缀＝无卤/RoHS环保标识，属订购属性，落OPN位。</w:t>
      </w:r>
    </w:p>
    <w:p w14:paraId="1928FD3A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图9｜ADI LTM4632 首页——单PPN退化情形（标法正确）</w:t>
      </w:r>
    </w:p>
    <w:p w14:paraId="7B520A26">
      <w:pPr>
        <w:spacing w:before="60" w:after="80"/>
        <w:jc w:val="center"/>
      </w:pPr>
      <w:r>
        <w:drawing>
          <wp:inline distT="0" distB="0" distL="0" distR="0">
            <wp:extent cx="5715000" cy="5334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B173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LTM4632标为PPN是正确的：该规格书无功能变体，按规则①不建家族层，型号即PPN。</w:t>
      </w:r>
    </w:p>
    <w:p w14:paraId="277AB4F7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图10｜LTM4632 订购信息——订购表直接为OPN</w:t>
      </w:r>
    </w:p>
    <w:p w14:paraId="4002CDBB">
      <w:pPr>
        <w:spacing w:before="60" w:after="80"/>
        <w:jc w:val="center"/>
      </w:pPr>
      <w:r>
        <w:drawing>
          <wp:inline distT="0" distB="0" distL="0" distR="0">
            <wp:extent cx="5924550" cy="5334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E294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订购表5个OPN（LTM4632EV#PBF…LTM4632IY）差异全部为订购属性：封装（LGA/BGA）、焊球材质（#PBF）、温度档标识。</w:t>
      </w:r>
    </w:p>
    <w:p w14:paraId="14309FFF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本页原标注“产品家族”与图9冲突，按规则①以图9为准：LTM4632＝PPN，本表＝OPN。</w:t>
      </w:r>
    </w:p>
    <w:p w14:paraId="55D01B27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图11｜onsemi NCP1342——解码表与订购表分层</w:t>
      </w:r>
    </w:p>
    <w:p w14:paraId="3C7F367F">
      <w:pPr>
        <w:spacing w:before="60" w:after="80"/>
        <w:jc w:val="center"/>
      </w:pPr>
      <w:r>
        <w:drawing>
          <wp:inline distT="0" distB="0" distL="0" distR="0">
            <wp:extent cx="4943475" cy="5334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F66D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家族＝NCP1342。Table 1功能解码（ABCDEF六位：OTP/过载、抖频、Quiet-Skip、CS Min、CS Min Shift、附加项）＝PPN位；F位并非所有型号都有。</w:t>
      </w:r>
    </w:p>
    <w:p w14:paraId="01F426DE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Table 3订购信息（NCP1342AMDCCDR2G等，R2G＝卷带2500）＝OPN。</w:t>
      </w:r>
    </w:p>
    <w:p w14:paraId="5BC9A821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图12｜TI TPS56624x——通配位家族名，运行模式即功能差异</w:t>
      </w:r>
    </w:p>
    <w:p w14:paraId="7C6FD577">
      <w:pPr>
        <w:spacing w:before="60" w:after="80"/>
        <w:jc w:val="center"/>
      </w:pPr>
      <w:r>
        <w:drawing>
          <wp:inline distT="0" distB="0" distL="0" distR="0">
            <wp:extent cx="8181975" cy="49815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819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159D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家族＝TPS56624x（家族名含通配位x，TI同样存在此形态）。</w:t>
      </w:r>
    </w:p>
    <w:p w14:paraId="0F607615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PPN＝TPS566242（ECO模式）、TPS566247（FCCM模式）：轻载运行模式＝功能参数，落PPN位。</w:t>
      </w:r>
    </w:p>
    <w:p w14:paraId="4DF3AEB9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图13｜PI InnoSwitch3-CP 首页——商品名家族</w:t>
      </w:r>
    </w:p>
    <w:p w14:paraId="3E49CD39">
      <w:pPr>
        <w:spacing w:before="60" w:after="80"/>
        <w:jc w:val="center"/>
      </w:pPr>
      <w:r>
        <w:drawing>
          <wp:inline distT="0" distB="0" distL="0" distR="0">
            <wp:extent cx="4352925" cy="5334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9C93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家族＝InnoSwitch3-CP Family：商品名形态，与型号字符串（INN32xx）无包含关系。</w:t>
      </w:r>
    </w:p>
    <w:p w14:paraId="671E7EDE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Output Power Table列出12个PPN（INN3264…INN3270），差异＝输出功率档。</w:t>
      </w:r>
    </w:p>
    <w:p w14:paraId="2F2A1C99">
      <w:pPr>
        <w:pStyle w:val="3"/>
        <w:spacing w:before="200" w:after="100"/>
      </w:pPr>
      <w:r>
        <w:rPr>
          <w:rFonts w:ascii="Arial" w:eastAsia="Noto Sans SC"/>
          <w:b/>
          <w:bCs/>
          <w:color w:val="1A1A1A"/>
          <w:sz w:val="24"/>
          <w:szCs w:val="24"/>
        </w:rPr>
        <w:t>图14｜PI 命名规则——特性码归OPN位（已确认）</w:t>
      </w:r>
    </w:p>
    <w:p w14:paraId="5A3E1692">
      <w:pPr>
        <w:spacing w:before="60" w:after="80"/>
        <w:jc w:val="center"/>
      </w:pPr>
      <w:r>
        <w:drawing>
          <wp:inline distT="0" distB="0" distL="0" distR="0">
            <wp:extent cx="8191500" cy="21526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BB46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PPN位＝INN＋3264（产品家族码＋CP系列号）；OPN位＝封装C（InSOP-24D）＋特性码（H201）＋卷带TL。示例：INN3264C-H201-TL。</w:t>
      </w:r>
    </w:p>
    <w:p w14:paraId="0044EEB3">
      <w:pPr>
        <w:spacing w:after="120" w:line="300" w:lineRule="auto"/>
      </w:pPr>
      <w:r>
        <w:rPr>
          <w:rFonts w:ascii="Arial" w:eastAsia="Noto Sans SC"/>
          <w:b w:val="0"/>
          <w:bCs w:val="0"/>
          <w:color w:val="1A1A1A"/>
          <w:sz w:val="21"/>
          <w:szCs w:val="21"/>
        </w:rPr>
        <w:t>特性码归OPN位，2026-07-16已确认（规则④）。</w:t>
      </w:r>
    </w:p>
    <w:sectPr>
      <w:pgSz w:w="16838" w:h="11906" w:orient="landscape"/>
      <w:pgMar w:top="1000" w:right="1200" w:bottom="10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SC">
    <w:altName w:val="宋体"/>
    <w:panose1 w:val="020B0200000000000000"/>
    <w:charset w:val="86"/>
    <w:family w:val="auto"/>
    <w:pitch w:val="default"/>
    <w:sig w:usb0="00000000" w:usb1="00000000" w:usb2="00000016" w:usb3="00000000" w:csb0="60060107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80" w:hanging="300"/>
      </w:pPr>
    </w:lvl>
  </w:abstractNum>
  <w:abstractNum w:abstractNumId="1">
    <w:nsid w:val="2396B085"/>
    <w:multiLevelType w:val="singleLevel"/>
    <w:tmpl w:val="2396B085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606894"/>
    <w:rsid w:val="367045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2027</Words>
  <Characters>2766</Characters>
  <TotalTime>72</TotalTime>
  <ScaleCrop>false</ScaleCrop>
  <LinksUpToDate>false</LinksUpToDate>
  <CharactersWithSpaces>2861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2026-07-16T08:00:00Z</dcterms:created>
  <dc:creator>Un-named</dc:creator>
  <cp:lastModifiedBy>大米饭主义</cp:lastModifiedBy>
  <dcterms:modified xsi:type="dcterms:W3CDTF">2026-09-14T03:44:09Z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eyJoZGlkIjoiZTNiMmJjMGUyMDNhMGI0MjllZTc4OTE3ODRjOTBjMWQiLCJ1c2VySWQiOiI1NDk5MzUzNTYifQ==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56C2D18D328142A89396145380481991_12</vt:lpwstr>
  </property>
</Properties>
</file>