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m="http://schemas.openxmlformats.org/officeDocument/2006/math"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WindFlow — Technical Reference</w:t>
      </w:r>
    </w:p>
    <w:p>
      <w:pPr/>
      <w:r>
        <w:t xml:space="preserve">Oct 29, 2026</w:t>
      </w:r>
      <w:r>
        <w:t xml:space="preserve"> · </w:t>
      </w:r>
      <w:r>
        <w:t xml:space="preserve">Bijay Karki</w:t>
      </w:r>
    </w:p>
    <w:p>
      <w:pPr/>
      <w:r>
        <w:t xml:space="preserve">WindFlow ranks design options for natural and mechanical ventilation on one building model and one grid; it does not certify a single absolute airflow number. This reference sets out the method behind each result, the equations the solver uses, every benchmark it has been checked against, and every known limit with its measured size.</w:t>
      </w:r>
    </w:p>
    <w:p>
      <w:pPr>
        <w:pStyle w:val="Heading2"/>
      </w:pPr>
      <w:r>
        <w:t xml:space="preserve">About this document</w:t>
      </w:r>
    </w:p>
    <w:p>
      <w:pPr/>
      <w:r>
        <w:rPr>
          <w:b/>
        </w:rPr>
        <w:t xml:space="preserve">The one rule.</w:t>
      </w:r>
      <w:r>
        <w:t xml:space="preserve"> Compare design options on the same model, the same grid and the same quality level. A change of cell size alone can move one room's air-change rate by up to about 35 % and the whole building by about 20 % (chapter 11).</w:t>
      </w:r>
    </w:p>
    <w:p>
      <w:pPr/>
      <w:r>
        <w:rPr>
          <w:b/>
        </w:rPr>
        <w:t xml:space="preserve">Where the numbers come from.</w:t>
      </w:r>
      <w:r>
        <w:t xml:space="preserve"> Every measured figure is taken from the project's test records, last re-run in October 2026. Equations labelled </w:t>
      </w:r>
      <w:r>
        <w:rPr>
          <w:i/>
        </w:rPr>
        <w:t xml:space="preserve">standard form</w:t>
      </w:r>
      <w:r>
        <w:t xml:space="preserve"> are the textbook form of the named method; where the records do not state an implementation detail, the text says so instead of guessing.</w:t>
      </w:r>
    </w:p>
    <w:p>
      <w:pPr/>
      <w:r>
        <w:rPr>
          <w:b/>
        </w:rPr>
        <w:t xml:space="preserve">Status.</w:t>
      </w:r>
      <w:r>
        <w:t xml:space="preserve"> WindFlow is a design-stage tool. Its results are estimates with stated uncertainty, not a substitute for a ventilation engineer or a code-compliance calculation.</w:t>
      </w:r>
    </w:p>
    <w:p>
      <w:pPr>
        <w:pStyle w:val="Heading3"/>
      </w:pPr>
      <w:r>
        <w:t xml:space="preserve">Notation</w:t>
      </w:r>
    </w:p>
    <w:tbl>
      <w:tblPr>
        <w:tblStyle w:val="TableGrid"/>
        <w:tblW w:w="0" w:type="auto"/>
        <w:tblLayout w:type="fixed"/>
        <w:tblLook w:val="04A0" w:firstRow="1" w:lastRow="0" w:firstColumn="0" w:lastColumn="0" w:noHBand="0" w:noVBand="1"/>
      </w:tblPr>
      <w:tblGrid>
        <w:gridCol w:w="1309"/>
        <w:gridCol w:w="5783"/>
        <w:gridCol w:w="2266"/>
      </w:tblGrid>
      <w:tr>
        <w:trPr>
          <w:tblHeader/>
        </w:trPr>
        <w:tc>
          <w:tcPr>
            <w:tcW w:w="1309" w:type="dxa"/>
            <w:shd w:val="clear" w:color="auto" w:fill="F3F0EA"/>
          </w:tcPr>
          <w:p>
            <w:pPr/>
            <w:r>
              <w:t xml:space="preserve">Symbol</w:t>
            </w:r>
          </w:p>
        </w:tc>
        <w:tc>
          <w:tcPr>
            <w:tcW w:w="5783" w:type="dxa"/>
            <w:shd w:val="clear" w:color="auto" w:fill="F3F0EA"/>
          </w:tcPr>
          <w:p>
            <w:pPr/>
            <w:r>
              <w:t xml:space="preserve">Meaning</w:t>
            </w:r>
          </w:p>
        </w:tc>
        <w:tc>
          <w:tcPr>
            <w:tcW w:w="2266" w:type="dxa"/>
            <w:shd w:val="clear" w:color="auto" w:fill="F3F0EA"/>
          </w:tcPr>
          <w:p>
            <w:pPr/>
            <w:r>
              <w:t xml:space="preserve">Unit</w:t>
            </w:r>
          </w:p>
        </w:tc>
      </w:tr>
      <w:tr>
        <w:tc>
          <w:tcPr>
            <w:tcW w:w="1309" w:type="dxa"/>
          </w:tcPr>
          <w:p>
            <w:pPr/>
            <w:r>
              <w:t xml:space="preserve">f_i</w:t>
            </w:r>
          </w:p>
        </w:tc>
        <w:tc>
          <w:tcPr>
            <w:tcW w:w="5783" w:type="dxa"/>
          </w:tcPr>
          <w:p>
            <w:pPr/>
            <w:r>
              <w:t xml:space="preserve">population moving in lattice direction i</w:t>
            </w:r>
          </w:p>
        </w:tc>
        <w:tc>
          <w:tcPr>
            <w:tcW w:w="2266" w:type="dxa"/>
          </w:tcPr>
          <w:p>
            <w:pPr/>
            <w:r>
              <w:t xml:space="preserve">lattice</w:t>
            </w:r>
          </w:p>
        </w:tc>
      </w:tr>
      <w:tr>
        <w:tc>
          <w:tcPr>
            <w:tcW w:w="1309" w:type="dxa"/>
          </w:tcPr>
          <w:p>
            <w:pPr/>
            <w:r>
              <w:t xml:space="preserve">c_i, w_i</w:t>
            </w:r>
          </w:p>
        </w:tc>
        <w:tc>
          <w:tcPr>
            <w:tcW w:w="5783" w:type="dxa"/>
          </w:tcPr>
          <w:p>
            <w:pPr/>
            <w:r>
              <w:t xml:space="preserve">lattice velocity and weight of direction i (D3Q19: i = 0…18)</w:t>
            </w:r>
          </w:p>
        </w:tc>
        <w:tc>
          <w:tcPr>
            <w:tcW w:w="2266" w:type="dxa"/>
          </w:tcPr>
          <w:p>
            <w:pPr/>
            <w:r>
              <w:t xml:space="preserve">lattice</w:t>
            </w:r>
          </w:p>
        </w:tc>
      </w:tr>
      <w:tr>
        <w:tc>
          <w:tcPr>
            <w:tcW w:w="1309" w:type="dxa"/>
          </w:tcPr>
          <w:p>
            <w:pPr/>
            <w:r>
              <w:t xml:space="preserve">c_s</w:t>
            </w:r>
          </w:p>
        </w:tc>
        <w:tc>
          <w:tcPr>
            <w:tcW w:w="5783" w:type="dxa"/>
          </w:tcPr>
          <w:p>
            <w:pPr/>
            <w:r>
              <w:t xml:space="preserve">lattice speed of sound, 1/√3</w:t>
            </w:r>
          </w:p>
        </w:tc>
        <w:tc>
          <w:tcPr>
            <w:tcW w:w="2266" w:type="dxa"/>
          </w:tcPr>
          <w:p>
            <w:pPr/>
            <w:r>
              <w:t xml:space="preserve">lattice</w:t>
            </w:r>
          </w:p>
        </w:tc>
      </w:tr>
      <w:tr>
        <w:tc>
          <w:tcPr>
            <w:tcW w:w="1309" w:type="dxa"/>
          </w:tcPr>
          <w:p>
            <w:pPr/>
            <w:r>
              <w:t xml:space="preserve">τ</w:t>
            </w:r>
          </w:p>
        </w:tc>
        <w:tc>
          <w:tcPr>
            <w:tcW w:w="5783" w:type="dxa"/>
          </w:tcPr>
          <w:p>
            <w:pPr/>
            <w:r>
              <w:t xml:space="preserve">relaxation time of the collision</w:t>
            </w:r>
          </w:p>
        </w:tc>
        <w:tc>
          <w:tcPr>
            <w:tcW w:w="2266" w:type="dxa"/>
          </w:tcPr>
          <w:p>
            <w:pPr/>
            <w:r>
              <w:t xml:space="preserve">time steps</w:t>
            </w:r>
          </w:p>
        </w:tc>
      </w:tr>
      <w:tr>
        <w:tc>
          <w:tcPr>
            <w:tcW w:w="1309" w:type="dxa"/>
          </w:tcPr>
          <w:p>
            <w:pPr/>
            <w:r>
              <w:t xml:space="preserve">ν, ν_t</w:t>
            </w:r>
          </w:p>
        </w:tc>
        <w:tc>
          <w:tcPr>
            <w:tcW w:w="5783" w:type="dxa"/>
          </w:tcPr>
          <w:p>
            <w:pPr/>
            <w:r>
              <w:t xml:space="preserve">molecular and turbulent (sub-grid) kinematic viscosity</w:t>
            </w:r>
          </w:p>
        </w:tc>
        <w:tc>
          <w:tcPr>
            <w:tcW w:w="2266" w:type="dxa"/>
          </w:tcPr>
          <w:p>
            <w:pPr/>
            <w:r>
              <w:t xml:space="preserve">m²/s or lattice</w:t>
            </w:r>
          </w:p>
        </w:tc>
      </w:tr>
      <w:tr>
        <w:tc>
          <w:tcPr>
            <w:tcW w:w="1309" w:type="dxa"/>
          </w:tcPr>
          <w:p>
            <w:pPr/>
            <w:r>
              <w:t xml:space="preserve">Δx, Δt</w:t>
            </w:r>
          </w:p>
        </w:tc>
        <w:tc>
          <w:tcPr>
            <w:tcW w:w="5783" w:type="dxa"/>
          </w:tcPr>
          <w:p>
            <w:pPr/>
            <w:r>
              <w:t xml:space="preserve">cell size and time step</w:t>
            </w:r>
          </w:p>
        </w:tc>
        <w:tc>
          <w:tcPr>
            <w:tcW w:w="2266" w:type="dxa"/>
          </w:tcPr>
          <w:p>
            <w:pPr/>
            <w:r>
              <w:t xml:space="preserve">m, s</w:t>
            </w:r>
          </w:p>
        </w:tc>
      </w:tr>
      <w:tr>
        <w:tc>
          <w:tcPr>
            <w:tcW w:w="1309" w:type="dxa"/>
          </w:tcPr>
          <w:p>
            <w:pPr/>
            <w:r>
              <w:t xml:space="preserve">ρ, u</w:t>
            </w:r>
          </w:p>
        </w:tc>
        <w:tc>
          <w:tcPr>
            <w:tcW w:w="5783" w:type="dxa"/>
          </w:tcPr>
          <w:p>
            <w:pPr/>
            <w:r>
              <w:t xml:space="preserve">density and velocity</w:t>
            </w:r>
          </w:p>
        </w:tc>
        <w:tc>
          <w:tcPr>
            <w:tcW w:w="2266" w:type="dxa"/>
          </w:tcPr>
          <w:p>
            <w:pPr/>
            <w:r>
              <w:t xml:space="preserve">kg/m³, m/s</w:t>
            </w:r>
          </w:p>
        </w:tc>
      </w:tr>
      <w:tr>
        <w:tc>
          <w:tcPr>
            <w:tcW w:w="1309" w:type="dxa"/>
          </w:tcPr>
          <w:p>
            <w:pPr/>
            <w:r>
              <w:t xml:space="preserve">a</w:t>
            </w:r>
          </w:p>
        </w:tc>
        <w:tc>
          <w:tcPr>
            <w:tcW w:w="5783" w:type="dxa"/>
          </w:tcPr>
          <w:p>
            <w:pPr/>
            <w:r>
              <w:t xml:space="preserve">local age of air (time since the air was outdoors)</w:t>
            </w:r>
          </w:p>
        </w:tc>
        <w:tc>
          <w:tcPr>
            <w:tcW w:w="2266" w:type="dxa"/>
          </w:tcPr>
          <w:p>
            <w:pPr/>
            <w:r>
              <w:t xml:space="preserve">s</w:t>
            </w:r>
          </w:p>
        </w:tc>
      </w:tr>
      <w:tr>
        <w:tc>
          <w:tcPr>
            <w:tcW w:w="1309" w:type="dxa"/>
          </w:tcPr>
          <w:p>
            <w:pPr/>
            <w:r>
              <w:t xml:space="preserve">⟨a⟩</w:t>
            </w:r>
          </w:p>
        </w:tc>
        <w:tc>
          <w:tcPr>
            <w:tcW w:w="5783" w:type="dxa"/>
          </w:tcPr>
          <w:p>
            <w:pPr/>
            <w:r>
              <w:t xml:space="preserve">volume-mean age of air in a room</w:t>
            </w:r>
          </w:p>
        </w:tc>
        <w:tc>
          <w:tcPr>
            <w:tcW w:w="2266" w:type="dxa"/>
          </w:tcPr>
          <w:p>
            <w:pPr/>
            <w:r>
              <w:t xml:space="preserve">s</w:t>
            </w:r>
          </w:p>
        </w:tc>
      </w:tr>
      <w:tr>
        <w:tc>
          <w:tcPr>
            <w:tcW w:w="1309" w:type="dxa"/>
          </w:tcPr>
          <w:p>
            <w:pPr/>
            <w:r>
              <w:t xml:space="preserve">V</w:t>
            </w:r>
          </w:p>
        </w:tc>
        <w:tc>
          <w:tcPr>
            <w:tcW w:w="5783" w:type="dxa"/>
          </w:tcPr>
          <w:p>
            <w:pPr/>
            <w:r>
              <w:t xml:space="preserve">room volume (nominal, as drawn)</w:t>
            </w:r>
          </w:p>
        </w:tc>
        <w:tc>
          <w:tcPr>
            <w:tcW w:w="2266" w:type="dxa"/>
          </w:tcPr>
          <w:p>
            <w:pPr/>
            <w:r>
              <w:t xml:space="preserve">m³</w:t>
            </w:r>
          </w:p>
        </w:tc>
      </w:tr>
      <w:tr>
        <w:tc>
          <w:tcPr>
            <w:tcW w:w="1309" w:type="dxa"/>
          </w:tcPr>
          <w:p>
            <w:pPr/>
            <w:r>
              <w:t xml:space="preserve">Q</w:t>
            </w:r>
          </w:p>
        </w:tc>
        <w:tc>
          <w:tcPr>
            <w:tcW w:w="5783" w:type="dxa"/>
          </w:tcPr>
          <w:p>
            <w:pPr/>
            <w:r>
              <w:t xml:space="preserve">volume flow</w:t>
            </w:r>
          </w:p>
        </w:tc>
        <w:tc>
          <w:tcPr>
            <w:tcW w:w="2266" w:type="dxa"/>
          </w:tcPr>
          <w:p>
            <w:pPr/>
            <w:r>
              <w:t xml:space="preserve">m³/s</w:t>
            </w:r>
          </w:p>
        </w:tc>
      </w:tr>
      <w:tr>
        <w:tc>
          <w:tcPr>
            <w:tcW w:w="1309" w:type="dxa"/>
          </w:tcPr>
          <w:p>
            <w:pPr/>
            <w:r>
              <w:t xml:space="preserve">C_d</w:t>
            </w:r>
          </w:p>
        </w:tc>
        <w:tc>
          <w:tcPr>
            <w:tcW w:w="5783" w:type="dxa"/>
          </w:tcPr>
          <w:p>
            <w:pPr/>
            <w:r>
              <w:t xml:space="preserve">discharge coefficient of an opening</w:t>
            </w:r>
          </w:p>
        </w:tc>
        <w:tc>
          <w:tcPr>
            <w:tcW w:w="2266" w:type="dxa"/>
          </w:tcPr>
          <w:p>
            <w:pPr/>
            <w:r>
              <w:t xml:space="preserve">–</w:t>
            </w:r>
          </w:p>
        </w:tc>
      </w:tr>
      <w:tr>
        <w:tc>
          <w:tcPr>
            <w:tcW w:w="1309" w:type="dxa"/>
          </w:tcPr>
          <w:p>
            <w:pPr/>
            <w:r>
              <w:t xml:space="preserve">A</w:t>
            </w:r>
          </w:p>
        </w:tc>
        <w:tc>
          <w:tcPr>
            <w:tcW w:w="5783" w:type="dxa"/>
          </w:tcPr>
          <w:p>
            <w:pPr/>
            <w:r>
              <w:t xml:space="preserve">open area of an opening</w:t>
            </w:r>
          </w:p>
        </w:tc>
        <w:tc>
          <w:tcPr>
            <w:tcW w:w="2266" w:type="dxa"/>
          </w:tcPr>
          <w:p>
            <w:pPr/>
            <w:r>
              <w:t xml:space="preserve">m²</w:t>
            </w:r>
          </w:p>
        </w:tc>
      </w:tr>
      <w:tr>
        <w:tc>
          <w:tcPr>
            <w:tcW w:w="1309" w:type="dxa"/>
          </w:tcPr>
          <w:p>
            <w:pPr/>
            <w:r>
              <w:t xml:space="preserve">U_H</w:t>
            </w:r>
          </w:p>
        </w:tc>
        <w:tc>
          <w:tcPr>
            <w:tcW w:w="5783" w:type="dxa"/>
          </w:tcPr>
          <w:p>
            <w:pPr/>
            <w:r>
              <w:t xml:space="preserve">wind speed at building height</w:t>
            </w:r>
          </w:p>
        </w:tc>
        <w:tc>
          <w:tcPr>
            <w:tcW w:w="2266" w:type="dxa"/>
          </w:tcPr>
          <w:p>
            <w:pPr/>
            <w:r>
              <w:t xml:space="preserve">m/s</w:t>
            </w:r>
          </w:p>
        </w:tc>
      </w:tr>
      <w:tr>
        <w:tc>
          <w:tcPr>
            <w:tcW w:w="1309" w:type="dxa"/>
          </w:tcPr>
          <w:p>
            <w:pPr/>
            <w:r>
              <w:t xml:space="preserve">H</w:t>
            </w:r>
          </w:p>
        </w:tc>
        <w:tc>
          <w:tcPr>
            <w:tcW w:w="5783" w:type="dxa"/>
          </w:tcPr>
          <w:p>
            <w:pPr/>
            <w:r>
              <w:t xml:space="preserve">building height</w:t>
            </w:r>
          </w:p>
        </w:tc>
        <w:tc>
          <w:tcPr>
            <w:tcW w:w="2266" w:type="dxa"/>
          </w:tcPr>
          <w:p>
            <w:pPr/>
            <w:r>
              <w:t xml:space="preserve">m</w:t>
            </w:r>
          </w:p>
        </w:tc>
      </w:tr>
      <w:tr>
        <w:tc>
          <w:tcPr>
            <w:tcW w:w="1309" w:type="dxa"/>
          </w:tcPr>
          <w:p>
            <w:pPr/>
            <w:r>
              <w:t xml:space="preserve">T, β</w:t>
            </w:r>
          </w:p>
        </w:tc>
        <w:tc>
          <w:tcPr>
            <w:tcW w:w="5783" w:type="dxa"/>
          </w:tcPr>
          <w:p>
            <w:pPr/>
            <w:r>
              <w:t xml:space="preserve">temperature and thermal expansion coefficient</w:t>
            </w:r>
          </w:p>
        </w:tc>
        <w:tc>
          <w:tcPr>
            <w:tcW w:w="2266" w:type="dxa"/>
          </w:tcPr>
          <w:p>
            <w:pPr/>
            <w:r>
              <w:t xml:space="preserve">K, 1/K</w:t>
            </w:r>
          </w:p>
        </w:tc>
      </w:tr>
    </w:tbl>
    <w:p>
      <w:pPr>
        <w:pStyle w:val="Heading2"/>
      </w:pPr>
      <w:r>
        <w:t xml:space="preserve">1. What WindFlow computes, and what it does not</w:t>
      </w:r>
    </w:p>
    <w:p>
      <w:pPr/>
      <w:r>
        <w:t xml:space="preserve">WindFlow solves the wind-driven air flow through and around a building, then reads every room result off that solved air. Pressures on the façades are not looked up from a pressure-coefficient table: they emerge from the flow.</w:t>
      </w:r>
    </w:p>
    <w:p>
      <w:pPr/>
      <w:r>
        <w:drawing>
          <wp:inline distT="0" distB="0" distL="0" distR="0">
            <wp:extent cx="5486400" cy="1641021"/>
            <wp:docPr id="1" name="image1" descr="Figure 1 · from building model to report"/>
            <a:graphic xmlns:a="http://schemas.openxmlformats.org/drawingml/2006/main">
              <a:graphicData uri="http://schemas.openxmlformats.org/drawingml/2006/picture">
                <pic:pic xmlns:pic="http://schemas.openxmlformats.org/drawingml/2006/picture">
                  <pic:nvPicPr>
                    <pic:cNvPr id="1" name="image1" descr="Figure 1 · from building model to report"/>
                    <pic:cNvPicPr/>
                  </pic:nvPicPr>
                  <pic:blipFill>
                    <a:blip r:embed="rId3"/>
                    <a:stretch>
                      <a:fillRect/>
                    </a:stretch>
                  </pic:blipFill>
                  <pic:spPr>
                    <a:xfrm>
                      <a:off x="0" y="0"/>
                      <a:ext cx="5486400" cy="1641021"/>
                    </a:xfrm>
                    <a:prstGeom prst="rect">
                      <a:avLst/>
                    </a:prstGeom>
                  </pic:spPr>
                </pic:pic>
              </a:graphicData>
            </a:graphic>
          </wp:inline>
        </w:drawing>
      </w:r>
    </w:p>
    <w:p>
      <w:pPr/>
      <w:r>
        <w:t xml:space="preserve">Figure 1 · from building model to report</w:t>
      </w:r>
    </w:p>
    <w:p>
      <w:pPr/>
      <w:r>
        <w:t xml:space="preserve">Only the solve and tracer steps repeat: the solver keeps stepping and averaging in batches until each room's result settles or the time budget runs out.</w:t>
      </w:r>
    </w:p>
    <w:p>
      <w:pPr>
        <w:pStyle w:val="Heading3"/>
      </w:pPr>
      <w:r>
        <w:t xml:space="preserve">Outputs per room</w:t>
      </w:r>
    </w:p>
    <w:tbl>
      <w:tblPr>
        <w:tblStyle w:val="TableGrid"/>
        <w:tblW w:w="0" w:type="auto"/>
        <w:tblLayout w:type="fixed"/>
        <w:tblLook w:val="04A0" w:firstRow="1" w:lastRow="0" w:firstColumn="0" w:lastColumn="0" w:noHBand="0" w:noVBand="1"/>
      </w:tblPr>
      <w:tblGrid>
        <w:gridCol w:w="1974"/>
        <w:gridCol w:w="4920"/>
        <w:gridCol w:w="2466"/>
      </w:tblGrid>
      <w:tr>
        <w:trPr>
          <w:tblHeader/>
        </w:trPr>
        <w:tc>
          <w:tcPr>
            <w:tcW w:w="1974" w:type="dxa"/>
            <w:shd w:val="clear" w:color="auto" w:fill="F3F0EA"/>
          </w:tcPr>
          <w:p>
            <w:pPr/>
            <w:r>
              <w:t xml:space="preserve">Output</w:t>
            </w:r>
          </w:p>
        </w:tc>
        <w:tc>
          <w:tcPr>
            <w:tcW w:w="4920" w:type="dxa"/>
            <w:shd w:val="clear" w:color="auto" w:fill="F3F0EA"/>
          </w:tcPr>
          <w:p>
            <w:pPr/>
            <w:r>
              <w:t xml:space="preserve">What it measures</w:t>
            </w:r>
          </w:p>
        </w:tc>
        <w:tc>
          <w:tcPr>
            <w:tcW w:w="2466" w:type="dxa"/>
            <w:shd w:val="clear" w:color="auto" w:fill="F3F0EA"/>
          </w:tcPr>
          <w:p>
            <w:pPr/>
            <w:r>
              <w:t xml:space="preserve">Notes</w:t>
            </w:r>
          </w:p>
        </w:tc>
      </w:tr>
      <w:tr>
        <w:tc>
          <w:tcPr>
            <w:tcW w:w="1974" w:type="dxa"/>
          </w:tcPr>
          <w:p>
            <w:pPr/>
            <w:r>
              <w:t xml:space="preserve">Fresh-air ACH</w:t>
            </w:r>
          </w:p>
        </w:tc>
        <w:tc>
          <w:tcPr>
            <w:tcW w:w="4920" w:type="dxa"/>
          </w:tcPr>
          <w:p>
            <w:pPr/>
            <w:r>
              <w:t xml:space="preserve">3600 ÷ the room's mean age of air (chapter 6)</w:t>
            </w:r>
          </w:p>
        </w:tc>
        <w:tc>
          <w:tcPr>
            <w:tcW w:w="2466" w:type="dxa"/>
          </w:tcPr>
          <w:p>
            <w:pPr/>
            <w:r>
              <w:t xml:space="preserve">The headline number. Air that reaches the room through other rooms counts at its real age.</w:t>
            </w:r>
          </w:p>
        </w:tc>
      </w:tr>
      <w:tr>
        <w:tc>
          <w:tcPr>
            <w:tcW w:w="1974" w:type="dxa"/>
          </w:tcPr>
          <w:p>
            <w:pPr/>
            <w:r>
              <w:t xml:space="preserve">Total exch. ACH</w:t>
            </w:r>
          </w:p>
        </w:tc>
        <w:tc>
          <w:tcPr>
            <w:tcW w:w="4920" w:type="dxa"/>
          </w:tcPr>
          <w:p>
            <w:pPr/>
            <w:r>
              <w:t xml:space="preserve">Every m³/h entering the room volume, from outside and from other rooms</w:t>
            </w:r>
          </w:p>
        </w:tc>
        <w:tc>
          <w:tcPr>
            <w:tcW w:w="2466" w:type="dxa"/>
          </w:tcPr>
          <w:p>
            <w:pPr/>
            <w:r>
              <w:t xml:space="preserve">Not a ventilation rate.</w:t>
            </w:r>
          </w:p>
        </w:tc>
      </w:tr>
      <w:tr>
        <w:tc>
          <w:tcPr>
            <w:tcW w:w="1974" w:type="dxa"/>
          </w:tcPr>
          <w:p>
            <w:pPr/>
            <w:r>
              <w:t xml:space="preserve">Thru open.</w:t>
            </w:r>
          </w:p>
        </w:tc>
        <w:tc>
          <w:tcPr>
            <w:tcW w:w="4920" w:type="dxa"/>
          </w:tcPr>
          <w:p>
            <w:pPr/>
            <w:r>
              <w:t xml:space="preserve">Air entering through the room's own listed windows and doors</w:t>
            </w:r>
          </w:p>
        </w:tc>
        <w:tc>
          <w:tcPr>
            <w:tcW w:w="2466" w:type="dxa"/>
          </w:tcPr>
          <w:p>
            <w:pPr/>
            <w:r>
              <w:t xml:space="preserve">Measured on fixed opening planes, not the ragged room boundary.</w:t>
            </w:r>
          </w:p>
        </w:tc>
      </w:tr>
      <w:tr>
        <w:tc>
          <w:tcPr>
            <w:tcW w:w="1974" w:type="dxa"/>
          </w:tcPr>
          <w:p>
            <w:pPr/>
            <w:r>
              <w:t xml:space="preserve">Net outdoor air</w:t>
            </w:r>
          </w:p>
        </w:tc>
        <w:tc>
          <w:tcPr>
            <w:tcW w:w="4920" w:type="dxa"/>
          </w:tcPr>
          <w:p>
            <w:pPr/>
            <w:r>
              <w:t xml:space="preserve">Net flow through the room's exterior openings only</w:t>
            </w:r>
          </w:p>
        </w:tc>
        <w:tc>
          <w:tcPr>
            <w:tcW w:w="2466" w:type="dxa"/>
          </w:tcPr>
          <w:p>
            <w:pPr/>
          </w:p>
        </w:tc>
      </w:tr>
      <w:tr>
        <w:tc>
          <w:tcPr>
            <w:tcW w:w="1974" w:type="dxa"/>
          </w:tcPr>
          <w:p>
            <w:pPr/>
            <w:r>
              <w:t xml:space="preserve">Mean speed</w:t>
            </w:r>
          </w:p>
        </w:tc>
        <w:tc>
          <w:tcPr>
            <w:tcW w:w="4920" w:type="dxa"/>
          </w:tcPr>
          <w:p>
            <w:pPr/>
            <w:r>
              <w:t xml:space="preserve">Mean air speed in the occupied zone, 0.1 to 1.8 m above the floor</w:t>
            </w:r>
          </w:p>
        </w:tc>
        <w:tc>
          <w:tcPr>
            <w:tcW w:w="2466" w:type="dxa"/>
          </w:tcPr>
          <w:p>
            <w:pPr/>
            <w:r>
              <w:t xml:space="preserve">m/s</w:t>
            </w:r>
          </w:p>
        </w:tc>
      </w:tr>
      <w:tr>
        <w:tc>
          <w:tcPr>
            <w:tcW w:w="1974" w:type="dxa"/>
          </w:tcPr>
          <w:p>
            <w:pPr/>
            <w:r>
              <w:t xml:space="preserve">Stagnant share</w:t>
            </w:r>
          </w:p>
        </w:tc>
        <w:tc>
          <w:tcPr>
            <w:tcW w:w="4920" w:type="dxa"/>
          </w:tcPr>
          <w:p>
            <w:pPr/>
            <w:r>
              <w:t xml:space="preserve">Share of the occupied zone below 0.10 m/s</w:t>
            </w:r>
          </w:p>
        </w:tc>
        <w:tc>
          <w:tcPr>
            <w:tcW w:w="2466" w:type="dxa"/>
          </w:tcPr>
          <w:p>
            <w:pPr/>
            <w:r>
              <w:t xml:space="preserve">%</w:t>
            </w:r>
          </w:p>
        </w:tc>
      </w:tr>
      <w:tr>
        <w:tc>
          <w:tcPr>
            <w:tcW w:w="1974" w:type="dxa"/>
          </w:tcPr>
          <w:p>
            <w:pPr/>
            <w:r>
              <w:t xml:space="preserve">Thermal (beta)</w:t>
            </w:r>
          </w:p>
        </w:tc>
        <w:tc>
          <w:tcPr>
            <w:tcW w:w="4920" w:type="dxa"/>
          </w:tcPr>
          <w:p>
            <w:pPr/>
            <w:r>
              <w:t xml:space="preserve">Temperature, heater or cooler duty, CO2, PMV within ±0.5, draught rate above 20 %</w:t>
            </w:r>
          </w:p>
        </w:tc>
        <w:tc>
          <w:tcPr>
            <w:tcW w:w="2466" w:type="dxa"/>
          </w:tcPr>
          <w:p>
            <w:pPr/>
            <w:r>
              <w:t xml:space="preserve">Chapter 9</w:t>
            </w:r>
          </w:p>
        </w:tc>
      </w:tr>
      <w:tr>
        <w:tc>
          <w:tcPr>
            <w:tcW w:w="1974" w:type="dxa"/>
          </w:tcPr>
          <w:p>
            <w:pPr/>
            <w:r>
              <w:t xml:space="preserve">Openings</w:t>
            </w:r>
          </w:p>
        </w:tc>
        <w:tc>
          <w:tcPr>
            <w:tcW w:w="4920" w:type="dxa"/>
          </w:tcPr>
          <w:p>
            <w:pPr/>
            <w:r>
              <w:t xml:space="preserve">Flow through each opening and its direction</w:t>
            </w:r>
          </w:p>
        </w:tc>
        <w:tc>
          <w:tcPr>
            <w:tcW w:w="2466" w:type="dxa"/>
          </w:tcPr>
          <w:p>
            <w:pPr/>
            <w:r>
              <w:t xml:space="preserve">m³/s</w:t>
            </w:r>
          </w:p>
        </w:tc>
      </w:tr>
      <w:tr>
        <w:tc>
          <w:tcPr>
            <w:tcW w:w="1974" w:type="dxa"/>
          </w:tcPr>
          <w:p>
            <w:pPr/>
            <w:r>
              <w:t xml:space="preserve">Devices</w:t>
            </w:r>
          </w:p>
        </w:tc>
        <w:tc>
          <w:tcPr>
            <w:tcW w:w="4920" w:type="dxa"/>
          </w:tcPr>
          <w:p>
            <w:pPr/>
            <w:r>
              <w:t xml:space="preserve">Measured flow of each fan, AC unit, hood or diffuser</w:t>
            </w:r>
          </w:p>
        </w:tc>
        <w:tc>
          <w:tcPr>
            <w:tcW w:w="2466" w:type="dxa"/>
          </w:tcPr>
          <w:p>
            <w:pPr/>
            <w:r>
              <w:t xml:space="preserve">m³/h</w:t>
            </w:r>
          </w:p>
        </w:tc>
      </w:tr>
      <w:tr>
        <w:tc>
          <w:tcPr>
            <w:tcW w:w="1974" w:type="dxa"/>
          </w:tcPr>
          <w:p>
            <w:pPr/>
            <w:r>
              <w:t xml:space="preserve">Mass balance</w:t>
            </w:r>
          </w:p>
        </w:tc>
        <w:tc>
          <w:tcPr>
            <w:tcW w:w="4920" w:type="dxa"/>
          </w:tcPr>
          <w:p>
            <w:pPr/>
            <w:r>
              <w:t xml:space="preserve">Air in against air out; drives the trust line and the report cover box</w:t>
            </w:r>
          </w:p>
        </w:tc>
        <w:tc>
          <w:tcPr>
            <w:tcW w:w="2466" w:type="dxa"/>
          </w:tcPr>
          <w:p>
            <w:pPr/>
            <w:r>
              <w:t xml:space="preserve">Chapter 13</w:t>
            </w:r>
          </w:p>
        </w:tc>
      </w:tr>
    </w:tbl>
    <w:p>
      <w:pPr>
        <w:pStyle w:val="Heading3"/>
      </w:pPr>
      <w:r>
        <w:t xml:space="preserve">What it does not do</w:t>
      </w:r>
    </w:p>
    <w:p>
      <w:pPr>
        <w:pStyle w:val="ListParagraph"/>
        <w:numPr>
          <w:ilvl w:val="0"/>
          <w:numId w:val="2"/>
        </w:numPr>
      </w:pPr>
      <w:r>
        <w:rPr>
          <w:b/>
        </w:rPr>
        <w:t xml:space="preserve">Not a certification tool.</w:t>
      </w:r>
      <w:r>
        <w:t xml:space="preserve"> Results are comparative design guidance.</w:t>
      </w:r>
    </w:p>
    <w:p>
      <w:pPr>
        <w:pStyle w:val="ListParagraph"/>
        <w:numPr>
          <w:ilvl w:val="0"/>
          <w:numId w:val="2"/>
        </w:numPr>
      </w:pPr>
      <w:r>
        <w:rPr>
          <w:b/>
        </w:rPr>
        <w:t xml:space="preserve">Not validated against a physical building.</w:t>
      </w:r>
      <w:r>
        <w:t xml:space="preserve"> Treat absolute ACH, comfort fraction and room temperature as comparative and self-consistent.</w:t>
      </w:r>
    </w:p>
    <w:p>
      <w:pPr>
        <w:pStyle w:val="ListParagraph"/>
        <w:numPr>
          <w:ilvl w:val="0"/>
          <w:numId w:val="2"/>
        </w:numPr>
      </w:pPr>
      <w:r>
        <w:rPr>
          <w:b/>
        </w:rPr>
        <w:t xml:space="preserve">Not validated at all:</w:t>
      </w:r>
      <w:r>
        <w:t xml:space="preserve"> single-sided ventilation (one opening per room), openings narrower than 4 cells, absolute ACH in a real building.</w:t>
      </w:r>
    </w:p>
    <w:p>
      <w:pPr>
        <w:pStyle w:val="ListParagraph"/>
        <w:numPr>
          <w:ilvl w:val="0"/>
          <w:numId w:val="2"/>
        </w:numPr>
      </w:pPr>
      <w:r>
        <w:rPr>
          <w:b/>
        </w:rPr>
        <w:t xml:space="preserve">Planned, not done:</w:t>
      </w:r>
      <w:r>
        <w:t xml:space="preserve"> IEA Annex 20 3-D rooms with temperature; the Architectural Institute of Japan (AIJ) guideline cases.</w:t>
      </w:r>
    </w:p>
    <w:p>
      <w:pPr>
        <w:pStyle w:val="ListParagraph"/>
        <w:numPr>
          <w:ilvl w:val="0"/>
          <w:numId w:val="2"/>
        </w:numPr>
      </w:pPr>
      <w:r>
        <w:rPr>
          <w:b/>
        </w:rPr>
        <w:t xml:space="preserve">Thermal model unchecked against a measured room.</w:t>
      </w:r>
      <w:r>
        <w:t xml:space="preserve"> No measured, heated, occupied room has been simulated; one heat test (the filling box) still fails.</w:t>
      </w:r>
    </w:p>
    <w:p>
      <w:pPr>
        <w:pStyle w:val="ListParagraph"/>
        <w:numPr>
          <w:ilvl w:val="0"/>
          <w:numId w:val="2"/>
        </w:numPr>
      </w:pPr>
      <w:r>
        <w:rPr>
          <w:b/>
        </w:rPr>
        <w:t xml:space="preserve">Fresh-air numbers unchecked against tracer gas</w:t>
      </w:r>
      <w:r>
        <w:t xml:space="preserve"> measured in a real building.</w:t>
      </w:r>
    </w:p>
    <w:p>
      <w:pPr>
        <w:pStyle w:val="ListParagraph"/>
        <w:numPr>
          <w:ilvl w:val="0"/>
          <w:numId w:val="2"/>
        </w:numPr>
      </w:pPr>
      <w:r>
        <w:rPr>
          <w:b/>
        </w:rPr>
        <w:t xml:space="preserve">No wall heat loss.</w:t>
      </w:r>
      <w:r>
        <w:t xml:space="preserve"> Ordinary walls, floors, roofs and glazing are adiabatic: no U-values.</w:t>
      </w:r>
    </w:p>
    <w:p>
      <w:pPr>
        <w:pStyle w:val="ListParagraph"/>
        <w:numPr>
          <w:ilvl w:val="0"/>
          <w:numId w:val="2"/>
        </w:numPr>
      </w:pPr>
      <w:r>
        <w:rPr>
          <w:b/>
        </w:rPr>
        <w:t xml:space="preserve">No IFC import.</w:t>
      </w:r>
      <w:r>
        <w:t xml:space="preserve"> Only a Revit export, WindFlow's own model file, or a mesh. Revit OBJ exports are recognised from their file header and read as feet and Z-up automatically. Before reading a model file, the app warns when the file looks too large for the free memory.</w:t>
      </w:r>
    </w:p>
    <w:p>
      <w:pPr>
        <w:pStyle w:val="Heading2"/>
      </w:pPr>
      <w:r>
        <w:t xml:space="preserve">2. The solver</w:t>
      </w:r>
    </w:p>
    <w:p>
      <w:pPr/>
      <w:r>
        <w:t xml:space="preserve">WindFlow is a D3Q19 lattice-Boltzmann solver with regularized BGK collision and a Smagorinsky sub-grid model (constant 0.16). The same kernel runs on the GPU (CUDA or OpenCL) and the CPU, and the two agree to 0.0 % on flow and thermal results.</w:t>
      </w:r>
    </w:p>
    <w:p>
      <w:pPr>
        <w:pStyle w:val="Heading3"/>
      </w:pPr>
      <w:r>
        <w:t xml:space="preserve">Lattice Boltzmann in plain words</w:t>
      </w:r>
    </w:p>
    <w:p>
      <w:pPr/>
      <w:r>
        <w:t xml:space="preserve">The air is split into cubic cells. Each cell holds 19 </w:t>
      </w:r>
      <w:r>
        <w:rPr>
          <w:i/>
        </w:rPr>
        <w:t xml:space="preserve">populations</w:t>
      </w:r>
      <w:r>
        <w:t xml:space="preserve"> f_i: packets of air moving in one of 19 fixed directions. Every time step has two moves: </w:t>
      </w:r>
      <w:r>
        <w:rPr>
          <w:b/>
        </w:rPr>
        <w:t xml:space="preserve">stream</w:t>
      </w:r>
      <w:r>
        <w:t xml:space="preserve"> (each packet hops to the neighbouring cell it points at) and </w:t>
      </w:r>
      <w:r>
        <w:rPr>
          <w:b/>
        </w:rPr>
        <w:t xml:space="preserve">collide</w:t>
      </w:r>
      <w:r>
        <w:t xml:space="preserve"> (the packets in each cell relax towards an equilibrium set by the local density and velocity). Density, velocity and pressure are sums over the packets; nothing else is solved.</w:t>
      </w:r>
    </w:p>
    <w:p>
      <w:pPr/>
      <w:r>
        <w:drawing>
          <wp:inline distT="0" distB="0" distL="0" distR="0">
            <wp:extent cx="5486400" cy="2792185"/>
            <wp:docPr id="2" name="image2" descr="Figure 2 · the D3Q19 velocity set (oblique view of one cell and its neighbours)"/>
            <a:graphic xmlns:a="http://schemas.openxmlformats.org/drawingml/2006/main">
              <a:graphicData uri="http://schemas.openxmlformats.org/drawingml/2006/picture">
                <pic:pic xmlns:pic="http://schemas.openxmlformats.org/drawingml/2006/picture">
                  <pic:nvPicPr>
                    <pic:cNvPr id="2" name="image2" descr="Figure 2 · the D3Q19 velocity set (oblique view of one cell and its neighbours)"/>
                    <pic:cNvPicPr/>
                  </pic:nvPicPr>
                  <pic:blipFill>
                    <a:blip r:embed="rId4"/>
                    <a:stretch>
                      <a:fillRect/>
                    </a:stretch>
                  </pic:blipFill>
                  <pic:spPr>
                    <a:xfrm>
                      <a:off x="0" y="0"/>
                      <a:ext cx="5486400" cy="2792185"/>
                    </a:xfrm>
                    <a:prstGeom prst="rect">
                      <a:avLst/>
                    </a:prstGeom>
                  </pic:spPr>
                </pic:pic>
              </a:graphicData>
            </a:graphic>
          </wp:inline>
        </w:drawing>
      </w:r>
    </w:p>
    <w:p>
      <w:pPr/>
      <w:r>
        <w:t xml:space="preserve">Figure 2 · the D3Q19 velocity set (oblique view of one cell and its neighbours)</w:t>
      </w:r>
    </w:p>
    <w:p>
      <w:pPr/>
      <w:r>
        <w:t xml:space="preserve">The weights w_i are the equilibrium shares of a cell at rest; face neighbours get twice the share of edge neighbours (1/18 against 1/36) because they are closer.</w:t>
      </w:r>
    </w:p>
    <w:p>
      <w:pPr>
        <w:pStyle w:val="Heading3"/>
      </w:pPr>
      <w:r>
        <w:t xml:space="preserve">Equations (standard form)</w:t>
      </w:r>
    </w:p>
    <w:p>
      <w:pPr/>
      <w:r>
        <w:t xml:space="preserve">Stream and collide, for each direction i:</w:t>
      </w:r>
    </w:p>
    <w:p>
      <w:pPr>
        <w:jc w:val="center"/>
      </w:pPr>
      <m:oMathPara>
        <m:oMath>
          <m:sSub>
            <m:e>
              <m:r>
                <m:t>f</m:t>
              </m:r>
            </m:e>
            <m:sub>
              <m:r>
                <m:t>i</m:t>
              </m:r>
            </m:sub>
          </m:sSub>
          <m:r>
            <m:t>(</m:t>
          </m:r>
          <m:r>
            <m:rPr>
              <m:sty m:val="b"/>
            </m:rPr>
            <m:t>x</m:t>
          </m:r>
          <m:r>
            <m:t>+</m:t>
          </m:r>
          <m:sSub>
            <m:e>
              <m:r>
                <m:rPr>
                  <m:sty m:val="b"/>
                </m:rPr>
                <m:t>c</m:t>
              </m:r>
            </m:e>
            <m:sub>
              <m:r>
                <m:t>i</m:t>
              </m:r>
            </m:sub>
          </m:sSub>
          <m:r>
            <m:rPr>
              <m:sty m:val="p"/>
            </m:rPr>
            <m:t>Δ</m:t>
          </m:r>
          <m:r>
            <m:t>t,</m:t>
          </m:r>
          <m:r>
            <m:t>t+</m:t>
          </m:r>
          <m:r>
            <m:rPr>
              <m:sty m:val="p"/>
            </m:rPr>
            <m:t>Δ</m:t>
          </m:r>
          <m:r>
            <m:t>t)=</m:t>
          </m:r>
          <m:sSubSup>
            <m:e>
              <m:r>
                <m:t>f</m:t>
              </m:r>
            </m:e>
            <m:sub>
              <m:r>
                <m:t>i</m:t>
              </m:r>
            </m:sub>
            <m:sup>
              <m:r>
                <m:rPr>
                  <m:sty m:val="p"/>
                </m:rPr>
                <m:t>eq</m:t>
              </m:r>
            </m:sup>
          </m:sSubSup>
          <m:r>
            <m:t>(</m:t>
          </m:r>
          <m:r>
            <m:rPr>
              <m:sty m:val="b"/>
            </m:rPr>
            <m:t>x</m:t>
          </m:r>
          <m:r>
            <m:t>,t)+</m:t>
          </m:r>
          <m:d>
            <m:dPr>
              <m:sepChr m:val="−"/>
            </m:dPr>
            <m:e>
              <m:r>
                <m:t>1</m:t>
              </m:r>
            </m:e>
            <m:e>
              <m:f>
                <m:fPr>
                  <m:type m:val="bar"/>
                </m:fPr>
                <m:num>
                  <m:r>
                    <m:t>1</m:t>
                  </m:r>
                </m:num>
                <m:den>
                  <m:sSub>
                    <m:e>
                      <m:r>
                        <m:t>τ</m:t>
                      </m:r>
                    </m:e>
                    <m:sub>
                      <m:r>
                        <m:rPr>
                          <m:sty m:val="p"/>
                        </m:rPr>
                        <m:t>eff</m:t>
                      </m:r>
                    </m:sub>
                  </m:sSub>
                </m:den>
              </m:f>
            </m:e>
          </m:d>
          <m:sSubSup>
            <m:e>
              <m:r>
                <m:t>f</m:t>
              </m:r>
            </m:e>
            <m:sub>
              <m:r>
                <m:t>i</m:t>
              </m:r>
            </m:sub>
            <m:sup>
              <m:r>
                <m:rPr>
                  <m:sty m:val="p"/>
                </m:rPr>
                <m:t>neq</m:t>
              </m:r>
              <m:r>
                <m:t>,</m:t>
              </m:r>
              <m:r>
                <m:rPr>
                  <m:sty m:val="p"/>
                </m:rPr>
                <m:t>reg</m:t>
              </m:r>
            </m:sup>
          </m:sSubSup>
          <m:r>
            <m:t>(</m:t>
          </m:r>
          <m:r>
            <m:rPr>
              <m:sty m:val="b"/>
            </m:rPr>
            <m:t>x</m:t>
          </m:r>
          <m:r>
            <m:t>,t)</m:t>
          </m:r>
        </m:oMath>
      </m:oMathPara>
    </w:p>
    <w:p>
      <w:pPr/>
      <w:r>
        <w:t xml:space="preserve">Density and velocity are moments of the populations:</w:t>
      </w:r>
    </w:p>
    <w:p>
      <w:pPr>
        <w:jc w:val="center"/>
      </w:pPr>
      <m:oMathPara>
        <m:oMath>
          <m:r>
            <m:t>ρ=</m:t>
          </m:r>
          <m:nary>
            <m:naryPr>
              <m:chr m:val="∑"/>
              <m:limLoc m:val="undOvr"/>
              <m:grow m:val="1"/>
              <m:subHide m:val="off"/>
              <m:supHide m:val="off"/>
            </m:naryPr>
            <m:sub>
              <m:r>
                <m:t>i=0</m:t>
              </m:r>
            </m:sub>
            <m:sup>
              <m:r>
                <m:t>18</m:t>
              </m:r>
            </m:sup>
            <m:e>
              <m:sSub>
                <m:e>
                  <m:r>
                    <m:t>f</m:t>
                  </m:r>
                </m:e>
                <m:sub>
                  <m:r>
                    <m:t>i</m:t>
                  </m:r>
                </m:sub>
              </m:sSub>
            </m:e>
          </m:nary>
          <m:r>
            <m:t>,</m:t>
          </m:r>
          <m:r>
            <m:rPr>
              <m:sty m:val="p"/>
            </m:rPr>
            <m:t xml:space="preserve"> </m:t>
          </m:r>
          <m:r>
            <m:t>ρ</m:t>
          </m:r>
          <m:r>
            <m:rPr>
              <m:sty m:val="b"/>
            </m:rPr>
            <m:t>u</m:t>
          </m:r>
          <m:r>
            <m:t>=</m:t>
          </m:r>
          <m:nary>
            <m:naryPr>
              <m:chr m:val="∑"/>
              <m:limLoc m:val="undOvr"/>
              <m:grow m:val="1"/>
              <m:subHide m:val="off"/>
              <m:supHide m:val="off"/>
            </m:naryPr>
            <m:sub>
              <m:r>
                <m:t>i=0</m:t>
              </m:r>
            </m:sub>
            <m:sup>
              <m:r>
                <m:t>18</m:t>
              </m:r>
            </m:sup>
            <m:e>
              <m:sSub>
                <m:e>
                  <m:r>
                    <m:t>f</m:t>
                  </m:r>
                </m:e>
                <m:sub>
                  <m:r>
                    <m:t>i</m:t>
                  </m:r>
                </m:sub>
              </m:sSub>
            </m:e>
          </m:nary>
          <m:sSub>
            <m:e>
              <m:r>
                <m:rPr>
                  <m:sty m:val="b"/>
                </m:rPr>
                <m:t>c</m:t>
              </m:r>
            </m:e>
            <m:sub>
              <m:r>
                <m:t>i</m:t>
              </m:r>
            </m:sub>
          </m:sSub>
          <m:r>
            <m:t>,</m:t>
          </m:r>
          <m:r>
            <m:rPr>
              <m:sty m:val="p"/>
            </m:rPr>
            <m:t xml:space="preserve"> </m:t>
          </m:r>
          <m:r>
            <m:t>p=</m:t>
          </m:r>
          <m:sSubSup>
            <m:e>
              <m:r>
                <m:t>c</m:t>
              </m:r>
            </m:e>
            <m:sub>
              <m:r>
                <m:t>s</m:t>
              </m:r>
            </m:sub>
            <m:sup>
              <m:r>
                <m:t>2</m:t>
              </m:r>
            </m:sup>
          </m:sSubSup>
          <m:r>
            <m:t>ρ,</m:t>
          </m:r>
          <m:r>
            <m:rPr>
              <m:sty m:val="p"/>
            </m:rPr>
            <m:t xml:space="preserve"> </m:t>
          </m:r>
          <m:sSub>
            <m:e>
              <m:r>
                <m:t>c</m:t>
              </m:r>
            </m:e>
            <m:sub>
              <m:r>
                <m:t>s</m:t>
              </m:r>
            </m:sub>
          </m:sSub>
          <m:r>
            <m:t>=1</m:t>
          </m:r>
          <m:r>
            <m:t>/</m:t>
          </m:r>
          <m:rad>
            <m:radPr>
              <m:degHide m:val="on"/>
            </m:radPr>
            <m:deg/>
            <m:e>
              <m:r>
                <m:t>3</m:t>
              </m:r>
            </m:e>
          </m:rad>
        </m:oMath>
      </m:oMathPara>
    </w:p>
    <w:p>
      <w:pPr/>
      <w:r>
        <w:t xml:space="preserve">The equilibrium is the second-order expansion of a Maxwell distribution:</w:t>
      </w:r>
    </w:p>
    <w:p>
      <w:pPr>
        <w:jc w:val="center"/>
      </w:pPr>
      <m:oMathPara>
        <m:oMath>
          <m:sSubSup>
            <m:e>
              <m:r>
                <m:t>f</m:t>
              </m:r>
            </m:e>
            <m:sub>
              <m:r>
                <m:t>i</m:t>
              </m:r>
            </m:sub>
            <m:sup>
              <m:r>
                <m:rPr>
                  <m:sty m:val="p"/>
                </m:rPr>
                <m:t>eq</m:t>
              </m:r>
            </m:sup>
          </m:sSubSup>
          <m:r>
            <m:t>=</m:t>
          </m:r>
          <m:sSub>
            <m:e>
              <m:r>
                <m:t>w</m:t>
              </m:r>
            </m:e>
            <m:sub>
              <m:r>
                <m:t>i</m:t>
              </m:r>
            </m:sub>
          </m:sSub>
          <m:r>
            <m:t>ρ</m:t>
          </m:r>
          <m:d>
            <m:dPr>
              <m:begChr m:val="["/>
              <m:sepChr m:val=""/>
              <m:endChr m:val="]"/>
            </m:dPr>
            <m:e>
              <m:r>
                <m:t>1</m:t>
              </m:r>
              <m:r>
                <m:t>+</m:t>
              </m:r>
              <m:f>
                <m:fPr>
                  <m:type m:val="bar"/>
                </m:fPr>
                <m:num>
                  <m:sSub>
                    <m:e>
                      <m:r>
                        <m:rPr>
                          <m:sty m:val="b"/>
                        </m:rPr>
                        <m:t>c</m:t>
                      </m:r>
                    </m:e>
                    <m:sub>
                      <m:r>
                        <m:t>i</m:t>
                      </m:r>
                    </m:sub>
                  </m:sSub>
                  <m:r>
                    <m:t>⋅</m:t>
                  </m:r>
                  <m:r>
                    <m:rPr>
                      <m:sty m:val="b"/>
                    </m:rPr>
                    <m:t>u</m:t>
                  </m:r>
                </m:num>
                <m:den>
                  <m:sSubSup>
                    <m:e>
                      <m:r>
                        <m:t>c</m:t>
                      </m:r>
                    </m:e>
                    <m:sub>
                      <m:r>
                        <m:t>s</m:t>
                      </m:r>
                    </m:sub>
                    <m:sup>
                      <m:r>
                        <m:t>2</m:t>
                      </m:r>
                    </m:sup>
                  </m:sSubSup>
                </m:den>
              </m:f>
              <m:r>
                <m:t>+</m:t>
              </m:r>
              <m:f>
                <m:fPr>
                  <m:type m:val="bar"/>
                </m:fPr>
                <m:num>
                  <m:sSup>
                    <m:e>
                      <m:d>
                        <m:dPr>
                          <m:sepChr m:val=""/>
                        </m:dPr>
                        <m:e>
                          <m:sSub>
                            <m:e>
                              <m:r>
                                <m:rPr>
                                  <m:sty m:val="b"/>
                                </m:rPr>
                                <m:t>c</m:t>
                              </m:r>
                            </m:e>
                            <m:sub>
                              <m:r>
                                <m:t>i</m:t>
                              </m:r>
                            </m:sub>
                          </m:sSub>
                          <m:r>
                            <m:t>⋅</m:t>
                          </m:r>
                          <m:r>
                            <m:rPr>
                              <m:sty m:val="b"/>
                            </m:rPr>
                            <m:t>u</m:t>
                          </m:r>
                        </m:e>
                      </m:d>
                    </m:e>
                    <m:sup>
                      <m:r>
                        <m:t>2</m:t>
                      </m:r>
                    </m:sup>
                  </m:sSup>
                </m:num>
                <m:den>
                  <m:r>
                    <m:t>2</m:t>
                  </m:r>
                  <m:sSubSup>
                    <m:e>
                      <m:r>
                        <m:t>c</m:t>
                      </m:r>
                    </m:e>
                    <m:sub>
                      <m:r>
                        <m:t>s</m:t>
                      </m:r>
                    </m:sub>
                    <m:sup>
                      <m:r>
                        <m:t>4</m:t>
                      </m:r>
                    </m:sup>
                  </m:sSubSup>
                </m:den>
              </m:f>
              <m:r>
                <m:t>−</m:t>
              </m:r>
              <m:f>
                <m:fPr>
                  <m:type m:val="bar"/>
                </m:fPr>
                <m:num>
                  <m:r>
                    <m:rPr>
                      <m:sty m:val="b"/>
                    </m:rPr>
                    <m:t>u</m:t>
                  </m:r>
                  <m:r>
                    <m:t>⋅</m:t>
                  </m:r>
                  <m:r>
                    <m:rPr>
                      <m:sty m:val="b"/>
                    </m:rPr>
                    <m:t>u</m:t>
                  </m:r>
                </m:num>
                <m:den>
                  <m:r>
                    <m:t>2</m:t>
                  </m:r>
                  <m:sSubSup>
                    <m:e>
                      <m:r>
                        <m:t>c</m:t>
                      </m:r>
                    </m:e>
                    <m:sub>
                      <m:r>
                        <m:t>s</m:t>
                      </m:r>
                    </m:sub>
                    <m:sup>
                      <m:r>
                        <m:t>2</m:t>
                      </m:r>
                    </m:sup>
                  </m:sSubSup>
                </m:den>
              </m:f>
            </m:e>
          </m:d>
          <m:r>
            <m:t>,</m:t>
          </m:r>
          <m:r>
            <m:rPr>
              <m:sty m:val="p"/>
            </m:rPr>
            <m:t xml:space="preserve"> </m:t>
          </m:r>
          <m:sSub>
            <m:e>
              <m:r>
                <m:t>w</m:t>
              </m:r>
            </m:e>
            <m:sub>
              <m:r>
                <m:t>0</m:t>
              </m:r>
            </m:sub>
          </m:sSub>
          <m:r>
            <m:t>=</m:t>
          </m:r>
          <m:f>
            <m:fPr>
              <m:type m:val="bar"/>
            </m:fPr>
            <m:num>
              <m:argPr>
                <m:scrLvl m:val="0"/>
              </m:argPr>
              <m:r>
                <m:t>1</m:t>
              </m:r>
            </m:num>
            <m:den>
              <m:argPr>
                <m:scrLvl m:val="0"/>
              </m:argPr>
              <m:r>
                <m:t>3</m:t>
              </m:r>
            </m:den>
          </m:f>
          <m:r>
            <m:t>,</m:t>
          </m:r>
          <m:sSub>
            <m:e>
              <m:r>
                <m:t>w</m:t>
              </m:r>
            </m:e>
            <m:sub>
              <m:r>
                <m:t>1…6</m:t>
              </m:r>
            </m:sub>
          </m:sSub>
          <m:r>
            <m:t>=</m:t>
          </m:r>
          <m:f>
            <m:fPr>
              <m:type m:val="bar"/>
            </m:fPr>
            <m:num>
              <m:argPr>
                <m:scrLvl m:val="0"/>
              </m:argPr>
              <m:r>
                <m:t>1</m:t>
              </m:r>
            </m:num>
            <m:den>
              <m:argPr>
                <m:scrLvl m:val="0"/>
              </m:argPr>
              <m:r>
                <m:t>18</m:t>
              </m:r>
            </m:den>
          </m:f>
          <m:r>
            <m:t>,</m:t>
          </m:r>
          <m:sSub>
            <m:e>
              <m:r>
                <m:t>w</m:t>
              </m:r>
            </m:e>
            <m:sub>
              <m:r>
                <m:t>7…18</m:t>
              </m:r>
            </m:sub>
          </m:sSub>
          <m:r>
            <m:t>=</m:t>
          </m:r>
          <m:f>
            <m:fPr>
              <m:type m:val="bar"/>
            </m:fPr>
            <m:num>
              <m:argPr>
                <m:scrLvl m:val="0"/>
              </m:argPr>
              <m:r>
                <m:t>1</m:t>
              </m:r>
            </m:num>
            <m:den>
              <m:argPr>
                <m:scrLvl m:val="0"/>
              </m:argPr>
              <m:r>
                <m:t>36</m:t>
              </m:r>
            </m:den>
          </m:f>
        </m:oMath>
      </m:oMathPara>
    </w:p>
    <w:p>
      <w:pPr/>
      <w:r>
        <w:rPr>
          <w:i/>
        </w:rPr>
        <w:t xml:space="preserve">Regularized</w:t>
      </w:r>
      <w:r>
        <w:t xml:space="preserve"> BGK rebuilds the non-equilibrium part from its stress moment before collision, which removes higher-order noise that destabilises plain BGK at low viscosity:</w:t>
      </w:r>
    </w:p>
    <w:p>
      <w:pPr>
        <w:jc w:val="center"/>
      </w:pPr>
      <m:oMathPara>
        <m:oMath>
          <m:sSubSup>
            <m:e>
              <m:r>
                <m:t>f</m:t>
              </m:r>
            </m:e>
            <m:sub>
              <m:r>
                <m:t>i</m:t>
              </m:r>
            </m:sub>
            <m:sup>
              <m:r>
                <m:rPr>
                  <m:sty m:val="p"/>
                </m:rPr>
                <m:t>neq</m:t>
              </m:r>
              <m:r>
                <m:t>,</m:t>
              </m:r>
              <m:r>
                <m:rPr>
                  <m:sty m:val="p"/>
                </m:rPr>
                <m:t>reg</m:t>
              </m:r>
            </m:sup>
          </m:sSubSup>
          <m:r>
            <m:t>=</m:t>
          </m:r>
          <m:f>
            <m:fPr>
              <m:type m:val="bar"/>
            </m:fPr>
            <m:num>
              <m:sSub>
                <m:e>
                  <m:r>
                    <m:t>w</m:t>
                  </m:r>
                </m:e>
                <m:sub>
                  <m:r>
                    <m:t>i</m:t>
                  </m:r>
                </m:sub>
              </m:sSub>
            </m:num>
            <m:den>
              <m:r>
                <m:t>2</m:t>
              </m:r>
              <m:sSubSup>
                <m:e>
                  <m:r>
                    <m:t>c</m:t>
                  </m:r>
                </m:e>
                <m:sub>
                  <m:r>
                    <m:t>s</m:t>
                  </m:r>
                </m:sub>
                <m:sup>
                  <m:r>
                    <m:t>4</m:t>
                  </m:r>
                </m:sup>
              </m:sSubSup>
            </m:den>
          </m:f>
          <m:sSub>
            <m:e>
              <m:r>
                <m:rPr>
                  <m:sty m:val="b"/>
                </m:rPr>
                <m:t>Q</m:t>
              </m:r>
            </m:e>
            <m:sub>
              <m:r>
                <m:t>i</m:t>
              </m:r>
            </m:sub>
          </m:sSub>
          <m:r>
            <m:t>:</m:t>
          </m:r>
          <m:sSup>
            <m:e>
              <m:r>
                <m:rPr>
                  <m:sty m:val="b"/>
                </m:rPr>
                <m:t>Π</m:t>
              </m:r>
            </m:e>
            <m:sup>
              <m:r>
                <m:rPr>
                  <m:sty m:val="p"/>
                </m:rPr>
                <m:t>neq</m:t>
              </m:r>
            </m:sup>
          </m:sSup>
          <m:r>
            <m:t>,</m:t>
          </m:r>
          <m:r>
            <m:rPr>
              <m:sty m:val="p"/>
            </m:rPr>
            <m:t xml:space="preserve"> </m:t>
          </m:r>
          <m:sSub>
            <m:e>
              <m:r>
                <m:rPr>
                  <m:sty m:val="b"/>
                </m:rPr>
                <m:t>Q</m:t>
              </m:r>
            </m:e>
            <m:sub>
              <m:r>
                <m:t>i</m:t>
              </m:r>
            </m:sub>
          </m:sSub>
          <m:r>
            <m:t>=</m:t>
          </m:r>
          <m:sSub>
            <m:e>
              <m:r>
                <m:rPr>
                  <m:sty m:val="b"/>
                </m:rPr>
                <m:t>c</m:t>
              </m:r>
            </m:e>
            <m:sub>
              <m:r>
                <m:t>i</m:t>
              </m:r>
            </m:sub>
          </m:sSub>
          <m:sSub>
            <m:e>
              <m:r>
                <m:rPr>
                  <m:sty m:val="b"/>
                </m:rPr>
                <m:t>c</m:t>
              </m:r>
            </m:e>
            <m:sub>
              <m:r>
                <m:t>i</m:t>
              </m:r>
            </m:sub>
          </m:sSub>
          <m:r>
            <m:t>−</m:t>
          </m:r>
          <m:sSubSup>
            <m:e>
              <m:r>
                <m:t>c</m:t>
              </m:r>
            </m:e>
            <m:sub>
              <m:r>
                <m:t>s</m:t>
              </m:r>
            </m:sub>
            <m:sup>
              <m:r>
                <m:t>2</m:t>
              </m:r>
            </m:sup>
          </m:sSubSup>
          <m:r>
            <m:rPr>
              <m:sty m:val="b"/>
            </m:rPr>
            <m:t>I</m:t>
          </m:r>
          <m:r>
            <m:t>,</m:t>
          </m:r>
          <m:r>
            <m:rPr>
              <m:sty m:val="p"/>
            </m:rPr>
            <m:t xml:space="preserve"> </m:t>
          </m:r>
          <m:sSup>
            <m:e>
              <m:r>
                <m:rPr>
                  <m:sty m:val="b"/>
                </m:rPr>
                <m:t>Π</m:t>
              </m:r>
            </m:e>
            <m:sup>
              <m:r>
                <m:rPr>
                  <m:sty m:val="p"/>
                </m:rPr>
                <m:t>neq</m:t>
              </m:r>
            </m:sup>
          </m:sSup>
          <m:r>
            <m:t>=</m:t>
          </m:r>
          <m:nary>
            <m:naryPr>
              <m:chr m:val="∑"/>
              <m:limLoc m:val="undOvr"/>
              <m:grow m:val="1"/>
              <m:subHide m:val="off"/>
              <m:supHide m:val="on"/>
            </m:naryPr>
            <m:sub>
              <m:r>
                <m:t>i</m:t>
              </m:r>
            </m:sub>
            <m:sup/>
            <m:e>
              <m:sSub>
                <m:e>
                  <m:r>
                    <m:rPr>
                      <m:sty m:val="b"/>
                    </m:rPr>
                    <m:t>c</m:t>
                  </m:r>
                </m:e>
                <m:sub>
                  <m:r>
                    <m:t>i</m:t>
                  </m:r>
                </m:sub>
              </m:sSub>
            </m:e>
          </m:nary>
          <m:sSub>
            <m:e>
              <m:r>
                <m:rPr>
                  <m:sty m:val="b"/>
                </m:rPr>
                <m:t>c</m:t>
              </m:r>
            </m:e>
            <m:sub>
              <m:r>
                <m:t>i</m:t>
              </m:r>
            </m:sub>
          </m:sSub>
          <m:r>
            <m:t>(</m:t>
          </m:r>
          <m:sSub>
            <m:e>
              <m:r>
                <m:t>f</m:t>
              </m:r>
            </m:e>
            <m:sub>
              <m:r>
                <m:t>i</m:t>
              </m:r>
            </m:sub>
          </m:sSub>
          <m:r>
            <m:t>−</m:t>
          </m:r>
          <m:sSubSup>
            <m:e>
              <m:r>
                <m:t>f</m:t>
              </m:r>
            </m:e>
            <m:sub>
              <m:r>
                <m:t>i</m:t>
              </m:r>
            </m:sub>
            <m:sup>
              <m:r>
                <m:rPr>
                  <m:sty m:val="p"/>
                </m:rPr>
                <m:t>eq</m:t>
              </m:r>
            </m:sup>
          </m:sSubSup>
          <m:r>
            <m:t>)</m:t>
          </m:r>
        </m:oMath>
      </m:oMathPara>
    </w:p>
    <w:p>
      <w:pPr/>
      <w:r>
        <w:t xml:space="preserve">The relaxation time sets the viscosity, and the Smagorinsky eddy viscosity is added to it cell by cell:</w:t>
      </w:r>
    </w:p>
    <w:p>
      <w:pPr>
        <w:jc w:val="center"/>
      </w:pPr>
      <m:oMathPara>
        <m:oMath>
          <m:r>
            <m:t>ν=</m:t>
          </m:r>
          <m:sSubSup>
            <m:e>
              <m:r>
                <m:t>c</m:t>
              </m:r>
            </m:e>
            <m:sub>
              <m:r>
                <m:t>s</m:t>
              </m:r>
            </m:sub>
            <m:sup>
              <m:r>
                <m:t>2</m:t>
              </m:r>
            </m:sup>
          </m:sSubSup>
          <m:d>
            <m:dPr>
              <m:sepChr m:val="−"/>
            </m:dPr>
            <m:e>
              <m:r>
                <m:t>τ</m:t>
              </m:r>
            </m:e>
            <m:e>
              <m:f>
                <m:fPr>
                  <m:type m:val="bar"/>
                </m:fPr>
                <m:num>
                  <m:argPr>
                    <m:scrLvl m:val="0"/>
                  </m:argPr>
                  <m:r>
                    <m:t>1</m:t>
                  </m:r>
                </m:num>
                <m:den>
                  <m:argPr>
                    <m:scrLvl m:val="0"/>
                  </m:argPr>
                  <m:r>
                    <m:t>2</m:t>
                  </m:r>
                </m:den>
              </m:f>
            </m:e>
          </m:d>
          <m:r>
            <m:rPr>
              <m:sty m:val="p"/>
            </m:rPr>
            <m:t>Δ</m:t>
          </m:r>
          <m:r>
            <m:t>t,</m:t>
          </m:r>
          <m:r>
            <m:rPr>
              <m:sty m:val="p"/>
            </m:rPr>
            <m:t xml:space="preserve"> </m:t>
          </m:r>
          <m:sSub>
            <m:e>
              <m:r>
                <m:t>ν</m:t>
              </m:r>
            </m:e>
            <m:sub>
              <m:r>
                <m:t>t</m:t>
              </m:r>
            </m:sub>
          </m:sSub>
          <m:r>
            <m:t>=(</m:t>
          </m:r>
          <m:sSub>
            <m:e>
              <m:r>
                <m:t>C</m:t>
              </m:r>
            </m:e>
            <m:sub>
              <m:r>
                <m:t>s</m:t>
              </m:r>
            </m:sub>
          </m:sSub>
          <m:r>
            <m:rPr>
              <m:sty m:val="p"/>
            </m:rPr>
            <m:t>Δ</m:t>
          </m:r>
          <m:r>
            <m:t>x</m:t>
          </m:r>
          <m:sSup>
            <m:e>
              <m:r>
                <m:t>)</m:t>
              </m:r>
            </m:e>
            <m:sup>
              <m:r>
                <m:t>2</m:t>
              </m:r>
            </m:sup>
          </m:sSup>
          <m:r>
            <m:t>|</m:t>
          </m:r>
          <m:bar>
            <m:barPr>
              <m:pos m:val="top"/>
            </m:barPr>
            <m:e>
              <m:r>
                <m:t>S</m:t>
              </m:r>
            </m:e>
          </m:bar>
          <m:r>
            <m:t>|</m:t>
          </m:r>
          <m:r>
            <m:t>,</m:t>
          </m:r>
          <m:r>
            <m:rPr>
              <m:sty m:val="p"/>
            </m:rPr>
            <m:t xml:space="preserve"> </m:t>
          </m:r>
          <m:r>
            <m:t>|</m:t>
          </m:r>
          <m:bar>
            <m:barPr>
              <m:pos m:val="top"/>
            </m:barPr>
            <m:e>
              <m:r>
                <m:t>S</m:t>
              </m:r>
            </m:e>
          </m:bar>
          <m:r>
            <m:t>|</m:t>
          </m:r>
          <m:r>
            <m:t>=</m:t>
          </m:r>
          <m:rad>
            <m:radPr>
              <m:degHide m:val="on"/>
            </m:radPr>
            <m:deg/>
            <m:e>
              <m:r>
                <m:t>2</m:t>
              </m:r>
              <m:sSub>
                <m:e>
                  <m:bar>
                    <m:barPr>
                      <m:pos m:val="top"/>
                    </m:barPr>
                    <m:e>
                      <m:r>
                        <m:t>S</m:t>
                      </m:r>
                    </m:e>
                  </m:bar>
                </m:e>
                <m:sub>
                  <m:r>
                    <m:t>αβ</m:t>
                  </m:r>
                </m:sub>
              </m:sSub>
              <m:sSub>
                <m:e>
                  <m:bar>
                    <m:barPr>
                      <m:pos m:val="top"/>
                    </m:barPr>
                    <m:e>
                      <m:r>
                        <m:t>S</m:t>
                      </m:r>
                    </m:e>
                  </m:bar>
                </m:e>
                <m:sub>
                  <m:r>
                    <m:t>αβ</m:t>
                  </m:r>
                </m:sub>
              </m:sSub>
            </m:e>
          </m:rad>
          <m:r>
            <m:t>,</m:t>
          </m:r>
          <m:r>
            <m:rPr>
              <m:sty m:val="p"/>
            </m:rPr>
            <m:t xml:space="preserve"> </m:t>
          </m:r>
          <m:sSub>
            <m:e>
              <m:r>
                <m:t>C</m:t>
              </m:r>
            </m:e>
            <m:sub>
              <m:r>
                <m:t>s</m:t>
              </m:r>
            </m:sub>
          </m:sSub>
          <m:r>
            <m:t>=0.16</m:t>
          </m:r>
        </m:oMath>
      </m:oMathPara>
    </w:p>
    <w:p/>
    <w:p>
      <w:pPr>
        <w:jc w:val="center"/>
      </w:pPr>
      <m:oMathPara>
        <m:oMath>
          <m:sSub>
            <m:e>
              <m:r>
                <m:t>τ</m:t>
              </m:r>
            </m:e>
            <m:sub>
              <m:r>
                <m:rPr>
                  <m:sty m:val="p"/>
                </m:rPr>
                <m:t>eff</m:t>
              </m:r>
            </m:sub>
          </m:sSub>
          <m:r>
            <m:t>=</m:t>
          </m:r>
          <m:f>
            <m:fPr>
              <m:type m:val="bar"/>
            </m:fPr>
            <m:num>
              <m:r>
                <m:t>1</m:t>
              </m:r>
            </m:num>
            <m:den>
              <m:r>
                <m:t>2</m:t>
              </m:r>
            </m:den>
          </m:f>
          <m:r>
            <m:t>+</m:t>
          </m:r>
          <m:f>
            <m:fPr>
              <m:type m:val="bar"/>
            </m:fPr>
            <m:num>
              <m:r>
                <m:t>ν+</m:t>
              </m:r>
              <m:sSub>
                <m:e>
                  <m:r>
                    <m:t>ν</m:t>
                  </m:r>
                </m:e>
                <m:sub>
                  <m:r>
                    <m:t>t</m:t>
                  </m:r>
                </m:sub>
              </m:sSub>
            </m:num>
            <m:den>
              <m:sSubSup>
                <m:e>
                  <m:r>
                    <m:t>c</m:t>
                  </m:r>
                </m:e>
                <m:sub>
                  <m:r>
                    <m:t>s</m:t>
                  </m:r>
                </m:sub>
                <m:sup>
                  <m:r>
                    <m:t>2</m:t>
                  </m:r>
                </m:sup>
              </m:sSubSup>
              <m:r>
                <m:rPr>
                  <m:sty m:val="p"/>
                </m:rPr>
                <m:t>Δ</m:t>
              </m:r>
              <m:r>
                <m:t>t</m:t>
              </m:r>
            </m:den>
          </m:f>
        </m:oMath>
      </m:oMathPara>
    </w:p>
    <w:p>
      <w:pPr/>
      <w:r>
        <w:t xml:space="preserve">The records state the collision type and C_s = 0.16; the regularization and eddy-viscosity forms above are the standard ones for those names. In WindFlow the effective relaxation time is computed in closed form from the non-equilibrium stress: τ_eff = ½[τ₀ + √(τ₀² + 18√2 C_s² |Π^neq| / ρ)] in lattice units, with τ₀ = ½ + 3ν and ν the larger of air's viscosity and the floor.</w:t>
      </w:r>
    </w:p>
    <w:p>
      <w:pPr>
        <w:pStyle w:val="Heading3"/>
      </w:pPr>
      <w:r>
        <w:t xml:space="preserve">Walls: interpolated (Bouzidi) links</w:t>
      </w:r>
    </w:p>
    <w:p>
      <w:pPr/>
      <w:r>
        <w:t xml:space="preserve">A wall that cuts the link between two cell centres at fraction q of the link is placed at its true position by interpolation, from both sides. That is why a wall thinner than a cell stays leak-tight. Standard linear form, with ī the direction opposite to i and f* the post-collision value:</w:t>
      </w:r>
    </w:p>
    <w:p>
      <w:pPr>
        <w:jc w:val="center"/>
      </w:pPr>
      <m:oMathPara>
        <m:oMath>
          <m:sSub>
            <m:e>
              <m:r>
                <m:t>f</m:t>
              </m:r>
            </m:e>
            <m:sub>
              <m:bar>
                <m:barPr>
                  <m:pos m:val="top"/>
                </m:barPr>
                <m:e>
                  <m:r>
                    <m:t>ı</m:t>
                  </m:r>
                </m:e>
              </m:bar>
            </m:sub>
          </m:sSub>
          <m:r>
            <m:t>(</m:t>
          </m:r>
          <m:sSub>
            <m:e>
              <m:r>
                <m:rPr>
                  <m:sty m:val="b"/>
                </m:rPr>
                <m:t>x</m:t>
              </m:r>
            </m:e>
            <m:sub>
              <m:r>
                <m:t>f</m:t>
              </m:r>
            </m:sub>
          </m:sSub>
          <m:r>
            <m:t>,t+</m:t>
          </m:r>
          <m:r>
            <m:rPr>
              <m:sty m:val="p"/>
            </m:rPr>
            <m:t>Δ</m:t>
          </m:r>
          <m:r>
            <m:t>t)=</m:t>
          </m:r>
          <m:d>
            <m:dPr>
              <m:begChr m:val="{"/>
              <m:sepChr m:val=""/>
              <m:endChr m:val=""/>
            </m:dPr>
            <m:e>
              <m:m>
                <m:mPr>
                  <m:baseJc m:val="center"/>
                  <m:plcHide m:val="on"/>
                  <m:mcs>
                    <m:mc>
                      <m:mcPr>
                        <m:count m:val="2"/>
                        <m:mcJc m:val="center"/>
                      </m:mcPr>
                    </m:mc>
                  </m:mcs>
                </m:mPr>
                <m:mr>
                  <m:e>
                    <m:r>
                      <m:t>2q</m:t>
                    </m:r>
                    <m:sSubSup>
                      <m:e>
                        <m:r>
                          <m:t>f</m:t>
                        </m:r>
                      </m:e>
                      <m:sub>
                        <m:r>
                          <m:t>i</m:t>
                        </m:r>
                      </m:sub>
                      <m:sup>
                        <m:r>
                          <m:t>∗</m:t>
                        </m:r>
                      </m:sup>
                    </m:sSubSup>
                    <m:r>
                      <m:t>(</m:t>
                    </m:r>
                    <m:sSub>
                      <m:e>
                        <m:r>
                          <m:rPr>
                            <m:sty m:val="b"/>
                          </m:rPr>
                          <m:t>x</m:t>
                        </m:r>
                      </m:e>
                      <m:sub>
                        <m:r>
                          <m:t>f</m:t>
                        </m:r>
                      </m:sub>
                    </m:sSub>
                    <m:r>
                      <m:t>)+(1−2q)</m:t>
                    </m:r>
                    <m:sSubSup>
                      <m:e>
                        <m:r>
                          <m:t>f</m:t>
                        </m:r>
                      </m:e>
                      <m:sub>
                        <m:r>
                          <m:t>i</m:t>
                        </m:r>
                      </m:sub>
                      <m:sup>
                        <m:r>
                          <m:t>∗</m:t>
                        </m:r>
                      </m:sup>
                    </m:sSubSup>
                    <m:r>
                      <m:t>(</m:t>
                    </m:r>
                    <m:sSub>
                      <m:e>
                        <m:r>
                          <m:rPr>
                            <m:sty m:val="b"/>
                          </m:rPr>
                          <m:t>x</m:t>
                        </m:r>
                      </m:e>
                      <m:sub>
                        <m:r>
                          <m:t>f</m:t>
                        </m:r>
                      </m:sub>
                    </m:sSub>
                    <m:r>
                      <m:t>−</m:t>
                    </m:r>
                    <m:sSub>
                      <m:e>
                        <m:r>
                          <m:rPr>
                            <m:sty m:val="b"/>
                          </m:rPr>
                          <m:t>c</m:t>
                        </m:r>
                      </m:e>
                      <m:sub>
                        <m:r>
                          <m:t>i</m:t>
                        </m:r>
                      </m:sub>
                    </m:sSub>
                    <m:r>
                      <m:rPr>
                        <m:sty m:val="p"/>
                      </m:rPr>
                      <m:t>Δ</m:t>
                    </m:r>
                    <m:r>
                      <m:t>t),</m:t>
                    </m:r>
                  </m:e>
                  <m:e>
                    <m:r>
                      <m:t>q&lt;</m:t>
                    </m:r>
                    <m:f>
                      <m:fPr>
                        <m:type m:val="bar"/>
                      </m:fPr>
                      <m:num>
                        <m:argPr>
                          <m:scrLvl m:val="0"/>
                        </m:argPr>
                        <m:r>
                          <m:t>1</m:t>
                        </m:r>
                      </m:num>
                      <m:den>
                        <m:argPr>
                          <m:scrLvl m:val="0"/>
                        </m:argPr>
                        <m:r>
                          <m:t>2</m:t>
                        </m:r>
                      </m:den>
                    </m:f>
                  </m:e>
                </m:mr>
                <m:mr>
                  <m:e>
                    <m:f>
                      <m:fPr>
                        <m:type m:val="bar"/>
                      </m:fPr>
                      <m:num>
                        <m:argPr>
                          <m:scrLvl m:val="0"/>
                        </m:argPr>
                        <m:r>
                          <m:t>1</m:t>
                        </m:r>
                      </m:num>
                      <m:den>
                        <m:argPr>
                          <m:scrLvl m:val="0"/>
                        </m:argPr>
                        <m:r>
                          <m:t>2q</m:t>
                        </m:r>
                      </m:den>
                    </m:f>
                    <m:sSubSup>
                      <m:e>
                        <m:r>
                          <m:t>f</m:t>
                        </m:r>
                      </m:e>
                      <m:sub>
                        <m:r>
                          <m:t>i</m:t>
                        </m:r>
                      </m:sub>
                      <m:sup>
                        <m:r>
                          <m:t>∗</m:t>
                        </m:r>
                      </m:sup>
                    </m:sSubSup>
                    <m:r>
                      <m:t>(</m:t>
                    </m:r>
                    <m:sSub>
                      <m:e>
                        <m:r>
                          <m:rPr>
                            <m:sty m:val="b"/>
                          </m:rPr>
                          <m:t>x</m:t>
                        </m:r>
                      </m:e>
                      <m:sub>
                        <m:r>
                          <m:t>f</m:t>
                        </m:r>
                      </m:sub>
                    </m:sSub>
                    <m:r>
                      <m:t>)+</m:t>
                    </m:r>
                    <m:f>
                      <m:fPr>
                        <m:type m:val="bar"/>
                      </m:fPr>
                      <m:num>
                        <m:argPr>
                          <m:scrLvl m:val="0"/>
                        </m:argPr>
                        <m:r>
                          <m:t>2q−1</m:t>
                        </m:r>
                      </m:num>
                      <m:den>
                        <m:argPr>
                          <m:scrLvl m:val="0"/>
                        </m:argPr>
                        <m:r>
                          <m:t>2q</m:t>
                        </m:r>
                      </m:den>
                    </m:f>
                    <m:sSubSup>
                      <m:e>
                        <m:r>
                          <m:t>f</m:t>
                        </m:r>
                      </m:e>
                      <m:sub>
                        <m:bar>
                          <m:barPr>
                            <m:pos m:val="top"/>
                          </m:barPr>
                          <m:e>
                            <m:r>
                              <m:t>ı</m:t>
                            </m:r>
                          </m:e>
                        </m:bar>
                      </m:sub>
                      <m:sup>
                        <m:r>
                          <m:t>∗</m:t>
                        </m:r>
                      </m:sup>
                    </m:sSubSup>
                    <m:r>
                      <m:t>(</m:t>
                    </m:r>
                    <m:sSub>
                      <m:e>
                        <m:r>
                          <m:rPr>
                            <m:sty m:val="b"/>
                          </m:rPr>
                          <m:t>x</m:t>
                        </m:r>
                      </m:e>
                      <m:sub>
                        <m:r>
                          <m:t>f</m:t>
                        </m:r>
                      </m:sub>
                    </m:sSub>
                    <m:r>
                      <m:t>),</m:t>
                    </m:r>
                  </m:e>
                  <m:e>
                    <m:r>
                      <m:t>q≥</m:t>
                    </m:r>
                    <m:f>
                      <m:fPr>
                        <m:type m:val="bar"/>
                      </m:fPr>
                      <m:num>
                        <m:argPr>
                          <m:scrLvl m:val="0"/>
                        </m:argPr>
                        <m:r>
                          <m:t>1</m:t>
                        </m:r>
                      </m:num>
                      <m:den>
                        <m:argPr>
                          <m:scrLvl m:val="0"/>
                        </m:argPr>
                        <m:r>
                          <m:t>2</m:t>
                        </m:r>
                      </m:den>
                    </m:f>
                  </m:e>
                </m:mr>
              </m:m>
            </m:e>
          </m:d>
        </m:oMath>
      </m:oMathPara>
    </w:p>
    <w:p>
      <w:pPr/>
      <w:r>
        <w:t xml:space="preserve">Thermal walls use plain halfway bounce-back (the wall at q = ½ regardless of its true position). In a channel test the interpolated wall reads the width to within 5 % (5.37 against 5.40 cells); halfway bounce-back is 9.2 % off.</w:t>
      </w:r>
    </w:p>
    <w:p>
      <w:pPr>
        <w:pStyle w:val="Heading3"/>
      </w:pPr>
      <w:r>
        <w:t xml:space="preserve">Speed</w:t>
      </w:r>
    </w:p>
    <w:tbl>
      <w:tblPr>
        <w:tblStyle w:val="TableGrid"/>
        <w:tblW w:w="0" w:type="auto"/>
        <w:tblLayout w:type="fixed"/>
        <w:tblLook w:val="04A0" w:firstRow="1" w:lastRow="0" w:firstColumn="0" w:lastColumn="0" w:noHBand="0" w:noVBand="1"/>
      </w:tblPr>
      <w:tblGrid>
        <w:gridCol w:w="4440"/>
        <w:gridCol w:w="4920"/>
      </w:tblGrid>
      <w:tr>
        <w:trPr>
          <w:tblHeader/>
        </w:trPr>
        <w:tc>
          <w:tcPr>
            <w:tcW w:w="4440" w:type="dxa"/>
            <w:shd w:val="clear" w:color="auto" w:fill="F3F0EA"/>
          </w:tcPr>
          <w:p>
            <w:pPr/>
            <w:r>
              <w:t xml:space="preserve">Measure</w:t>
            </w:r>
          </w:p>
        </w:tc>
        <w:tc>
          <w:tcPr>
            <w:tcW w:w="4920" w:type="dxa"/>
            <w:shd w:val="clear" w:color="auto" w:fill="F3F0EA"/>
          </w:tcPr>
          <w:p>
            <w:pPr/>
            <w:r>
              <w:t xml:space="preserve">Value</w:t>
            </w:r>
          </w:p>
        </w:tc>
      </w:tr>
      <w:tr>
        <w:tc>
          <w:tcPr>
            <w:tcW w:w="4440" w:type="dxa"/>
          </w:tcPr>
          <w:p>
            <w:pPr/>
            <w:r>
              <w:t xml:space="preserve">Isothermal throughput, RTX 5070 Ti, Accurate grid</w:t>
            </w:r>
          </w:p>
        </w:tc>
        <w:tc>
          <w:tcPr>
            <w:tcW w:w="4920" w:type="dxa"/>
          </w:tcPr>
          <w:p>
            <w:pPr/>
            <w:r>
              <w:t xml:space="preserve">about 1,300 to 3,400 MLUPS depending on load and grid (about 3,390 in a clean benchmark)</w:t>
            </w:r>
          </w:p>
        </w:tc>
      </w:tr>
      <w:tr>
        <w:tc>
          <w:tcPr>
            <w:tcW w:w="4440" w:type="dxa"/>
          </w:tcPr>
          <w:p>
            <w:pPr/>
            <w:r>
              <w:t xml:space="preserve">With thermal on</w:t>
            </w:r>
          </w:p>
        </w:tc>
        <w:tc>
          <w:tcPr>
            <w:tcW w:w="4920" w:type="dxa"/>
          </w:tcPr>
          <w:p>
            <w:pPr/>
            <w:r>
              <w:t xml:space="preserve">about 1,300 MLUPS</w:t>
            </w:r>
          </w:p>
        </w:tc>
      </w:tr>
      <w:tr>
        <w:tc>
          <w:tcPr>
            <w:tcW w:w="4440" w:type="dxa"/>
          </w:tcPr>
          <w:p>
            <w:pPr/>
            <w:r>
              <w:t xml:space="preserve">Online age-of-air cost</w:t>
            </w:r>
          </w:p>
        </w:tc>
        <w:tc>
          <w:tcPr>
            <w:tcW w:w="4920" w:type="dxa"/>
          </w:tcPr>
          <w:p>
            <w:pPr/>
            <w:r>
              <w:t xml:space="preserve">+6 to 8 % per step, about 17 bytes per cell on the GPU</w:t>
            </w:r>
          </w:p>
        </w:tc>
      </w:tr>
      <w:tr>
        <w:tc>
          <w:tcPr>
            <w:tcW w:w="4440" w:type="dxa"/>
          </w:tcPr>
          <w:p>
            <w:pPr/>
            <w:r>
              <w:t xml:space="preserve">Live display refresh</w:t>
            </w:r>
          </w:p>
        </w:tc>
        <w:tc>
          <w:tcPr>
            <w:tcW w:w="4920" w:type="dxa"/>
          </w:tcPr>
          <w:p>
            <w:pPr/>
            <w:r>
              <w:t xml:space="preserve">up to about 10 per second, particles advected through the field</w:t>
            </w:r>
          </w:p>
        </w:tc>
      </w:tr>
    </w:tbl>
    <w:p>
      <w:pPr/>
      <w:r>
        <w:t xml:space="preserve">MLUPS = million lattice-cell updates per second. Steps per second follow directly:</w:t>
      </w:r>
    </w:p>
    <w:p>
      <w:pPr>
        <w:jc w:val="center"/>
      </w:pPr>
      <m:oMathPara>
        <m:oMath>
          <m:r>
            <m:rPr>
              <m:nor/>
            </m:rPr>
            <m:t xml:space="preserve"> steps/s </m:t>
          </m:r>
          <m:r>
            <m:t>=</m:t>
          </m:r>
          <m:f>
            <m:fPr>
              <m:type m:val="bar"/>
            </m:fPr>
            <m:num>
              <m:r>
                <m:rPr>
                  <m:sty m:val="p"/>
                </m:rPr>
                <m:t>MLUPS</m:t>
              </m:r>
              <m:r>
                <m:t>×</m:t>
              </m:r>
              <m:sSup>
                <m:e>
                  <m:r>
                    <m:t>10</m:t>
                  </m:r>
                </m:e>
                <m:sup>
                  <m:r>
                    <m:t>6</m:t>
                  </m:r>
                </m:sup>
              </m:sSup>
            </m:num>
            <m:den>
              <m:sSub>
                <m:e>
                  <m:r>
                    <m:t>N</m:t>
                  </m:r>
                </m:e>
                <m:sub>
                  <m:r>
                    <m:rPr>
                      <m:sty m:val="p"/>
                    </m:rPr>
                    <m:t>cells</m:t>
                  </m:r>
                </m:sub>
              </m:sSub>
            </m:den>
          </m:f>
        </m:oMath>
      </m:oMathPara>
    </w:p>
    <w:p>
      <w:pPr/>
      <w:r>
        <w:t xml:space="preserve">For the sample house at Standard (5.09 M cells) that is, at a clean 3,100 MLUPS, about 3,100 × 10⁶ ÷ 5.09 × 10⁶ ≈ 610 steps per second isothermal (about 255 steps per second at 1,300), before the online age.</w:t>
      </w:r>
    </w:p>
    <w:p>
      <w:pPr>
        <w:pStyle w:val="Heading2"/>
      </w:pPr>
      <w:r>
        <w:t xml:space="preserve">3. The viscosity floor</w:t>
      </w:r>
    </w:p>
    <w:p>
      <w:pPr/>
      <w:r>
        <w:t xml:space="preserve">For stability the solver never lets its lattice viscosity fall below 5 × 10⁻⁴ (lattice units). On building-scale grids that makes the simulated air about 150 to 850 times more viscous than real air, so jets through windows and supplies behave like laminar jets with an effective Reynolds number of a few hundred instead of about 10⁵. Treat absolute air changes and jet reach as indicative.</w:t>
      </w:r>
    </w:p>
    <w:p>
      <w:pPr>
        <w:pStyle w:val="Heading3"/>
      </w:pPr>
      <w:r>
        <w:t xml:space="preserve">Why the penalty grows with cell size</w:t>
      </w:r>
    </w:p>
    <w:p>
      <w:pPr/>
      <w:r>
        <w:t xml:space="preserve">Lattice and physical viscosity are linked through the cell size and time step. The time step is set by keeping the lattice wind speed U_lat (a lattice Mach number) fixed, so:</w:t>
      </w:r>
    </w:p>
    <w:p>
      <w:pPr>
        <w:jc w:val="center"/>
      </w:pPr>
      <m:oMathPara>
        <m:oMath>
          <m:sSub>
            <m:e>
              <m:r>
                <m:t>ν</m:t>
              </m:r>
            </m:e>
            <m:sub>
              <m:r>
                <m:rPr>
                  <m:sty m:val="p"/>
                </m:rPr>
                <m:t>phys</m:t>
              </m:r>
            </m:sub>
          </m:sSub>
          <m:r>
            <m:t>=</m:t>
          </m:r>
          <m:sSub>
            <m:e>
              <m:r>
                <m:t>ν</m:t>
              </m:r>
            </m:e>
            <m:sub>
              <m:r>
                <m:rPr>
                  <m:sty m:val="p"/>
                </m:rPr>
                <m:t>lat</m:t>
              </m:r>
            </m:sub>
          </m:sSub>
          <m:f>
            <m:fPr>
              <m:type m:val="bar"/>
            </m:fPr>
            <m:num>
              <m:r>
                <m:rPr>
                  <m:sty m:val="p"/>
                </m:rPr>
                <m:t>Δ</m:t>
              </m:r>
              <m:sSup>
                <m:e>
                  <m:r>
                    <m:t>x</m:t>
                  </m:r>
                </m:e>
                <m:sup>
                  <m:r>
                    <m:t>2</m:t>
                  </m:r>
                </m:sup>
              </m:sSup>
            </m:num>
            <m:den>
              <m:r>
                <m:rPr>
                  <m:sty m:val="p"/>
                </m:rPr>
                <m:t>Δ</m:t>
              </m:r>
              <m:r>
                <m:t>t</m:t>
              </m:r>
            </m:den>
          </m:f>
          <m:r>
            <m:t>,</m:t>
          </m:r>
          <m:r>
            <m:rPr>
              <m:sty m:val="p"/>
            </m:rPr>
            <m:t xml:space="preserve"> </m:t>
          </m:r>
          <m:r>
            <m:rPr>
              <m:sty m:val="p"/>
            </m:rPr>
            <m:t>Δ</m:t>
          </m:r>
          <m:r>
            <m:t>t=</m:t>
          </m:r>
          <m:f>
            <m:fPr>
              <m:type m:val="bar"/>
            </m:fPr>
            <m:num>
              <m:sSub>
                <m:e>
                  <m:r>
                    <m:t>U</m:t>
                  </m:r>
                </m:e>
                <m:sub>
                  <m:r>
                    <m:rPr>
                      <m:sty m:val="p"/>
                    </m:rPr>
                    <m:t>lat</m:t>
                  </m:r>
                </m:sub>
              </m:sSub>
              <m:r>
                <m:rPr>
                  <m:sty m:val="p"/>
                </m:rPr>
                <m:t>Δ</m:t>
              </m:r>
              <m:r>
                <m:t>x</m:t>
              </m:r>
            </m:num>
            <m:den>
              <m:r>
                <m:t>U</m:t>
              </m:r>
            </m:den>
          </m:f>
          <m:r>
            <m:rPr>
              <m:sty m:val="p"/>
            </m:rPr>
            <m:t xml:space="preserve"> </m:t>
          </m:r>
          <m:r>
            <m:t>⟹</m:t>
          </m:r>
          <m:r>
            <m:rPr>
              <m:sty m:val="p"/>
            </m:rPr>
            <m:t xml:space="preserve"> </m:t>
          </m:r>
          <m:sSub>
            <m:e>
              <m:r>
                <m:t>ν</m:t>
              </m:r>
            </m:e>
            <m:sub>
              <m:r>
                <m:rPr>
                  <m:sty m:val="p"/>
                </m:rPr>
                <m:t>phys</m:t>
              </m:r>
            </m:sub>
          </m:sSub>
          <m:r>
            <m:t>=</m:t>
          </m:r>
          <m:sSub>
            <m:e>
              <m:r>
                <m:t>ν</m:t>
              </m:r>
            </m:e>
            <m:sub>
              <m:r>
                <m:rPr>
                  <m:sty m:val="p"/>
                </m:rPr>
                <m:t>lat</m:t>
              </m:r>
            </m:sub>
          </m:sSub>
          <m:f>
            <m:fPr>
              <m:type m:val="bar"/>
            </m:fPr>
            <m:num>
              <m:r>
                <m:t>U</m:t>
              </m:r>
              <m:r>
                <m:rPr>
                  <m:sty m:val="p"/>
                </m:rPr>
                <m:t>Δ</m:t>
              </m:r>
              <m:r>
                <m:t>x</m:t>
              </m:r>
            </m:num>
            <m:den>
              <m:sSub>
                <m:e>
                  <m:r>
                    <m:t>U</m:t>
                  </m:r>
                </m:e>
                <m:sub>
                  <m:r>
                    <m:rPr>
                      <m:sty m:val="p"/>
                    </m:rPr>
                    <m:t>lat</m:t>
                  </m:r>
                </m:sub>
              </m:sSub>
            </m:den>
          </m:f>
          <m:r>
            <m:t>∝</m:t>
          </m:r>
          <m:r>
            <m:rPr>
              <m:sty m:val="p"/>
            </m:rPr>
            <m:t>Δ</m:t>
          </m:r>
          <m:r>
            <m:t>x</m:t>
          </m:r>
        </m:oMath>
      </m:oMathPara>
    </w:p>
    <w:p>
      <w:pPr/>
      <w:r>
        <w:t xml:space="preserve">At a fixed floor, the simulated viscosity grows in proportion to the cell size. The records bear this out: Preview cells (254.5 mm) are 1.50 times Standard cells (169.6 mm), and the viscosity penalty is about 470 times against about 310 times, a ratio of 1.52. The validation cases, at much finer cells, run at only 4 to 28 times.</w:t>
      </w:r>
    </w:p>
    <w:p>
      <w:pPr>
        <w:pStyle w:val="Heading3"/>
      </w:pPr>
      <w:r>
        <w:t xml:space="preserve">What it does to jets</w:t>
      </w:r>
    </w:p>
    <w:p>
      <w:pPr/>
      <w:r>
        <w:t xml:space="preserve">The Reynolds number of a jet through an opening N cells across depends on the cell count, not on the physical width:</w:t>
      </w:r>
    </w:p>
    <w:p>
      <w:pPr>
        <w:jc w:val="center"/>
      </w:pPr>
      <m:oMathPara>
        <m:oMath>
          <m:sSub>
            <m:e>
              <m:r>
                <m:rPr>
                  <m:sty m:val="p"/>
                </m:rPr>
                <m:t>Re</m:t>
              </m:r>
            </m:e>
            <m:sub>
              <m:r>
                <m:rPr>
                  <m:sty m:val="p"/>
                </m:rPr>
                <m:t>eff</m:t>
              </m:r>
            </m:sub>
          </m:sSub>
          <m:r>
            <m:t>=</m:t>
          </m:r>
          <m:f>
            <m:fPr>
              <m:type m:val="bar"/>
            </m:fPr>
            <m:num>
              <m:r>
                <m:t>U</m:t>
              </m:r>
              <m:r>
                <m:t>L</m:t>
              </m:r>
            </m:num>
            <m:den>
              <m:sSub>
                <m:e>
                  <m:r>
                    <m:t>ν</m:t>
                  </m:r>
                </m:e>
                <m:sub>
                  <m:r>
                    <m:rPr>
                      <m:sty m:val="p"/>
                    </m:rPr>
                    <m:t>phys</m:t>
                  </m:r>
                </m:sub>
              </m:sSub>
            </m:den>
          </m:f>
          <m:r>
            <m:t>=N</m:t>
          </m:r>
          <m:f>
            <m:fPr>
              <m:type m:val="bar"/>
            </m:fPr>
            <m:num>
              <m:sSub>
                <m:e>
                  <m:r>
                    <m:t>U</m:t>
                  </m:r>
                </m:e>
                <m:sub>
                  <m:r>
                    <m:rPr>
                      <m:sty m:val="p"/>
                    </m:rPr>
                    <m:t>lat</m:t>
                  </m:r>
                </m:sub>
              </m:sSub>
            </m:num>
            <m:den>
              <m:sSub>
                <m:e>
                  <m:r>
                    <m:t>ν</m:t>
                  </m:r>
                </m:e>
                <m:sub>
                  <m:r>
                    <m:rPr>
                      <m:sty m:val="p"/>
                    </m:rPr>
                    <m:t>lat</m:t>
                  </m:r>
                </m:sub>
              </m:sSub>
            </m:den>
          </m:f>
          <m:r>
            <m:t>,</m:t>
          </m:r>
          <m:r>
            <m:rPr>
              <m:sty m:val="p"/>
            </m:rPr>
            <m:t xml:space="preserve"> </m:t>
          </m:r>
          <m:r>
            <m:t>N=L</m:t>
          </m:r>
          <m:r>
            <m:t>/</m:t>
          </m:r>
          <m:r>
            <m:rPr>
              <m:sty m:val="p"/>
            </m:rPr>
            <m:t>Δ</m:t>
          </m:r>
          <m:r>
            <m:t>x</m:t>
          </m:r>
        </m:oMath>
      </m:oMathPara>
    </w:p>
    <w:p>
      <w:pPr/>
      <w:r>
        <w:t xml:space="preserve">With openings 4 to 16 cells across this lands at a few hundred, where a real window jet sits near 10⁵. Laminar jets spread and decay differently from turbulent ones, which is the main reason jet reach and absolute ACH are indicative only. In the Annex 20 room the effective Reynolds number before the sub-grid term is about 1,280 against the specification's 5,000.</w:t>
      </w:r>
    </w:p>
    <w:p>
      <w:pPr>
        <w:pStyle w:val="Heading3"/>
      </w:pPr>
      <w:r>
        <w:t xml:space="preserve">Measured sensitivity</w:t>
      </w:r>
    </w:p>
    <w:p>
      <w:pPr/>
      <w:r>
        <w:t xml:space="preserve">Lowering the floor from 5 × 10⁻⁴ to 1 × 10⁻⁴ changes results substantially, and not all in one direction.</w:t>
      </w:r>
    </w:p>
    <w:tbl>
      <w:tblPr>
        <w:tblStyle w:val="TableGrid"/>
        <w:tblW w:w="0" w:type="auto"/>
        <w:tblLayout w:type="fixed"/>
        <w:tblLook w:val="04A0" w:firstRow="1" w:lastRow="0" w:firstColumn="0" w:lastColumn="0" w:noHBand="0" w:noVBand="1"/>
      </w:tblPr>
      <w:tblGrid>
        <w:gridCol w:w="3208"/>
        <w:gridCol w:w="1305"/>
        <w:gridCol w:w="1305"/>
        <w:gridCol w:w="3542"/>
      </w:tblGrid>
      <w:tr>
        <w:trPr>
          <w:tblHeader/>
        </w:trPr>
        <w:tc>
          <w:tcPr>
            <w:tcW w:w="3208" w:type="dxa"/>
            <w:shd w:val="clear" w:color="auto" w:fill="F3F0EA"/>
          </w:tcPr>
          <w:p>
            <w:pPr/>
            <w:r>
              <w:t xml:space="preserve">Case</w:t>
            </w:r>
          </w:p>
        </w:tc>
        <w:tc>
          <w:tcPr>
            <w:tcW w:w="1305" w:type="dxa"/>
            <w:shd w:val="clear" w:color="auto" w:fill="F3F0EA"/>
          </w:tcPr>
          <w:p>
            <w:pPr/>
            <w:r>
              <w:t xml:space="preserve">Floor 5e-4</w:t>
            </w:r>
          </w:p>
        </w:tc>
        <w:tc>
          <w:tcPr>
            <w:tcW w:w="1305" w:type="dxa"/>
            <w:shd w:val="clear" w:color="auto" w:fill="F3F0EA"/>
          </w:tcPr>
          <w:p>
            <w:pPr/>
            <w:r>
              <w:t xml:space="preserve">Floor 1e-4</w:t>
            </w:r>
          </w:p>
        </w:tc>
        <w:tc>
          <w:tcPr>
            <w:tcW w:w="3542" w:type="dxa"/>
            <w:shd w:val="clear" w:color="auto" w:fill="F3F0EA"/>
          </w:tcPr>
          <w:p>
            <w:pPr/>
            <w:r>
              <w:t xml:space="preserve">Effect of lowering</w:t>
            </w:r>
          </w:p>
        </w:tc>
      </w:tr>
      <w:tr>
        <w:tc>
          <w:tcPr>
            <w:tcW w:w="3208" w:type="dxa"/>
          </w:tcPr>
          <w:p>
            <w:pPr/>
            <w:r>
              <w:t xml:space="preserve">Sample house, Living ACH</w:t>
            </w:r>
          </w:p>
        </w:tc>
        <w:tc>
          <w:tcPr>
            <w:tcW w:w="1305" w:type="dxa"/>
          </w:tcPr>
          <w:p>
            <w:pPr/>
            <w:r>
              <w:t xml:space="preserve">13.4</w:t>
            </w:r>
          </w:p>
        </w:tc>
        <w:tc>
          <w:tcPr>
            <w:tcW w:w="1305" w:type="dxa"/>
          </w:tcPr>
          <w:p>
            <w:pPr/>
            <w:r>
              <w:t xml:space="preserve">9.4</w:t>
            </w:r>
          </w:p>
        </w:tc>
        <w:tc>
          <w:tcPr>
            <w:tcW w:w="3542" w:type="dxa"/>
          </w:tcPr>
          <w:p>
            <w:pPr/>
            <w:r>
              <w:t xml:space="preserve">−30 %</w:t>
            </w:r>
          </w:p>
        </w:tc>
      </w:tr>
      <w:tr>
        <w:tc>
          <w:tcPr>
            <w:tcW w:w="3208" w:type="dxa"/>
          </w:tcPr>
          <w:p>
            <w:pPr/>
            <w:r>
              <w:t xml:space="preserve">Sample house, Kitchen ACH</w:t>
            </w:r>
          </w:p>
        </w:tc>
        <w:tc>
          <w:tcPr>
            <w:tcW w:w="1305" w:type="dxa"/>
          </w:tcPr>
          <w:p>
            <w:pPr/>
            <w:r>
              <w:t xml:space="preserve">—</w:t>
            </w:r>
          </w:p>
        </w:tc>
        <w:tc>
          <w:tcPr>
            <w:tcW w:w="1305" w:type="dxa"/>
          </w:tcPr>
          <w:p>
            <w:pPr/>
            <w:r>
              <w:t xml:space="preserve">—</w:t>
            </w:r>
          </w:p>
        </w:tc>
        <w:tc>
          <w:tcPr>
            <w:tcW w:w="3542" w:type="dxa"/>
          </w:tcPr>
          <w:p>
            <w:pPr/>
            <w:r>
              <w:t xml:space="preserve">−15 %; Kitchen window flow reverses</w:t>
            </w:r>
          </w:p>
        </w:tc>
      </w:tr>
      <w:tr>
        <w:tc>
          <w:tcPr>
            <w:tcW w:w="3208" w:type="dxa"/>
          </w:tcPr>
          <w:p>
            <w:pPr/>
            <w:r>
              <w:t xml:space="preserve">IEA Annex 20, hit rate q</w:t>
            </w:r>
          </w:p>
        </w:tc>
        <w:tc>
          <w:tcPr>
            <w:tcW w:w="1305" w:type="dxa"/>
          </w:tcPr>
          <w:p>
            <w:pPr/>
            <w:r>
              <w:t xml:space="preserve">0.453</w:t>
            </w:r>
          </w:p>
        </w:tc>
        <w:tc>
          <w:tcPr>
            <w:tcW w:w="1305" w:type="dxa"/>
          </w:tcPr>
          <w:p>
            <w:pPr/>
            <w:r>
              <w:t xml:space="preserve">0.557</w:t>
            </w:r>
          </w:p>
        </w:tc>
        <w:tc>
          <w:tcPr>
            <w:tcW w:w="3542" w:type="dxa"/>
          </w:tcPr>
          <w:p>
            <w:pPr/>
            <w:r>
              <w:t xml:space="preserve">Better on all four metrics</w:t>
            </w:r>
          </w:p>
        </w:tc>
      </w:tr>
      <w:tr>
        <w:tc>
          <w:tcPr>
            <w:tcW w:w="3208" w:type="dxa"/>
          </w:tcPr>
          <w:p>
            <w:pPr/>
            <w:r>
              <w:t xml:space="preserve">Cross-ventilation, hit rate q</w:t>
            </w:r>
          </w:p>
        </w:tc>
        <w:tc>
          <w:tcPr>
            <w:tcW w:w="1305" w:type="dxa"/>
          </w:tcPr>
          <w:p>
            <w:pPr/>
            <w:r>
              <w:t xml:space="preserve">0.746</w:t>
            </w:r>
          </w:p>
        </w:tc>
        <w:tc>
          <w:tcPr>
            <w:tcW w:w="1305" w:type="dxa"/>
          </w:tcPr>
          <w:p>
            <w:pPr/>
            <w:r>
              <w:t xml:space="preserve">0.587</w:t>
            </w:r>
          </w:p>
        </w:tc>
        <w:tc>
          <w:tcPr>
            <w:tcW w:w="3542" w:type="dxa"/>
          </w:tcPr>
          <w:p>
            <w:pPr/>
            <w:r>
              <w:t xml:space="preserve">Worse on q and NMSE</w:t>
            </w:r>
          </w:p>
        </w:tc>
      </w:tr>
      <w:tr>
        <w:tc>
          <w:tcPr>
            <w:tcW w:w="3208" w:type="dxa"/>
          </w:tcPr>
          <w:p>
            <w:pPr/>
            <w:r>
              <w:t xml:space="preserve">MINIBAT ceiling jet</w:t>
            </w:r>
          </w:p>
        </w:tc>
        <w:tc>
          <w:tcPr>
            <w:tcW w:w="1305" w:type="dxa"/>
          </w:tcPr>
          <w:p>
            <w:pPr/>
            <w:r>
              <w:t xml:space="preserve">—</w:t>
            </w:r>
          </w:p>
        </w:tc>
        <w:tc>
          <w:tcPr>
            <w:tcW w:w="1305" w:type="dxa"/>
          </w:tcPr>
          <w:p>
            <w:pPr/>
            <w:r>
              <w:t xml:space="preserve">—</w:t>
            </w:r>
          </w:p>
        </w:tc>
        <w:tc>
          <w:tcPr>
            <w:tcW w:w="3542" w:type="dxa"/>
          </w:tcPr>
          <w:p>
            <w:pPr/>
            <w:r>
              <w:t xml:space="preserve">Worse on all four metrics</w:t>
            </w:r>
          </w:p>
        </w:tc>
      </w:tr>
    </w:tbl>
    <w:p>
      <w:pPr/>
      <w:r>
        <w:t xml:space="preserve">The decision rule's verdict (October 2026 re-run) was “WORSE: keep 5e-4”, because one validation case improved and two got worse.</w:t>
      </w:r>
    </w:p>
    <w:p>
      <w:pPr>
        <w:pStyle w:val="Heading2"/>
      </w:pPr>
      <w:r>
        <w:t xml:space="preserve">4. Building geometry and openings</w:t>
      </w:r>
    </w:p>
    <w:p>
      <w:pPr/>
      <w:r>
        <w:t xml:space="preserve">The model (metres; X and Y horizontal, Z up) is turned into a grid of air, solid, fixed and device cells, with an outdoor margin so the wind passes over the roof and around the façades. Openings are the most grid-sensitive part of the model: an opening's effective discharge coefficient depends on how many cells fit across it and where it falls on the grid.</w:t>
      </w:r>
    </w:p>
    <w:p>
      <w:pPr>
        <w:pStyle w:val="Heading3"/>
      </w:pPr>
      <w:r>
        <w:t xml:space="preserve">Voxelisation</w:t>
      </w:r>
    </w:p>
    <w:tbl>
      <w:tblPr>
        <w:tblStyle w:val="TableGrid"/>
        <w:tblW w:w="0" w:type="auto"/>
        <w:tblLayout w:type="fixed"/>
        <w:tblLook w:val="04A0" w:firstRow="1" w:lastRow="0" w:firstColumn="0" w:lastColumn="0" w:noHBand="0" w:noVBand="1"/>
      </w:tblPr>
      <w:tblGrid>
        <w:gridCol w:w="4818"/>
        <w:gridCol w:w="4542"/>
      </w:tblGrid>
      <w:tr>
        <w:trPr>
          <w:tblHeader/>
        </w:trPr>
        <w:tc>
          <w:tcPr>
            <w:tcW w:w="4818" w:type="dxa"/>
            <w:shd w:val="clear" w:color="auto" w:fill="F3F0EA"/>
          </w:tcPr>
          <w:p>
            <w:pPr/>
            <w:r>
              <w:t xml:space="preserve">Check</w:t>
            </w:r>
          </w:p>
        </w:tc>
        <w:tc>
          <w:tcPr>
            <w:tcW w:w="4542" w:type="dxa"/>
            <w:shd w:val="clear" w:color="auto" w:fill="F3F0EA"/>
          </w:tcPr>
          <w:p>
            <w:pPr/>
            <w:r>
              <w:t xml:space="preserve">Result</w:t>
            </w:r>
          </w:p>
        </w:tc>
      </w:tr>
      <w:tr>
        <w:tc>
          <w:tcPr>
            <w:tcW w:w="4818" w:type="dxa"/>
          </w:tcPr>
          <w:p>
            <w:pPr/>
            <w:r>
              <w:t xml:space="preserve">Room air volume against nominal, Preview (254.5 mm cells)</w:t>
            </w:r>
          </w:p>
        </w:tc>
        <w:tc>
          <w:tcPr>
            <w:tcW w:w="4542" w:type="dxa"/>
          </w:tcPr>
          <w:p>
            <w:pPr/>
            <w:r>
              <w:t xml:space="preserve">−6.3 to +2.1 %</w:t>
            </w:r>
          </w:p>
        </w:tc>
      </w:tr>
      <w:tr>
        <w:tc>
          <w:tcPr>
            <w:tcW w:w="4818" w:type="dxa"/>
          </w:tcPr>
          <w:p>
            <w:pPr/>
            <w:r>
              <w:t xml:space="preserve">Room air volume against nominal, Accurate (169.6 mm cells)</w:t>
            </w:r>
          </w:p>
        </w:tc>
        <w:tc>
          <w:tcPr>
            <w:tcW w:w="4542" w:type="dxa"/>
          </w:tcPr>
          <w:p>
            <w:pPr/>
            <w:r>
              <w:t xml:space="preserve">−5.1 to +3.7 %</w:t>
            </w:r>
          </w:p>
        </w:tc>
      </w:tr>
      <w:tr>
        <w:tc>
          <w:tcPr>
            <w:tcW w:w="4818" w:type="dxa"/>
          </w:tcPr>
          <w:p>
            <w:pPr/>
            <w:r>
              <w:t xml:space="preserve">50 mm partition on a 255 mm grid</w:t>
            </w:r>
          </w:p>
        </w:tc>
        <w:tc>
          <w:tcPr>
            <w:tcW w:w="4542" w:type="dxa"/>
          </w:tcPr>
          <w:p>
            <w:pPr/>
            <w:r>
              <w:t xml:space="preserve">0.0000 m³/s leak; 0 of 60 probes leaked</w:t>
            </w:r>
          </w:p>
        </w:tc>
      </w:tr>
      <w:tr>
        <w:tc>
          <w:tcPr>
            <w:tcW w:w="4818" w:type="dxa"/>
          </w:tcPr>
          <w:p>
            <w:pPr/>
            <w:r>
              <w:t xml:space="preserve">Interpolated wall position in a channel</w:t>
            </w:r>
          </w:p>
        </w:tc>
        <w:tc>
          <w:tcPr>
            <w:tcW w:w="4542" w:type="dxa"/>
          </w:tcPr>
          <w:p>
            <w:pPr/>
            <w:r>
              <w:t xml:space="preserve">within 5 % (5.37 against 5.40 cells)</w:t>
            </w:r>
          </w:p>
        </w:tc>
      </w:tr>
    </w:tbl>
    <w:p>
      <w:pPr/>
      <w:r>
        <w:t xml:space="preserve">Room ACH divides by the nominal (drawn) volume; the report's Nominal column says which volume was used. Cells are classified by their centre point.</w:t>
      </w:r>
    </w:p>
    <w:p>
      <w:pPr>
        <w:pStyle w:val="Heading3"/>
      </w:pPr>
      <w:r>
        <w:t xml:space="preserve">The orifice model</w:t>
      </w:r>
    </w:p>
    <w:p>
      <w:pPr/>
      <w:r>
        <w:t xml:space="preserve">An opening's flow is the normal velocity integrated over the throat cells the voxelizer actually carved:</w:t>
      </w:r>
    </w:p>
    <w:p>
      <w:pPr>
        <w:jc w:val="center"/>
      </w:pPr>
      <m:oMathPara>
        <m:oMath>
          <m:r>
            <m:t>Q=</m:t>
          </m:r>
          <m:nary>
            <m:naryPr>
              <m:chr m:val="∑"/>
              <m:limLoc m:val="undOvr"/>
              <m:grow m:val="1"/>
              <m:subHide m:val="off"/>
              <m:supHide m:val="on"/>
            </m:naryPr>
            <m:sub>
              <m:r>
                <m:rPr>
                  <m:nor/>
                </m:rPr>
                <m:t>throat cells</m:t>
              </m:r>
            </m:sub>
            <m:sup/>
            <m:e>
              <m:r>
                <m:rPr>
                  <m:sty m:val="b"/>
                </m:rPr>
                <m:t>u</m:t>
              </m:r>
            </m:e>
          </m:nary>
          <m:r>
            <m:t>⋅</m:t>
          </m:r>
          <m:r>
            <m:rPr>
              <m:sty m:val="b"/>
            </m:rPr>
            <m:t>n</m:t>
          </m:r>
          <m:r>
            <m:rPr>
              <m:sty m:val="p"/>
            </m:rPr>
            <m:t>Δ</m:t>
          </m:r>
          <m:sSup>
            <m:e>
              <m:r>
                <m:t>x</m:t>
              </m:r>
            </m:e>
            <m:sup>
              <m:r>
                <m:t>2</m:t>
              </m:r>
            </m:sup>
          </m:sSup>
        </m:oMath>
      </m:oMathPara>
    </w:p>
    <w:p>
      <w:pPr/>
      <w:r>
        <w:t xml:space="preserve">The discharge coefficient compares that flow with the ideal flow through the same area under the same pressure drop (the orifice equation):</w:t>
      </w:r>
    </w:p>
    <w:p>
      <w:pPr>
        <w:jc w:val="center"/>
      </w:pPr>
      <m:oMathPara>
        <m:oMath>
          <m:r>
            <m:t>Q=</m:t>
          </m:r>
          <m:sSub>
            <m:e>
              <m:r>
                <m:t>C</m:t>
              </m:r>
            </m:e>
            <m:sub>
              <m:r>
                <m:t>d</m:t>
              </m:r>
            </m:sub>
          </m:sSub>
          <m:r>
            <m:t>A</m:t>
          </m:r>
          <m:rad>
            <m:radPr>
              <m:degHide m:val="on"/>
            </m:radPr>
            <m:deg/>
            <m:e>
              <m:f>
                <m:fPr>
                  <m:type m:val="bar"/>
                </m:fPr>
                <m:num>
                  <m:r>
                    <m:t>2</m:t>
                  </m:r>
                  <m:r>
                    <m:rPr>
                      <m:sty m:val="p"/>
                    </m:rPr>
                    <m:t>Δ</m:t>
                  </m:r>
                  <m:r>
                    <m:t>p</m:t>
                  </m:r>
                </m:num>
                <m:den>
                  <m:r>
                    <m:t>ρ</m:t>
                  </m:r>
                </m:den>
              </m:f>
            </m:e>
          </m:rad>
          <m:r>
            <m:rPr>
              <m:sty m:val="p"/>
            </m:rPr>
            <m:t xml:space="preserve"> </m:t>
          </m:r>
          <m:r>
            <m:t>⟺</m:t>
          </m:r>
          <m:r>
            <m:rPr>
              <m:sty m:val="p"/>
            </m:rPr>
            <m:t xml:space="preserve"> </m:t>
          </m:r>
          <m:sSub>
            <m:e>
              <m:r>
                <m:t>C</m:t>
              </m:r>
            </m:e>
            <m:sub>
              <m:r>
                <m:t>d</m:t>
              </m:r>
            </m:sub>
          </m:sSub>
          <m:r>
            <m:t>=</m:t>
          </m:r>
          <m:f>
            <m:fPr>
              <m:type m:val="bar"/>
            </m:fPr>
            <m:num>
              <m:r>
                <m:t>Q</m:t>
              </m:r>
            </m:num>
            <m:den>
              <m:r>
                <m:t>A</m:t>
              </m:r>
              <m:rad>
                <m:radPr>
                  <m:degHide m:val="on"/>
                </m:radPr>
                <m:deg/>
                <m:e>
                  <m:r>
                    <m:t>2</m:t>
                  </m:r>
                  <m:r>
                    <m:rPr>
                      <m:sty m:val="p"/>
                    </m:rPr>
                    <m:t>Δ</m:t>
                  </m:r>
                  <m:r>
                    <m:t>p</m:t>
                  </m:r>
                  <m:r>
                    <m:t>/</m:t>
                  </m:r>
                  <m:r>
                    <m:t>ρ</m:t>
                  </m:r>
                </m:e>
              </m:rad>
            </m:den>
          </m:f>
        </m:oMath>
      </m:oMathPara>
    </w:p>
    <w:p>
      <w:pPr/>
      <w:r>
        <w:t xml:space="preserve">A sharp-edged opening has C_d ≈ 0.61 at high Reynolds number (Idelchik; ISO 5167; Etheridge &amp; Sandberg 1996). The carved hole is rounded to whole cells and is 0 to 15 % larger than drawn at the checked grids.</w:t>
      </w:r>
    </w:p>
    <w:p>
      <w:pPr>
        <w:pStyle w:val="Heading3"/>
      </w:pPr>
      <w:r>
        <w:t xml:space="preserve">Calibration to C_d = 0.61</w:t>
      </w:r>
    </w:p>
    <w:p>
      <w:pPr/>
      <w:r>
        <w:t xml:space="preserve">On a coarse lattice the hole resolves its own C_d, which depends on the cells across it and the wall thickness. The default </w:t>
      </w:r>
      <w:r>
        <w:rPr>
          <w:b/>
        </w:rPr>
        <w:t xml:space="preserve">Calibrated</w:t>
      </w:r>
      <w:r>
        <w:t xml:space="preserve"> model adds a sub-grid loss in the throat cells wherever the lattice resolves </w:t>
      </w:r>
      <w:r>
        <w:rPr>
          <w:i/>
        </w:rPr>
        <w:t xml:space="preserve">above</w:t>
      </w:r>
      <w:r>
        <w:t xml:space="preserve"> the requested value (0.61 by default). Losses in series add in the head, so the equivalent loss coefficient is:</w:t>
      </w:r>
    </w:p>
    <w:p>
      <w:pPr>
        <w:jc w:val="center"/>
      </w:pPr>
      <m:oMathPara>
        <m:oMath>
          <m:f>
            <m:fPr>
              <m:type m:val="bar"/>
            </m:fPr>
            <m:num>
              <m:r>
                <m:t>1</m:t>
              </m:r>
            </m:num>
            <m:den>
              <m:sSubSup>
                <m:e>
                  <m:r>
                    <m:t>C</m:t>
                  </m:r>
                </m:e>
                <m:sub>
                  <m:r>
                    <m:t>d,</m:t>
                  </m:r>
                  <m:r>
                    <m:rPr>
                      <m:sty m:val="p"/>
                    </m:rPr>
                    <m:t>target</m:t>
                  </m:r>
                </m:sub>
                <m:sup>
                  <m:r>
                    <m:t>2</m:t>
                  </m:r>
                </m:sup>
              </m:sSubSup>
            </m:den>
          </m:f>
          <m:r>
            <m:t>=</m:t>
          </m:r>
          <m:f>
            <m:fPr>
              <m:type m:val="bar"/>
            </m:fPr>
            <m:num>
              <m:r>
                <m:t>1</m:t>
              </m:r>
            </m:num>
            <m:den>
              <m:sSubSup>
                <m:e>
                  <m:r>
                    <m:t>C</m:t>
                  </m:r>
                </m:e>
                <m:sub>
                  <m:r>
                    <m:t>d,</m:t>
                  </m:r>
                  <m:r>
                    <m:rPr>
                      <m:sty m:val="p"/>
                    </m:rPr>
                    <m:t>lat</m:t>
                  </m:r>
                </m:sub>
                <m:sup>
                  <m:r>
                    <m:t>2</m:t>
                  </m:r>
                </m:sup>
              </m:sSubSup>
            </m:den>
          </m:f>
          <m:r>
            <m:t>+K</m:t>
          </m:r>
          <m:r>
            <m:rPr>
              <m:sty m:val="p"/>
            </m:rPr>
            <m:t xml:space="preserve"> </m:t>
          </m:r>
          <m:r>
            <m:t>⟹</m:t>
          </m:r>
          <m:r>
            <m:rPr>
              <m:sty m:val="p"/>
            </m:rPr>
            <m:t xml:space="preserve"> </m:t>
          </m:r>
          <m:r>
            <m:t>K=</m:t>
          </m:r>
          <m:f>
            <m:fPr>
              <m:type m:val="bar"/>
            </m:fPr>
            <m:num>
              <m:r>
                <m:t>1</m:t>
              </m:r>
            </m:num>
            <m:den>
              <m:sSup>
                <m:e>
                  <m:r>
                    <m:t>0.61</m:t>
                  </m:r>
                </m:e>
                <m:sup>
                  <m:r>
                    <m:t>2</m:t>
                  </m:r>
                </m:sup>
              </m:sSup>
            </m:den>
          </m:f>
          <m:r>
            <m:t>−</m:t>
          </m:r>
          <m:f>
            <m:fPr>
              <m:type m:val="bar"/>
            </m:fPr>
            <m:num>
              <m:r>
                <m:t>1</m:t>
              </m:r>
            </m:num>
            <m:den>
              <m:sSubSup>
                <m:e>
                  <m:r>
                    <m:t>C</m:t>
                  </m:r>
                </m:e>
                <m:sub>
                  <m:r>
                    <m:t>d,</m:t>
                  </m:r>
                  <m:r>
                    <m:rPr>
                      <m:sty m:val="p"/>
                    </m:rPr>
                    <m:t>lat</m:t>
                  </m:r>
                </m:sub>
                <m:sup>
                  <m:r>
                    <m:t>2</m:t>
                  </m:r>
                </m:sup>
              </m:sSubSup>
            </m:den>
          </m:f>
          <m:r>
            <m:t>(K≥0)</m:t>
          </m:r>
        </m:oMath>
      </m:oMathPara>
    </w:p>
    <w:p>
      <w:pPr/>
      <w:r>
        <w:t xml:space="preserve">The loss is applied as a quadratic drag on the through-flow only, in the one-cell throat layer, F = −c ρ |u_n| u_n with c = K/2; C_d,lat comes from a table indexed by cells across (hydraulic diameter) and wall thickness. The relation above is the equivalent series-loss form. Where the lattice resolves </w:t>
      </w:r>
      <w:r>
        <w:rPr>
          <w:i/>
        </w:rPr>
        <w:t xml:space="preserve">below</w:t>
      </w:r>
      <w:r>
        <w:t xml:space="preserve"> 0.61, K would be negative, so nothing is added and the flow is short by the ratio C_d,lat ÷ 0.61: for 4 cells across, 0.48 to 0.60 ÷ 0.61 gives 1 to 21 % low.</w:t>
      </w:r>
    </w:p>
    <w:p>
      <w:pPr/>
      <w:r>
        <w:drawing>
          <wp:inline distT="0" distB="0" distL="0" distR="0">
            <wp:extent cx="5486400" cy="2939142"/>
            <wp:docPr id="3" name="image3" descr="Figure 3 · WindFlow test records, wall-built openings, October 2026"/>
            <a:graphic xmlns:a="http://schemas.openxmlformats.org/drawingml/2006/main">
              <a:graphicData uri="http://schemas.openxmlformats.org/drawingml/2006/picture">
                <pic:pic xmlns:pic="http://schemas.openxmlformats.org/drawingml/2006/picture">
                  <pic:nvPicPr>
                    <pic:cNvPr id="3" name="image3" descr="Figure 3 · WindFlow test records, wall-built openings, October 2026"/>
                    <pic:cNvPicPr/>
                  </pic:nvPicPr>
                  <pic:blipFill>
                    <a:blip r:embed="rId5"/>
                    <a:stretch>
                      <a:fillRect/>
                    </a:stretch>
                  </pic:blipFill>
                  <pic:spPr>
                    <a:xfrm>
                      <a:off x="0" y="0"/>
                      <a:ext cx="5486400" cy="2939142"/>
                    </a:xfrm>
                    <a:prstGeom prst="rect">
                      <a:avLst/>
                    </a:prstGeom>
                  </pic:spPr>
                </pic:pic>
              </a:graphicData>
            </a:graphic>
          </wp:inline>
        </w:drawing>
      </w:r>
    </w:p>
    <w:p>
      <w:pPr/>
      <w:r>
        <w:t xml:space="preserve">Figure 3 · WindFlow test records, wall-built openings, October 2026</w:t>
      </w:r>
    </w:p>
    <w:p>
      <w:pPr/>
      <w:r>
        <w:t xml:space="preserve">At 8 and 16 cells across, calibration lands within ±1.3 % of 0.61. At 4 cells the lattice already resolves below the target, so the opening passes less air than drawn and a note gives the shortfall.</w:t>
      </w:r>
    </w:p>
    <w:p>
      <w:pPr>
        <w:pStyle w:val="Heading3"/>
      </w:pPr>
      <w:r>
        <w:t xml:space="preserve">Placement scatter</w:t>
      </w:r>
    </w:p>
    <w:p>
      <w:pPr/>
      <w:r>
        <w:t xml:space="preserve">The same window moved by a fraction of a cell changes the C_d the lattice resolves by up to the figures below (scatter over eight placements). The app warns when the scatter exceeds 5 %.</w:t>
      </w:r>
    </w:p>
    <w:tbl>
      <w:tblPr>
        <w:tblStyle w:val="TableGrid"/>
        <w:tblW w:w="0" w:type="auto"/>
        <w:tblLayout w:type="fixed"/>
        <w:tblLook w:val="04A0" w:firstRow="1" w:lastRow="0" w:firstColumn="0" w:lastColumn="0" w:noHBand="0" w:noVBand="1"/>
      </w:tblPr>
      <w:tblGrid>
        <w:gridCol w:w="3836"/>
        <w:gridCol w:w="1176"/>
        <w:gridCol w:w="1176"/>
        <w:gridCol w:w="1057"/>
        <w:gridCol w:w="1057"/>
        <w:gridCol w:w="1057"/>
      </w:tblGrid>
      <w:tr>
        <w:trPr>
          <w:tblHeader/>
        </w:trPr>
        <w:tc>
          <w:tcPr>
            <w:tcW w:w="3836" w:type="dxa"/>
            <w:shd w:val="clear" w:color="auto" w:fill="F3F0EA"/>
          </w:tcPr>
          <w:p>
            <w:pPr/>
            <w:r>
              <w:t xml:space="preserve">Cells across ↓ / wall thickness →</w:t>
            </w:r>
          </w:p>
        </w:tc>
        <w:tc>
          <w:tcPr>
            <w:tcW w:w="1176" w:type="dxa"/>
            <w:shd w:val="clear" w:color="auto" w:fill="F3F0EA"/>
          </w:tcPr>
          <w:p>
            <w:pPr/>
            <w:r>
              <w:t xml:space="preserve">0.5 cell</w:t>
            </w:r>
          </w:p>
        </w:tc>
        <w:tc>
          <w:tcPr>
            <w:tcW w:w="1176" w:type="dxa"/>
            <w:shd w:val="clear" w:color="auto" w:fill="F3F0EA"/>
          </w:tcPr>
          <w:p>
            <w:pPr/>
            <w:r>
              <w:t xml:space="preserve">1 cell</w:t>
            </w:r>
          </w:p>
        </w:tc>
        <w:tc>
          <w:tcPr>
            <w:tcW w:w="1057" w:type="dxa"/>
            <w:shd w:val="clear" w:color="auto" w:fill="F3F0EA"/>
          </w:tcPr>
          <w:p>
            <w:pPr/>
            <w:r>
              <w:t xml:space="preserve">2 cells</w:t>
            </w:r>
          </w:p>
        </w:tc>
        <w:tc>
          <w:tcPr>
            <w:tcW w:w="1057" w:type="dxa"/>
            <w:shd w:val="clear" w:color="auto" w:fill="F3F0EA"/>
          </w:tcPr>
          <w:p>
            <w:pPr/>
            <w:r>
              <w:t xml:space="preserve">3 cells</w:t>
            </w:r>
          </w:p>
        </w:tc>
        <w:tc>
          <w:tcPr>
            <w:tcW w:w="1057" w:type="dxa"/>
            <w:shd w:val="clear" w:color="auto" w:fill="F3F0EA"/>
          </w:tcPr>
          <w:p>
            <w:pPr/>
            <w:r>
              <w:t xml:space="preserve">4 cells</w:t>
            </w:r>
          </w:p>
        </w:tc>
      </w:tr>
      <w:tr>
        <w:tc>
          <w:tcPr>
            <w:tcW w:w="3836" w:type="dxa"/>
          </w:tcPr>
          <w:p>
            <w:pPr/>
            <w:r>
              <w:t xml:space="preserve">4</w:t>
            </w:r>
          </w:p>
        </w:tc>
        <w:tc>
          <w:tcPr>
            <w:tcW w:w="1176" w:type="dxa"/>
          </w:tcPr>
          <w:p>
            <w:pPr/>
            <w:r>
              <w:t xml:space="preserve">±30.1 %</w:t>
            </w:r>
          </w:p>
        </w:tc>
        <w:tc>
          <w:tcPr>
            <w:tcW w:w="1176" w:type="dxa"/>
          </w:tcPr>
          <w:p>
            <w:pPr/>
            <w:r>
              <w:t xml:space="preserve">±10.2 %</w:t>
            </w:r>
          </w:p>
        </w:tc>
        <w:tc>
          <w:tcPr>
            <w:tcW w:w="1057" w:type="dxa"/>
          </w:tcPr>
          <w:p>
            <w:pPr/>
            <w:r>
              <w:t xml:space="preserve">±7.1 %</w:t>
            </w:r>
          </w:p>
        </w:tc>
        <w:tc>
          <w:tcPr>
            <w:tcW w:w="1057" w:type="dxa"/>
          </w:tcPr>
          <w:p>
            <w:pPr/>
            <w:r>
              <w:t xml:space="preserve">±6.5 %</w:t>
            </w:r>
          </w:p>
        </w:tc>
        <w:tc>
          <w:tcPr>
            <w:tcW w:w="1057" w:type="dxa"/>
          </w:tcPr>
          <w:p>
            <w:pPr/>
            <w:r>
              <w:t xml:space="preserve">±7.0 %</w:t>
            </w:r>
          </w:p>
        </w:tc>
      </w:tr>
      <w:tr>
        <w:tc>
          <w:tcPr>
            <w:tcW w:w="3836" w:type="dxa"/>
          </w:tcPr>
          <w:p>
            <w:pPr/>
            <w:r>
              <w:t xml:space="preserve">8</w:t>
            </w:r>
          </w:p>
        </w:tc>
        <w:tc>
          <w:tcPr>
            <w:tcW w:w="1176" w:type="dxa"/>
          </w:tcPr>
          <w:p>
            <w:pPr/>
            <w:r>
              <w:t xml:space="preserve">±21.1 %</w:t>
            </w:r>
          </w:p>
        </w:tc>
        <w:tc>
          <w:tcPr>
            <w:tcW w:w="1176" w:type="dxa"/>
          </w:tcPr>
          <w:p>
            <w:pPr/>
            <w:r>
              <w:t xml:space="preserve">±7.7 %</w:t>
            </w:r>
          </w:p>
        </w:tc>
        <w:tc>
          <w:tcPr>
            <w:tcW w:w="1057" w:type="dxa"/>
          </w:tcPr>
          <w:p>
            <w:pPr/>
            <w:r>
              <w:t xml:space="preserve">±3.2 %</w:t>
            </w:r>
          </w:p>
        </w:tc>
        <w:tc>
          <w:tcPr>
            <w:tcW w:w="1057" w:type="dxa"/>
          </w:tcPr>
          <w:p>
            <w:pPr/>
            <w:r>
              <w:t xml:space="preserve">±2.6 %</w:t>
            </w:r>
          </w:p>
        </w:tc>
        <w:tc>
          <w:tcPr>
            <w:tcW w:w="1057" w:type="dxa"/>
          </w:tcPr>
          <w:p>
            <w:pPr/>
            <w:r>
              <w:t xml:space="preserve">±3.0 %</w:t>
            </w:r>
          </w:p>
        </w:tc>
      </w:tr>
      <w:tr>
        <w:tc>
          <w:tcPr>
            <w:tcW w:w="3836" w:type="dxa"/>
          </w:tcPr>
          <w:p>
            <w:pPr/>
            <w:r>
              <w:t xml:space="preserve">16</w:t>
            </w:r>
          </w:p>
        </w:tc>
        <w:tc>
          <w:tcPr>
            <w:tcW w:w="1176" w:type="dxa"/>
          </w:tcPr>
          <w:p>
            <w:pPr/>
            <w:r>
              <w:t xml:space="preserve">±14.3 %</w:t>
            </w:r>
          </w:p>
        </w:tc>
        <w:tc>
          <w:tcPr>
            <w:tcW w:w="1176" w:type="dxa"/>
          </w:tcPr>
          <w:p>
            <w:pPr/>
            <w:r>
              <w:t xml:space="preserve">±5.1 %</w:t>
            </w:r>
          </w:p>
        </w:tc>
        <w:tc>
          <w:tcPr>
            <w:tcW w:w="1057" w:type="dxa"/>
          </w:tcPr>
          <w:p>
            <w:pPr/>
            <w:r>
              <w:t xml:space="preserve">±1.6 %</w:t>
            </w:r>
          </w:p>
        </w:tc>
        <w:tc>
          <w:tcPr>
            <w:tcW w:w="1057" w:type="dxa"/>
          </w:tcPr>
          <w:p>
            <w:pPr/>
            <w:r>
              <w:t xml:space="preserve">±2.1 %</w:t>
            </w:r>
          </w:p>
        </w:tc>
        <w:tc>
          <w:tcPr>
            <w:tcW w:w="1057" w:type="dxa"/>
          </w:tcPr>
          <w:p>
            <w:pPr/>
            <w:r>
              <w:t xml:space="preserve">±2.3 %</w:t>
            </w:r>
          </w:p>
        </w:tc>
      </w:tr>
    </w:tbl>
    <w:p>
      <w:pPr/>
      <w:r>
        <w:t xml:space="preserve">Two placements lie outside this table: a hole aligned to the grid (edge on a cell face) and one with its edge on a cell centre. An aligned hole 8 cells across in a one-cell wall reads C_d 0.716 against the requested 0.61 (+17 %). Openings much wider than 16 cells, rounded or thick-reveal openings, and rotated (non-axis-aligned) openings are not calibrated separately.</w:t>
      </w:r>
    </w:p>
    <w:p>
      <w:pPr>
        <w:pStyle w:val="Heading3"/>
      </w:pPr>
      <w:r>
        <w:t xml:space="preserve">Opening warnings</w:t>
      </w:r>
    </w:p>
    <w:tbl>
      <w:tblPr>
        <w:tblStyle w:val="TableGrid"/>
        <w:tblW w:w="0" w:type="auto"/>
        <w:tblLayout w:type="fixed"/>
        <w:tblLook w:val="04A0" w:firstRow="1" w:lastRow="0" w:firstColumn="0" w:lastColumn="0" w:noHBand="0" w:noVBand="1"/>
      </w:tblPr>
      <w:tblGrid>
        <w:gridCol w:w="3592"/>
        <w:gridCol w:w="2890"/>
        <w:gridCol w:w="2878"/>
      </w:tblGrid>
      <w:tr>
        <w:trPr>
          <w:tblHeader/>
        </w:trPr>
        <w:tc>
          <w:tcPr>
            <w:tcW w:w="3592" w:type="dxa"/>
            <w:shd w:val="clear" w:color="auto" w:fill="F3F0EA"/>
          </w:tcPr>
          <w:p>
            <w:pPr/>
            <w:r>
              <w:t xml:space="preserve">Condition</w:t>
            </w:r>
          </w:p>
        </w:tc>
        <w:tc>
          <w:tcPr>
            <w:tcW w:w="2890" w:type="dxa"/>
            <w:shd w:val="clear" w:color="auto" w:fill="F3F0EA"/>
          </w:tcPr>
          <w:p>
            <w:pPr/>
            <w:r>
              <w:t xml:space="preserve">Warning</w:t>
            </w:r>
          </w:p>
        </w:tc>
        <w:tc>
          <w:tcPr>
            <w:tcW w:w="2878" w:type="dxa"/>
            <w:shd w:val="clear" w:color="auto" w:fill="F3F0EA"/>
          </w:tcPr>
          <w:p>
            <w:pPr/>
            <w:r>
              <w:t xml:space="preserve">Meaning</w:t>
            </w:r>
          </w:p>
        </w:tc>
      </w:tr>
      <w:tr>
        <w:tc>
          <w:tcPr>
            <w:tcW w:w="3592" w:type="dxa"/>
          </w:tcPr>
          <w:p>
            <w:pPr/>
            <w:r>
              <w:t xml:space="preserve">Under 4 cells across</w:t>
            </w:r>
          </w:p>
        </w:tc>
        <w:tc>
          <w:tcPr>
            <w:tcW w:w="2890" w:type="dxa"/>
          </w:tcPr>
          <w:p>
            <w:pPr/>
            <w:r>
              <w:t xml:space="preserve">“is only N cells across”</w:t>
            </w:r>
          </w:p>
        </w:tc>
        <w:tc>
          <w:tcPr>
            <w:tcW w:w="2878" w:type="dxa"/>
          </w:tcPr>
          <w:p>
            <w:pPr/>
            <w:r>
              <w:t xml:space="preserve">Flow unreliable</w:t>
            </w:r>
          </w:p>
        </w:tc>
      </w:tr>
      <w:tr>
        <w:tc>
          <w:tcPr>
            <w:tcW w:w="3592" w:type="dxa"/>
          </w:tcPr>
          <w:p>
            <w:pPr/>
            <w:r>
              <w:t xml:space="preserve">4 to 6 cells across, Preview</w:t>
            </w:r>
          </w:p>
        </w:tc>
        <w:tc>
          <w:tcPr>
            <w:tcW w:w="2890" w:type="dxa"/>
          </w:tcPr>
          <w:p>
            <w:pPr/>
            <w:r>
              <w:t xml:space="preserve">size quantised to the grid</w:t>
            </w:r>
          </w:p>
        </w:tc>
        <w:tc>
          <w:tcPr>
            <w:tcW w:w="2878" w:type="dxa"/>
          </w:tcPr>
          <w:p>
            <w:pPr/>
            <w:r>
              <w:t xml:space="preserve">±1 cell row is 15 to 25 % of the area</w:t>
            </w:r>
          </w:p>
        </w:tc>
      </w:tr>
      <w:tr>
        <w:tc>
          <w:tcPr>
            <w:tcW w:w="3592" w:type="dxa"/>
          </w:tcPr>
          <w:p>
            <w:pPr/>
            <w:r>
              <w:t xml:space="preserve">Effective C_d outside 0.42 to 0.8, at least 4 cells wide</w:t>
            </w:r>
          </w:p>
        </w:tc>
        <w:tc>
          <w:tcPr>
            <w:tcW w:w="2890" w:type="dxa"/>
          </w:tcPr>
          <w:p>
            <w:pPr/>
            <w:r>
              <w:t xml:space="preserve">C_d warning</w:t>
            </w:r>
          </w:p>
        </w:tc>
        <w:tc>
          <w:tcPr>
            <w:tcW w:w="2878" w:type="dxa"/>
          </w:tcPr>
          <w:p>
            <w:pPr/>
            <w:r>
              <w:t xml:space="preserve">Check the opening</w:t>
            </w:r>
          </w:p>
        </w:tc>
      </w:tr>
      <w:tr>
        <w:tc>
          <w:tcPr>
            <w:tcW w:w="3592" w:type="dxa"/>
          </w:tcPr>
          <w:p>
            <w:pPr/>
            <w:r>
              <w:t xml:space="preserve">Placement scatter above 5 %</w:t>
            </w:r>
          </w:p>
        </w:tc>
        <w:tc>
          <w:tcPr>
            <w:tcW w:w="2890" w:type="dxa"/>
          </w:tcPr>
          <w:p>
            <w:pPr/>
            <w:r>
              <w:t xml:space="preserve">scatter note</w:t>
            </w:r>
          </w:p>
        </w:tc>
        <w:tc>
          <w:tcPr>
            <w:tcW w:w="2878" w:type="dxa"/>
          </w:tcPr>
          <w:p>
            <w:pPr/>
            <w:r>
              <w:t xml:space="preserve">Result sensitive to grid position</w:t>
            </w:r>
          </w:p>
        </w:tc>
      </w:tr>
    </w:tbl>
    <w:p>
      <w:pPr>
        <w:pStyle w:val="Heading3"/>
      </w:pPr>
      <w:r>
        <w:t xml:space="preserve">Imports, rooms and edits</w:t>
      </w:r>
    </w:p>
    <w:p>
      <w:pPr>
        <w:pStyle w:val="ListParagraph"/>
        <w:numPr>
          <w:ilvl w:val="0"/>
          <w:numId w:val="3"/>
        </w:numPr>
      </w:pPr>
      <w:r>
        <w:rPr>
          <w:b/>
        </w:rPr>
        <w:t xml:space="preserve">Room volume.</w:t>
      </w:r>
      <w:r>
        <w:t xml:space="preserve"> A room is the air inside its outline, filled up to the storey top. A double-height room needs a storey height covering its full height; a void opening into the storey above counts in the lower room.</w:t>
      </w:r>
    </w:p>
    <w:p>
      <w:pPr>
        <w:pStyle w:val="ListParagraph"/>
        <w:numPr>
          <w:ilvl w:val="0"/>
          <w:numId w:val="3"/>
        </w:numPr>
      </w:pPr>
      <w:r>
        <w:rPr>
          <w:b/>
        </w:rPr>
        <w:t xml:space="preserve">Room band.</w:t>
      </w:r>
      <w:r>
        <w:t xml:space="preserve"> Detected rooms get a 2-cell band from core to walls. Imported rooms read total exchange 37 to 45 % higher than the same building drawn by hand. Compare imported models with each other, not with drawn ones.</w:t>
      </w:r>
    </w:p>
    <w:p>
      <w:pPr>
        <w:pStyle w:val="ListParagraph"/>
        <w:numPr>
          <w:ilvl w:val="0"/>
          <w:numId w:val="3"/>
        </w:numPr>
      </w:pPr>
      <w:r>
        <w:rPr>
          <w:b/>
        </w:rPr>
        <w:t xml:space="preserve">Too few cells.</w:t>
      </w:r>
      <w:r>
        <w:t xml:space="preserve"> A room under 3 cells across is marked “unreliable (too few cells)” with a dagger.</w:t>
      </w:r>
    </w:p>
    <w:p>
      <w:pPr>
        <w:pStyle w:val="ListParagraph"/>
        <w:numPr>
          <w:ilvl w:val="0"/>
          <w:numId w:val="3"/>
        </w:numPr>
      </w:pPr>
      <w:r>
        <w:rPr>
          <w:b/>
        </w:rPr>
        <w:t xml:space="preserve">Exchange instead of ACH.</w:t>
      </w:r>
      <w:r>
        <w:t xml:space="preserve"> When counted inflow through openings is under 5 % of what crosses the room outline, the row shows an exchange in m³/s with a grey dot and is left out of Best/Least ventilated.</w:t>
      </w:r>
    </w:p>
    <w:p>
      <w:pPr>
        <w:pStyle w:val="ListParagraph"/>
        <w:numPr>
          <w:ilvl w:val="0"/>
          <w:numId w:val="3"/>
        </w:numPr>
      </w:pPr>
      <w:r>
        <w:rPr>
          <w:b/>
        </w:rPr>
        <w:t xml:space="preserve">Glass removal is per material.</w:t>
      </w:r>
      <w:r>
        <w:t xml:space="preserve"> A glass material shared by a curtain wall and windows is removed as a whole.</w:t>
      </w:r>
    </w:p>
    <w:p>
      <w:pPr>
        <w:pStyle w:val="ListParagraph"/>
        <w:numPr>
          <w:ilvl w:val="0"/>
          <w:numId w:val="3"/>
        </w:numPr>
      </w:pPr>
      <w:r>
        <w:rPr>
          <w:b/>
        </w:rPr>
        <w:t xml:space="preserve">Model checks.</w:t>
      </w:r>
      <w:r>
        <w:t xml:space="preserve"> Coordinates within ±1 × 10⁵ m, sizes in (0, 1000] m; a broken file is refused with a reason. A model more than 10 km from the origin is centred in plan with a note.</w:t>
      </w:r>
    </w:p>
    <w:p>
      <w:pPr>
        <w:pStyle w:val="ListParagraph"/>
        <w:numPr>
          <w:ilvl w:val="0"/>
          <w:numId w:val="3"/>
        </w:numPr>
      </w:pPr>
      <w:r>
        <w:rPr>
          <w:b/>
        </w:rPr>
        <w:t xml:space="preserve">Editing.</w:t>
      </w:r>
      <w:r>
        <w:t xml:space="preserve"> Toggling a window is a warm restart, not a rebuild. Deleting an opening in an imported mesh seals it with a fill solid; adding a room, merging rooms or adding an opening re-voxelises and restarts the live solve.</w:t>
      </w:r>
    </w:p>
    <w:p>
      <w:pPr>
        <w:pStyle w:val="ListParagraph"/>
        <w:numPr>
          <w:ilvl w:val="0"/>
          <w:numId w:val="3"/>
        </w:numPr>
      </w:pPr>
      <w:r>
        <w:rPr>
          <w:b/>
        </w:rPr>
        <w:t xml:space="preserve">Naming.</w:t>
      </w:r>
      <w:r>
        <w:t xml:space="preserve"> Rooms detected on a mesh are named Room 1, Room 2…, and detected openings Window 1, Door 1…. A direction-and-area suffix, for example “Kitchen (east, 18 m²)”, is added only when two rooms share the same real name.</w:t>
      </w:r>
    </w:p>
    <w:p>
      <w:pPr>
        <w:pStyle w:val="Heading2"/>
      </w:pPr>
      <w:r>
        <w:t xml:space="preserve">5. Wind and the outdoor domain</w:t>
      </w:r>
    </w:p>
    <w:p>
      <w:pPr/>
      <w:r>
        <w:t xml:space="preserve">The default Compact domain is fast but tight: on the sample house it blocks 10.5 % of the wind's cross-section, and room flows read about 11 to 14 % high per room (newest run, after the age-of-air fix; an older run read 8 to 33 %) against the Full (COST 732) domain. Use Compact to compare options and Full for a final check.</w:t>
      </w:r>
    </w:p>
    <w:p>
      <w:pPr>
        <w:pStyle w:val="Heading3"/>
      </w:pPr>
      <w:r>
        <w:t xml:space="preserve">The boundary ring</w:t>
      </w:r>
    </w:p>
    <w:tbl>
      <w:tblPr>
        <w:tblStyle w:val="TableGrid"/>
        <w:tblW w:w="0" w:type="auto"/>
        <w:tblLayout w:type="fixed"/>
        <w:tblLook w:val="04A0" w:firstRow="1" w:lastRow="0" w:firstColumn="0" w:lastColumn="0" w:noHBand="0" w:noVBand="1"/>
      </w:tblPr>
      <w:tblGrid>
        <w:gridCol w:w="3063"/>
        <w:gridCol w:w="6296"/>
      </w:tblGrid>
      <w:tr>
        <w:trPr>
          <w:tblHeader/>
        </w:trPr>
        <w:tc>
          <w:tcPr>
            <w:tcW w:w="3063" w:type="dxa"/>
            <w:shd w:val="clear" w:color="auto" w:fill="F3F0EA"/>
          </w:tcPr>
          <w:p>
            <w:pPr/>
            <w:r>
              <w:t xml:space="preserve">Boundary</w:t>
            </w:r>
          </w:p>
        </w:tc>
        <w:tc>
          <w:tcPr>
            <w:tcW w:w="6296" w:type="dxa"/>
            <w:shd w:val="clear" w:color="auto" w:fill="F3F0EA"/>
          </w:tcPr>
          <w:p>
            <w:pPr/>
            <w:r>
              <w:t xml:space="preserve">Treatment</w:t>
            </w:r>
          </w:p>
        </w:tc>
      </w:tr>
      <w:tr>
        <w:tc>
          <w:tcPr>
            <w:tcW w:w="3063" w:type="dxa"/>
          </w:tcPr>
          <w:p>
            <w:pPr/>
            <w:r>
              <w:t xml:space="preserve">Inflow (upwind)</w:t>
            </w:r>
          </w:p>
        </w:tc>
        <w:tc>
          <w:tcPr>
            <w:tcW w:w="6296" w:type="dxa"/>
          </w:tcPr>
          <w:p>
            <w:pPr/>
            <w:r>
              <w:t xml:space="preserve">Non-equilibrium velocity inflow, the default, with an absorbing sponge</w:t>
            </w:r>
          </w:p>
        </w:tc>
      </w:tr>
      <w:tr>
        <w:tc>
          <w:tcPr>
            <w:tcW w:w="3063" w:type="dxa"/>
          </w:tcPr>
          <w:p>
            <w:pPr/>
            <w:r>
              <w:t xml:space="preserve">Outflow (downwind)</w:t>
            </w:r>
          </w:p>
        </w:tc>
        <w:tc>
          <w:tcPr>
            <w:tcW w:w="6296" w:type="dxa"/>
          </w:tcPr>
          <w:p>
            <w:pPr/>
            <w:r>
              <w:t xml:space="preserve">Constant density, with an absorbing sponge</w:t>
            </w:r>
          </w:p>
        </w:tc>
      </w:tr>
      <w:tr>
        <w:tc>
          <w:tcPr>
            <w:tcW w:w="3063" w:type="dxa"/>
          </w:tcPr>
          <w:p>
            <w:pPr/>
            <w:r>
              <w:t xml:space="preserve">Top</w:t>
            </w:r>
          </w:p>
        </w:tc>
        <w:tc>
          <w:tcPr>
            <w:tcW w:w="6296" w:type="dxa"/>
          </w:tcPr>
          <w:p>
            <w:pPr/>
            <w:r>
              <w:t xml:space="preserve">Prescribed-velocity lid</w:t>
            </w:r>
          </w:p>
        </w:tc>
      </w:tr>
      <w:tr>
        <w:tc>
          <w:tcPr>
            <w:tcW w:w="3063" w:type="dxa"/>
          </w:tcPr>
          <w:p>
            <w:pPr/>
            <w:r>
              <w:t xml:space="preserve">Ground</w:t>
            </w:r>
          </w:p>
        </w:tc>
        <w:tc>
          <w:tcPr>
            <w:tcW w:w="6296" w:type="dxa"/>
          </w:tcPr>
          <w:p>
            <w:pPr/>
            <w:r>
              <w:t xml:space="preserve">Smooth, no-slip</w:t>
            </w:r>
          </w:p>
        </w:tc>
      </w:tr>
      <w:tr>
        <w:tc>
          <w:tcPr>
            <w:tcW w:w="3063" w:type="dxa"/>
          </w:tcPr>
          <w:p>
            <w:pPr/>
            <w:r>
              <w:t xml:space="preserve">Open-top user boxes</w:t>
            </w:r>
          </w:p>
        </w:tc>
        <w:tc>
          <w:tcPr>
            <w:tcW w:w="6296" w:type="dxa"/>
          </w:tcPr>
          <w:p>
            <w:pPr/>
            <w:r>
              <w:t xml:space="preserve">Older equilibrium ring (a velocity inflow through a cut wall diverged in the checks)</w:t>
            </w:r>
          </w:p>
        </w:tc>
      </w:tr>
    </w:tbl>
    <w:p>
      <w:pPr/>
      <w:r>
        <w:t xml:space="preserve">The report states the wind at 10 m height.</w:t>
      </w:r>
    </w:p>
    <w:p>
      <w:pPr/>
      <w:r>
        <w:drawing>
          <wp:inline distT="0" distB="0" distL="0" distR="0">
            <wp:extent cx="5486400" cy="2881992"/>
            <wp:docPr id="4" name="image4" descr="Figure 4 · outdoor domain in plan, Compact against Full, with the boundary ring"/>
            <a:graphic xmlns:a="http://schemas.openxmlformats.org/drawingml/2006/main">
              <a:graphicData uri="http://schemas.openxmlformats.org/drawingml/2006/picture">
                <pic:pic xmlns:pic="http://schemas.openxmlformats.org/drawingml/2006/picture">
                  <pic:nvPicPr>
                    <pic:cNvPr id="4" name="image4" descr="Figure 4 · outdoor domain in plan, Compact against Full, with the boundary ring"/>
                    <pic:cNvPicPr/>
                  </pic:nvPicPr>
                  <pic:blipFill>
                    <a:blip r:embed="rId6"/>
                    <a:stretch>
                      <a:fillRect/>
                    </a:stretch>
                  </pic:blipFill>
                  <pic:spPr>
                    <a:xfrm>
                      <a:off x="0" y="0"/>
                      <a:ext cx="5486400" cy="2881992"/>
                    </a:xfrm>
                    <a:prstGeom prst="rect">
                      <a:avLst/>
                    </a:prstGeom>
                  </pic:spPr>
                </pic:pic>
              </a:graphicData>
            </a:graphic>
          </wp:inline>
        </w:drawing>
      </w:r>
    </w:p>
    <w:p>
      <w:pPr/>
      <w:r>
        <w:t xml:space="preserve">Figure 4 · outdoor domain in plan, Compact against Full, with the boundary ring</w:t>
      </w:r>
    </w:p>
    <w:p>
      <w:pPr/>
      <w:r>
        <w:t xml:space="preserve">The tinted strips are the absorbing sponges that stop reflected waves at inflow and outflow; the Full domain costs about 11.7 times the cells of Compact.</w:t>
      </w:r>
    </w:p>
    <w:p>
      <w:pPr>
        <w:pStyle w:val="Heading3"/>
      </w:pPr>
      <w:r>
        <w:t xml:space="preserve">Blockage and the two domains</w:t>
      </w:r>
    </w:p>
    <w:p>
      <w:pPr/>
      <w:r>
        <w:t xml:space="preserve">Blockage is the share of the domain's cross-section taken up by the building's frontal area:</w:t>
      </w:r>
    </w:p>
    <w:p>
      <w:pPr>
        <w:jc w:val="center"/>
      </w:pPr>
      <m:oMathPara>
        <m:oMath>
          <m:r>
            <m:t>B=</m:t>
          </m:r>
          <m:f>
            <m:fPr>
              <m:type m:val="bar"/>
            </m:fPr>
            <m:num>
              <m:sSub>
                <m:e>
                  <m:r>
                    <m:t>A</m:t>
                  </m:r>
                </m:e>
                <m:sub>
                  <m:r>
                    <m:rPr>
                      <m:sty m:val="p"/>
                    </m:rPr>
                    <m:t>frontal</m:t>
                  </m:r>
                </m:sub>
              </m:sSub>
            </m:num>
            <m:den>
              <m:sSub>
                <m:e>
                  <m:r>
                    <m:t>A</m:t>
                  </m:r>
                </m:e>
                <m:sub>
                  <m:r>
                    <m:rPr>
                      <m:sty m:val="p"/>
                    </m:rPr>
                    <m:t>domain</m:t>
                  </m:r>
                  <m:r>
                    <m:rPr>
                      <m:sty m:val="p"/>
                    </m:rPr>
                    <m:t>cross</m:t>
                  </m:r>
                  <m:r>
                    <m:rPr>
                      <m:nor/>
                    </m:rPr>
                    <m:t>-</m:t>
                  </m:r>
                  <m:r>
                    <m:rPr>
                      <m:sty m:val="p"/>
                    </m:rPr>
                    <m:t>section</m:t>
                  </m:r>
                </m:sub>
              </m:sSub>
            </m:den>
          </m:f>
          <m:r>
            <m:rPr>
              <m:sty m:val="p"/>
            </m:rPr>
            <m:t xml:space="preserve"> </m:t>
          </m:r>
          <m:r>
            <m:t>(</m:t>
          </m:r>
          <m:r>
            <m:rPr>
              <m:nor/>
            </m:rPr>
            <m:t xml:space="preserve">COST 732 asks </m:t>
          </m:r>
          <m:r>
            <m:t>B≤3</m:t>
          </m:r>
          <m:r>
            <m:rPr>
              <m:sty m:val="p"/>
            </m:rPr>
            <m:t>%</m:t>
          </m:r>
          <m:r>
            <m:t>)</m:t>
          </m:r>
        </m:oMath>
      </m:oMathPara>
    </w:p>
    <w:tbl>
      <w:tblPr>
        <w:tblStyle w:val="TableGrid"/>
        <w:tblW w:w="0" w:type="auto"/>
        <w:tblLayout w:type="fixed"/>
        <w:tblLook w:val="04A0" w:firstRow="1" w:lastRow="0" w:firstColumn="0" w:lastColumn="0" w:noHBand="0" w:noVBand="1"/>
      </w:tblPr>
      <w:tblGrid>
        <w:gridCol w:w="2456"/>
        <w:gridCol w:w="2706"/>
        <w:gridCol w:w="2680"/>
        <w:gridCol w:w="1517"/>
      </w:tblGrid>
      <w:tr>
        <w:trPr>
          <w:tblHeader/>
        </w:trPr>
        <w:tc>
          <w:tcPr>
            <w:tcW w:w="2456" w:type="dxa"/>
            <w:shd w:val="clear" w:color="auto" w:fill="F3F0EA"/>
          </w:tcPr>
          <w:p>
            <w:pPr/>
            <w:r>
              <w:t xml:space="preserve">Domain</w:t>
            </w:r>
          </w:p>
        </w:tc>
        <w:tc>
          <w:tcPr>
            <w:tcW w:w="2706" w:type="dxa"/>
            <w:shd w:val="clear" w:color="auto" w:fill="F3F0EA"/>
          </w:tcPr>
          <w:p>
            <w:pPr/>
            <w:r>
              <w:t xml:space="preserve">Margins</w:t>
            </w:r>
          </w:p>
        </w:tc>
        <w:tc>
          <w:tcPr>
            <w:tcW w:w="2680" w:type="dxa"/>
            <w:shd w:val="clear" w:color="auto" w:fill="F3F0EA"/>
          </w:tcPr>
          <w:p>
            <w:pPr/>
            <w:r>
              <w:t xml:space="preserve">Blockage, sample house</w:t>
            </w:r>
          </w:p>
        </w:tc>
        <w:tc>
          <w:tcPr>
            <w:tcW w:w="1517" w:type="dxa"/>
            <w:shd w:val="clear" w:color="auto" w:fill="F3F0EA"/>
          </w:tcPr>
          <w:p>
            <w:pPr/>
            <w:r>
              <w:t xml:space="preserve">Cells</w:t>
            </w:r>
          </w:p>
        </w:tc>
      </w:tr>
      <w:tr>
        <w:tc>
          <w:tcPr>
            <w:tcW w:w="2456" w:type="dxa"/>
          </w:tcPr>
          <w:p>
            <w:pPr/>
            <w:r>
              <w:t xml:space="preserve">Compact (default)</w:t>
            </w:r>
          </w:p>
        </w:tc>
        <w:tc>
          <w:tcPr>
            <w:tcW w:w="2706" w:type="dxa"/>
          </w:tcPr>
          <w:p>
            <w:pPr/>
            <w:r>
              <w:t xml:space="preserve">small</w:t>
            </w:r>
          </w:p>
        </w:tc>
        <w:tc>
          <w:tcPr>
            <w:tcW w:w="2680" w:type="dxa"/>
          </w:tcPr>
          <w:p>
            <w:pPr/>
            <w:r>
              <w:t xml:space="preserve">10.5 %</w:t>
            </w:r>
          </w:p>
        </w:tc>
        <w:tc>
          <w:tcPr>
            <w:tcW w:w="1517" w:type="dxa"/>
          </w:tcPr>
          <w:p>
            <w:pPr/>
            <w:r>
              <w:t xml:space="preserve">1 ×</w:t>
            </w:r>
          </w:p>
        </w:tc>
      </w:tr>
      <w:tr>
        <w:tc>
          <w:tcPr>
            <w:tcW w:w="2456" w:type="dxa"/>
          </w:tcPr>
          <w:p>
            <w:pPr/>
            <w:r>
              <w:t xml:space="preserve">Full (Expert → Settings → Domain)</w:t>
            </w:r>
          </w:p>
        </w:tc>
        <w:tc>
          <w:tcPr>
            <w:tcW w:w="2706" w:type="dxa"/>
          </w:tcPr>
          <w:p>
            <w:pPr/>
            <w:r>
              <w:t xml:space="preserve">5H upstream, 10H downstream plus sponge, 5H lateral</w:t>
            </w:r>
          </w:p>
        </w:tc>
        <w:tc>
          <w:tcPr>
            <w:tcW w:w="2680" w:type="dxa"/>
          </w:tcPr>
          <w:p>
            <w:pPr/>
            <w:r>
              <w:t xml:space="preserve">≤ 3 % (COST 732 domain ≈ 2.4 %)</w:t>
            </w:r>
          </w:p>
        </w:tc>
        <w:tc>
          <w:tcPr>
            <w:tcW w:w="1517" w:type="dxa"/>
          </w:tcPr>
          <w:p>
            <w:pPr/>
            <w:r>
              <w:t xml:space="preserve">about 11.7 ×</w:t>
            </w:r>
          </w:p>
        </w:tc>
      </w:tr>
    </w:tbl>
    <w:p>
      <w:pPr/>
      <w:r>
        <w:rPr>
          <w:b/>
        </w:rPr>
        <w:t xml:space="preserve">What Compact costs</w:t>
      </w:r>
      <w:r>
        <w:t xml:space="preserve">, measured against Full on the sample house:</w:t>
      </w:r>
    </w:p>
    <w:tbl>
      <w:tblPr>
        <w:tblStyle w:val="TableGrid"/>
        <w:tblW w:w="0" w:type="auto"/>
        <w:tblLayout w:type="fixed"/>
        <w:tblLook w:val="04A0" w:firstRow="1" w:lastRow="0" w:firstColumn="0" w:lastColumn="0" w:noHBand="0" w:noVBand="1"/>
      </w:tblPr>
      <w:tblGrid>
        <w:gridCol w:w="2954"/>
        <w:gridCol w:w="3424"/>
        <w:gridCol w:w="2982"/>
      </w:tblGrid>
      <w:tr>
        <w:trPr>
          <w:tblHeader/>
        </w:trPr>
        <w:tc>
          <w:tcPr>
            <w:tcW w:w="2954" w:type="dxa"/>
            <w:shd w:val="clear" w:color="auto" w:fill="F3F0EA"/>
          </w:tcPr>
          <w:p>
            <w:pPr/>
            <w:r>
              <w:t xml:space="preserve">Comparison</w:t>
            </w:r>
          </w:p>
        </w:tc>
        <w:tc>
          <w:tcPr>
            <w:tcW w:w="3424" w:type="dxa"/>
            <w:shd w:val="clear" w:color="auto" w:fill="F3F0EA"/>
          </w:tcPr>
          <w:p>
            <w:pPr/>
            <w:r>
              <w:t xml:space="preserve">Before the age-of-air fix</w:t>
            </w:r>
          </w:p>
        </w:tc>
        <w:tc>
          <w:tcPr>
            <w:tcW w:w="2982" w:type="dxa"/>
            <w:shd w:val="clear" w:color="auto" w:fill="F3F0EA"/>
          </w:tcPr>
          <w:p>
            <w:pPr/>
            <w:r>
              <w:t xml:space="preserve">After the fix</w:t>
            </w:r>
          </w:p>
        </w:tc>
      </w:tr>
      <w:tr>
        <w:tc>
          <w:tcPr>
            <w:tcW w:w="2954" w:type="dxa"/>
          </w:tcPr>
          <w:p>
            <w:pPr/>
            <w:r>
              <w:t xml:space="preserve">Room total exchange, Compact over Full</w:t>
            </w:r>
          </w:p>
        </w:tc>
        <w:tc>
          <w:tcPr>
            <w:tcW w:w="3424" w:type="dxa"/>
          </w:tcPr>
          <w:p>
            <w:pPr/>
            <w:r>
              <w:t xml:space="preserve">+8 to +33 % (median about +16 %)</w:t>
            </w:r>
          </w:p>
        </w:tc>
        <w:tc>
          <w:tcPr>
            <w:tcW w:w="2982" w:type="dxa"/>
          </w:tcPr>
          <w:p>
            <w:pPr/>
            <w:r>
              <w:t xml:space="preserve">+11.0 to +13.9 % per room</w:t>
            </w:r>
          </w:p>
        </w:tc>
      </w:tr>
      <w:tr>
        <w:tc>
          <w:tcPr>
            <w:tcW w:w="2954" w:type="dxa"/>
          </w:tcPr>
          <w:p>
            <w:pPr/>
            <w:r>
              <w:t xml:space="preserve">Building fresh-air rate</w:t>
            </w:r>
          </w:p>
        </w:tc>
        <w:tc>
          <w:tcPr>
            <w:tcW w:w="3424" w:type="dxa"/>
          </w:tcPr>
          <w:p>
            <w:pPr/>
            <w:r>
              <w:t xml:space="preserve">12.1 against 9.7 ACH (+25 %)</w:t>
            </w:r>
          </w:p>
        </w:tc>
        <w:tc>
          <w:tcPr>
            <w:tcW w:w="2982" w:type="dxa"/>
          </w:tcPr>
          <w:p>
            <w:pPr/>
            <w:r>
              <w:t xml:space="preserve">+22 %</w:t>
            </w:r>
          </w:p>
        </w:tc>
      </w:tr>
    </w:tbl>
    <w:p>
      <w:pPr/>
      <w:r>
        <w:t xml:space="preserve">The app adds a note whenever blockage exceeds 3 %.</w:t>
      </w:r>
    </w:p>
    <w:p>
      <w:pPr>
        <w:pStyle w:val="Heading3"/>
      </w:pPr>
      <w:r>
        <w:t xml:space="preserve">Wind profile and ground</w:t>
      </w:r>
    </w:p>
    <w:p>
      <w:pPr/>
      <w:r>
        <w:t xml:space="preserve">Eurocode EN 1991-1-4 gives the mean wind as a logarithmic profile over terrain roughness z₀ (standard form):</w:t>
      </w:r>
    </w:p>
    <w:p>
      <w:pPr>
        <w:jc w:val="center"/>
      </w:pPr>
      <m:oMathPara>
        <m:oMath>
          <m:sSub>
            <m:e>
              <m:r>
                <m:t>v</m:t>
              </m:r>
            </m:e>
            <m:sub>
              <m:r>
                <m:t>m</m:t>
              </m:r>
            </m:sub>
          </m:sSub>
          <m:r>
            <m:t>(z)=</m:t>
          </m:r>
          <m:sSub>
            <m:e>
              <m:r>
                <m:t>c</m:t>
              </m:r>
            </m:e>
            <m:sub>
              <m:r>
                <m:t>r</m:t>
              </m:r>
            </m:sub>
          </m:sSub>
          <m:r>
            <m:t>(z)</m:t>
          </m:r>
          <m:sSub>
            <m:e>
              <m:r>
                <m:t>c</m:t>
              </m:r>
            </m:e>
            <m:sub>
              <m:r>
                <m:t>o</m:t>
              </m:r>
            </m:sub>
          </m:sSub>
          <m:r>
            <m:t>(z)</m:t>
          </m:r>
          <m:sSub>
            <m:e>
              <m:r>
                <m:t>v</m:t>
              </m:r>
            </m:e>
            <m:sub>
              <m:r>
                <m:t>b</m:t>
              </m:r>
            </m:sub>
          </m:sSub>
          <m:r>
            <m:t>,</m:t>
          </m:r>
          <m:r>
            <m:rPr>
              <m:sty m:val="p"/>
            </m:rPr>
            <m:t xml:space="preserve"> </m:t>
          </m:r>
          <m:sSub>
            <m:e>
              <m:r>
                <m:t>c</m:t>
              </m:r>
            </m:e>
            <m:sub>
              <m:r>
                <m:t>r</m:t>
              </m:r>
            </m:sub>
          </m:sSub>
          <m:r>
            <m:t>(z)=</m:t>
          </m:r>
          <m:sSub>
            <m:e>
              <m:r>
                <m:t>k</m:t>
              </m:r>
            </m:e>
            <m:sub>
              <m:r>
                <m:t>r</m:t>
              </m:r>
            </m:sub>
          </m:sSub>
          <m:r>
            <m:rPr>
              <m:sty m:val="p"/>
            </m:rPr>
            <m:t>ln</m:t>
          </m:r>
          <m:d>
            <m:dPr>
              <m:sepChr m:val=""/>
            </m:dPr>
            <m:e>
              <m:f>
                <m:fPr>
                  <m:type m:val="bar"/>
                </m:fPr>
                <m:num>
                  <m:r>
                    <m:t>z</m:t>
                  </m:r>
                </m:num>
                <m:den>
                  <m:sSub>
                    <m:e>
                      <m:r>
                        <m:t>z</m:t>
                      </m:r>
                    </m:e>
                    <m:sub>
                      <m:r>
                        <m:t>0</m:t>
                      </m:r>
                    </m:sub>
                  </m:sSub>
                </m:den>
              </m:f>
            </m:e>
          </m:d>
          <m:r>
            <m:t>,</m:t>
          </m:r>
          <m:r>
            <m:rPr>
              <m:sty m:val="p"/>
            </m:rPr>
            <m:t xml:space="preserve"> </m:t>
          </m:r>
          <m:sSub>
            <m:e>
              <m:r>
                <m:t>I</m:t>
              </m:r>
            </m:e>
            <m:sub>
              <m:r>
                <m:t>v</m:t>
              </m:r>
            </m:sub>
          </m:sSub>
          <m:r>
            <m:t>(z)=</m:t>
          </m:r>
          <m:f>
            <m:fPr>
              <m:type m:val="bar"/>
            </m:fPr>
            <m:num>
              <m:sSub>
                <m:e>
                  <m:r>
                    <m:t>σ</m:t>
                  </m:r>
                </m:e>
                <m:sub>
                  <m:r>
                    <m:t>v</m:t>
                  </m:r>
                </m:sub>
              </m:sSub>
            </m:num>
            <m:den>
              <m:sSub>
                <m:e>
                  <m:r>
                    <m:t>v</m:t>
                  </m:r>
                </m:e>
                <m:sub>
                  <m:r>
                    <m:t>m</m:t>
                  </m:r>
                </m:sub>
              </m:sSub>
              <m:r>
                <m:t>(z)</m:t>
              </m:r>
            </m:den>
          </m:f>
          <m:r>
            <m:t>=</m:t>
          </m:r>
          <m:f>
            <m:fPr>
              <m:type m:val="bar"/>
            </m:fPr>
            <m:num>
              <m:sSub>
                <m:e>
                  <m:r>
                    <m:t>k</m:t>
                  </m:r>
                </m:e>
                <m:sub>
                  <m:r>
                    <m:t>I</m:t>
                  </m:r>
                </m:sub>
              </m:sSub>
            </m:num>
            <m:den>
              <m:sSub>
                <m:e>
                  <m:r>
                    <m:t>c</m:t>
                  </m:r>
                </m:e>
                <m:sub>
                  <m:r>
                    <m:t>o</m:t>
                  </m:r>
                </m:sub>
              </m:sSub>
              <m:r>
                <m:t>(z)</m:t>
              </m:r>
              <m:r>
                <m:rPr>
                  <m:sty m:val="p"/>
                </m:rPr>
                <m:t>ln</m:t>
              </m:r>
              <m:r>
                <m:t>(z</m:t>
              </m:r>
              <m:r>
                <m:t>/</m:t>
              </m:r>
              <m:sSub>
                <m:e>
                  <m:r>
                    <m:t>z</m:t>
                  </m:r>
                </m:e>
                <m:sub>
                  <m:r>
                    <m:t>0</m:t>
                  </m:r>
                </m:sub>
              </m:sSub>
              <m:r>
                <m:t>)</m:t>
              </m:r>
            </m:den>
          </m:f>
        </m:oMath>
      </m:oMathPara>
    </w:p>
    <w:p>
      <w:pPr/>
      <w:r>
        <w:t xml:space="preserve">WindFlow's ground is smooth and no-slip, so wind near the ground is too weak: about 54 % under the EN profile at 1 m. For oblique winds the profile drifts 10.8 to 15.9 % at 2 m.</w:t>
      </w:r>
    </w:p>
    <w:p>
      <w:pPr>
        <w:pStyle w:val="Heading3"/>
      </w:pPr>
      <w:r>
        <w:t xml:space="preserve">Slow settling of the inflow</w:t>
      </w:r>
    </w:p>
    <w:p>
      <w:pPr/>
      <w:r>
        <w:t xml:space="preserve">The inflow settles slowly (about 40,000 steps) and its steady state depends on how the run started. In a 10-minute run results land about 1.5 to 3 % high, and two starts settle 0.5 to 4 % apart (0.47 % at 60 thousand cells, 4.3 % at 400 thousand). Two of the solver's own tests fail for this reason (chapter 10).</w:t>
      </w:r>
    </w:p>
    <w:p>
      <w:pPr/>
      <w:r>
        <w:t xml:space="preserve">A simpler equilibrium inflow was tried as the default and reverted in October 2026. It failed its cold-versus-warm-start bound (CPU 30 batches 1.4 % / 2.7 %; GPU 120 batches 1.03 % / 3.3 %), and the 40-cell cross-ventilation case failed with it (q 0.619 against a bound of 0.66, against 0.746 with the default). Every published validation number uses the default inflow.</w:t>
      </w:r>
    </w:p>
    <w:p>
      <w:pPr>
        <w:pStyle w:val="Heading3"/>
      </w:pPr>
      <w:r>
        <w:t xml:space="preserve">Gusts (High quality)</w:t>
      </w:r>
    </w:p>
    <w:p>
      <w:pPr/>
      <w:r>
        <w:t xml:space="preserve">Standard and Preview use a steady profile. High adds gusty approach turbulence after EN 1991-1-4, generated as a synthetic field with Smirnov decorrelation so gusts evolve in time, plus turbulent supply jets. The generated gust intensity reads 0.94 to 0.97 of the EN target.</w:t>
      </w:r>
    </w:p>
    <w:p>
      <w:pPr>
        <w:pStyle w:val="ListParagraph"/>
        <w:numPr>
          <w:ilvl w:val="0"/>
          <w:numId w:val="4"/>
        </w:numPr>
      </w:pPr>
      <w:r>
        <w:t xml:space="preserve">Each room's ACH then moves from batch to batch, so High's ranges are wide and the run usually ends at its time budget.</w:t>
      </w:r>
    </w:p>
    <w:p>
      <w:pPr>
        <w:pStyle w:val="ListParagraph"/>
        <w:numPr>
          <w:ilvl w:val="0"/>
          <w:numId w:val="4"/>
        </w:numPr>
      </w:pPr>
      <w:r>
        <w:t xml:space="preserve">Standard under-reads rooms ventilated mainly by gusts (one opening, or openings only on walls parallel to the wind); the app flags such rooms.</w:t>
      </w:r>
    </w:p>
    <w:p>
      <w:pPr>
        <w:pStyle w:val="ListParagraph"/>
        <w:numPr>
          <w:ilvl w:val="0"/>
          <w:numId w:val="4"/>
        </w:numPr>
      </w:pPr>
      <w:r>
        <w:t xml:space="preserve">Never mix a Standard number with a High one.</w:t>
      </w:r>
    </w:p>
    <w:p>
      <w:pPr>
        <w:pStyle w:val="Heading3"/>
      </w:pPr>
      <w:r>
        <w:t xml:space="preserve">Optional wall model</w:t>
      </w:r>
    </w:p>
    <w:p>
      <w:pPr/>
      <w:r>
        <w:t xml:space="preserve">A Werner–Wengle wall function sits under Expert → Settings. It is off by default, wind-only, and greyed out while Thermal is on. Results were mixed and grid-dependent (Annex 20 passes at 4 cells across the slot, fails at 8), and its laminar-flow test fails (2.57 % against 2 %), so it stays experimental.</w:t>
      </w:r>
    </w:p>
    <w:p>
      <w:pPr>
        <w:pStyle w:val="Heading2"/>
      </w:pPr>
      <w:r>
        <w:t xml:space="preserve">6. Age of air and air changes per hour</w:t>
      </w:r>
    </w:p>
    <w:p>
      <w:pPr/>
      <w:r>
        <w:t xml:space="preserve">A room's headline number, fresh-air ACH, is 3600 divided by the mean age of the air in that room. Because it is built from age, air that reaches a room second-hand through a neighbour counts at its real age, so a room fed by another room reads low even when plenty of air passes through it.</w:t>
      </w:r>
    </w:p>
    <w:p>
      <w:pPr>
        <w:pStyle w:val="Heading3"/>
      </w:pPr>
      <w:r>
        <w:t xml:space="preserve">Definitions</w:t>
      </w:r>
    </w:p>
    <w:p>
      <w:pPr/>
      <w:r>
        <w:t xml:space="preserve">The local age of air a(x) is the time since the air at x was last outdoors. Outdoor air has age 0. The room mean age and the fresh-air rate are:</w:t>
      </w:r>
    </w:p>
    <w:p>
      <w:pPr>
        <w:jc w:val="center"/>
      </w:pPr>
      <m:oMathPara>
        <m:oMath>
          <m:r>
            <m:t>⟨a⟩=</m:t>
          </m:r>
          <m:f>
            <m:fPr>
              <m:type m:val="bar"/>
            </m:fPr>
            <m:num>
              <m:r>
                <m:t>1</m:t>
              </m:r>
            </m:num>
            <m:den>
              <m:r>
                <m:t>V</m:t>
              </m:r>
            </m:den>
          </m:f>
          <m:nary>
            <m:naryPr>
              <m:chr m:val="∫"/>
              <m:limLoc m:val="subSup"/>
              <m:grow m:val="1"/>
              <m:subHide m:val="off"/>
              <m:supHide m:val="on"/>
            </m:naryPr>
            <m:sub>
              <m:r>
                <m:t>V</m:t>
              </m:r>
            </m:sub>
            <m:sup/>
            <m:e>
              <m:r>
                <m:t>a</m:t>
              </m:r>
            </m:e>
          </m:nary>
          <m:r>
            <m:rPr>
              <m:sty m:val="p"/>
            </m:rPr>
            <m:t>d</m:t>
          </m:r>
          <m:r>
            <m:t>V,</m:t>
          </m:r>
          <m:r>
            <m:rPr>
              <m:sty m:val="p"/>
            </m:rPr>
            <m:t xml:space="preserve"> </m:t>
          </m:r>
          <m:sSub>
            <m:e>
              <m:r>
                <m:rPr>
                  <m:sty m:val="p"/>
                </m:rPr>
                <m:t>ACH</m:t>
              </m:r>
            </m:e>
            <m:sub>
              <m:r>
                <m:rPr>
                  <m:sty m:val="p"/>
                </m:rPr>
                <m:t>fresh</m:t>
              </m:r>
            </m:sub>
          </m:sSub>
          <m:r>
            <m:t>=</m:t>
          </m:r>
          <m:f>
            <m:fPr>
              <m:type m:val="bar"/>
            </m:fPr>
            <m:num>
              <m:r>
                <m:t>3600</m:t>
              </m:r>
            </m:num>
            <m:den>
              <m:r>
                <m:t>⟨a⟩</m:t>
              </m:r>
              <m:r>
                <m:t>[</m:t>
              </m:r>
              <m:r>
                <m:rPr>
                  <m:sty m:val="p"/>
                </m:rPr>
                <m:t>s</m:t>
              </m:r>
              <m:r>
                <m:t>]</m:t>
              </m:r>
            </m:den>
          </m:f>
          <m:r>
            <m:t>[</m:t>
          </m:r>
          <m:sSup>
            <m:e>
              <m:r>
                <m:rPr>
                  <m:sty m:val="p"/>
                </m:rPr>
                <m:t>h</m:t>
              </m:r>
            </m:e>
            <m:sup>
              <m:r>
                <m:t>−1</m:t>
              </m:r>
            </m:sup>
          </m:sSup>
          <m:r>
            <m:t>]</m:t>
          </m:r>
        </m:oMath>
      </m:oMathPara>
    </w:p>
    <w:p>
      <w:pPr/>
      <w:r>
        <w:t xml:space="preserve">Fresh-air ACH does not use the room volume. It equals a true air-change rate only for fully mixed air, where the mean age equals the nominal time constant:</w:t>
      </w:r>
    </w:p>
    <w:p>
      <w:pPr>
        <w:jc w:val="center"/>
      </w:pPr>
      <m:oMathPara>
        <m:oMath>
          <m:r>
            <m:rPr>
              <m:nor/>
            </m:rPr>
            <m:t xml:space="preserve"> fully mixed:  </m:t>
          </m:r>
          <m:r>
            <m:t>⟨a⟩=</m:t>
          </m:r>
          <m:sSub>
            <m:e>
              <m:r>
                <m:t>τ</m:t>
              </m:r>
            </m:e>
            <m:sub>
              <m:r>
                <m:t>n</m:t>
              </m:r>
            </m:sub>
          </m:sSub>
          <m:r>
            <m:t>=</m:t>
          </m:r>
          <m:f>
            <m:fPr>
              <m:type m:val="bar"/>
            </m:fPr>
            <m:num>
              <m:r>
                <m:t>V</m:t>
              </m:r>
            </m:num>
            <m:den>
              <m:r>
                <m:t>Q</m:t>
              </m:r>
            </m:den>
          </m:f>
          <m:r>
            <m:rPr>
              <m:sty m:val="p"/>
            </m:rPr>
            <m:t xml:space="preserve"> </m:t>
          </m:r>
          <m:r>
            <m:t>⟹</m:t>
          </m:r>
          <m:r>
            <m:rPr>
              <m:sty m:val="p"/>
            </m:rPr>
            <m:t xml:space="preserve"> </m:t>
          </m:r>
          <m:sSub>
            <m:e>
              <m:r>
                <m:rPr>
                  <m:sty m:val="p"/>
                </m:rPr>
                <m:t>ACH</m:t>
              </m:r>
            </m:e>
            <m:sub>
              <m:r>
                <m:rPr>
                  <m:sty m:val="p"/>
                </m:rPr>
                <m:t>fresh</m:t>
              </m:r>
            </m:sub>
          </m:sSub>
          <m:r>
            <m:t>=</m:t>
          </m:r>
          <m:f>
            <m:fPr>
              <m:type m:val="bar"/>
            </m:fPr>
            <m:num>
              <m:r>
                <m:t>3600</m:t>
              </m:r>
              <m:r>
                <m:t>Q</m:t>
              </m:r>
            </m:num>
            <m:den>
              <m:r>
                <m:t>V</m:t>
              </m:r>
            </m:den>
          </m:f>
        </m:oMath>
      </m:oMathPara>
    </w:p>
    <w:p>
      <w:pPr/>
      <w:r>
        <w:t xml:space="preserve">Otherwise it is the room's </w:t>
      </w:r>
      <w:r>
        <w:rPr>
          <w:i/>
        </w:rPr>
        <w:t xml:space="preserve">mean-age equivalent</w:t>
      </w:r>
      <w:r>
        <w:t xml:space="preserve"> (Etheridge &amp; Sandberg 1996; Hurraß 2026). Total exchange counts every inflow, whatever its origin:</w:t>
      </w:r>
    </w:p>
    <w:p>
      <w:pPr>
        <w:jc w:val="center"/>
      </w:pPr>
      <m:oMathPara>
        <m:oMath>
          <m:sSub>
            <m:e>
              <m:r>
                <m:rPr>
                  <m:sty m:val="p"/>
                </m:rPr>
                <m:t>ACH</m:t>
              </m:r>
            </m:e>
            <m:sub>
              <m:r>
                <m:rPr>
                  <m:sty m:val="p"/>
                </m:rPr>
                <m:t>total</m:t>
              </m:r>
            </m:sub>
          </m:sSub>
          <m:r>
            <m:t>=</m:t>
          </m:r>
          <m:f>
            <m:fPr>
              <m:type m:val="bar"/>
            </m:fPr>
            <m:num>
              <m:r>
                <m:t>3600</m:t>
              </m:r>
              <m:sSub>
                <m:e>
                  <m:r>
                    <m:t>Q</m:t>
                  </m:r>
                </m:e>
                <m:sub>
                  <m:r>
                    <m:rPr>
                      <m:sty m:val="p"/>
                    </m:rPr>
                    <m:t>in</m:t>
                  </m:r>
                  <m:r>
                    <m:t>,</m:t>
                  </m:r>
                  <m:r>
                    <m:rPr>
                      <m:sty m:val="p"/>
                    </m:rPr>
                    <m:t>all</m:t>
                  </m:r>
                  <m:r>
                    <m:rPr>
                      <m:sty m:val="p"/>
                    </m:rPr>
                    <m:t>faces</m:t>
                  </m:r>
                </m:sub>
              </m:sSub>
            </m:num>
            <m:den>
              <m:sSub>
                <m:e>
                  <m:r>
                    <m:t>V</m:t>
                  </m:r>
                </m:e>
                <m:sub>
                  <m:r>
                    <m:rPr>
                      <m:sty m:val="p"/>
                    </m:rPr>
                    <m:t>nominal</m:t>
                  </m:r>
                </m:sub>
              </m:sSub>
            </m:den>
          </m:f>
        </m:oMath>
      </m:oMathPara>
    </w:p>
    <w:p>
      <w:pPr/>
      <w:r>
        <w:t xml:space="preserve">Air-change efficiency (ISO 16000-8) compares the exhaust age with the room mean; it is reported only for a room fed at least 90 % straight from outside:</w:t>
      </w:r>
    </w:p>
    <w:p>
      <w:pPr>
        <w:jc w:val="center"/>
      </w:pPr>
      <m:oMathPara>
        <m:oMath>
          <m:sSub>
            <m:e>
              <m:r>
                <m:t>ε</m:t>
              </m:r>
            </m:e>
            <m:sub>
              <m:r>
                <m:t>a</m:t>
              </m:r>
            </m:sub>
          </m:sSub>
          <m:r>
            <m:t>=</m:t>
          </m:r>
          <m:f>
            <m:fPr>
              <m:type m:val="bar"/>
            </m:fPr>
            <m:num>
              <m:sSub>
                <m:e>
                  <m:r>
                    <m:t>a</m:t>
                  </m:r>
                </m:e>
                <m:sub>
                  <m:r>
                    <m:rPr>
                      <m:sty m:val="p"/>
                    </m:rPr>
                    <m:t>exhaust</m:t>
                  </m:r>
                </m:sub>
              </m:sSub>
            </m:num>
            <m:den>
              <m:r>
                <m:t>2</m:t>
              </m:r>
              <m:r>
                <m:t>⟨a⟩</m:t>
              </m:r>
            </m:den>
          </m:f>
          <m:r>
            <m:rPr>
              <m:sty m:val="p"/>
            </m:rPr>
            <m:t xml:space="preserve"> </m:t>
          </m:r>
          <m:r>
            <m:t>0.5=</m:t>
          </m:r>
          <m:r>
            <m:rPr>
              <m:nor/>
            </m:rPr>
            <m:t xml:space="preserve"> fully mixed</m:t>
          </m:r>
          <m:r>
            <m:t>,</m:t>
          </m:r>
          <m:r>
            <m:rPr>
              <m:sty m:val="p"/>
            </m:rPr>
            <m:t xml:space="preserve"> </m:t>
          </m:r>
          <m:r>
            <m:t>1.0=</m:t>
          </m:r>
          <m:r>
            <m:rPr>
              <m:nor/>
            </m:rPr>
            <m:t xml:space="preserve"> piston flow </m:t>
          </m:r>
        </m:oMath>
      </m:oMathPara>
    </w:p>
    <w:p>
      <w:pPr/>
      <w:r>
        <w:drawing>
          <wp:inline distT="0" distB="0" distL="0" distR="0">
            <wp:extent cx="5486400" cy="1902278"/>
            <wp:docPr id="5" name="image5" descr="Figure 5 · two rooms in series: total exchange against fresh-air ACH"/>
            <a:graphic xmlns:a="http://schemas.openxmlformats.org/drawingml/2006/main">
              <a:graphicData uri="http://schemas.openxmlformats.org/drawingml/2006/picture">
                <pic:pic xmlns:pic="http://schemas.openxmlformats.org/drawingml/2006/picture">
                  <pic:nvPicPr>
                    <pic:cNvPr id="5" name="image5" descr="Figure 5 · two rooms in series: total exchange against fresh-air ACH"/>
                    <pic:cNvPicPr/>
                  </pic:nvPicPr>
                  <pic:blipFill>
                    <a:blip r:embed="rId7"/>
                    <a:stretch>
                      <a:fillRect/>
                    </a:stretch>
                  </pic:blipFill>
                  <pic:spPr>
                    <a:xfrm>
                      <a:off x="0" y="0"/>
                      <a:ext cx="5486400" cy="1902278"/>
                    </a:xfrm>
                    <a:prstGeom prst="rect">
                      <a:avLst/>
                    </a:prstGeom>
                  </pic:spPr>
                </pic:pic>
              </a:graphicData>
            </a:graphic>
          </wp:inline>
        </w:drawing>
      </w:r>
    </w:p>
    <w:p>
      <w:pPr/>
      <w:r>
        <w:t xml:space="preserve">Figure 5 · two rooms in series: total exchange against fresh-air ACH</w:t>
      </w:r>
    </w:p>
    <w:p>
      <w:pPr/>
      <w:r>
        <w:t xml:space="preserve">This is why a bedroom ventilated through a hall can show high total exchange and a modest fresh-air ACH at once; read the two columns together.</w:t>
      </w:r>
    </w:p>
    <w:p>
      <w:pPr>
        <w:pStyle w:val="Heading3"/>
      </w:pPr>
      <w:r>
        <w:t xml:space="preserve">Display states</w:t>
      </w:r>
    </w:p>
    <w:tbl>
      <w:tblPr>
        <w:tblStyle w:val="TableGrid"/>
        <w:tblW w:w="0" w:type="auto"/>
        <w:tblLayout w:type="fixed"/>
        <w:tblLook w:val="04A0" w:firstRow="1" w:lastRow="0" w:firstColumn="0" w:lastColumn="0" w:noHBand="0" w:noVBand="1"/>
      </w:tblPr>
      <w:tblGrid>
        <w:gridCol w:w="1769"/>
        <w:gridCol w:w="7590"/>
      </w:tblGrid>
      <w:tr>
        <w:trPr>
          <w:tblHeader/>
        </w:trPr>
        <w:tc>
          <w:tcPr>
            <w:tcW w:w="1769" w:type="dxa"/>
            <w:shd w:val="clear" w:color="auto" w:fill="F3F0EA"/>
          </w:tcPr>
          <w:p>
            <w:pPr/>
            <w:r>
              <w:t xml:space="preserve">Shown</w:t>
            </w:r>
          </w:p>
        </w:tc>
        <w:tc>
          <w:tcPr>
            <w:tcW w:w="7590" w:type="dxa"/>
            <w:shd w:val="clear" w:color="auto" w:fill="F3F0EA"/>
          </w:tcPr>
          <w:p>
            <w:pPr/>
            <w:r>
              <w:t xml:space="preserve">Meaning</w:t>
            </w:r>
          </w:p>
        </w:tc>
      </w:tr>
      <w:tr>
        <w:tc>
          <w:tcPr>
            <w:tcW w:w="1769" w:type="dxa"/>
          </w:tcPr>
          <w:p>
            <w:pPr/>
            <w:r>
              <w:t xml:space="preserve">—</w:t>
            </w:r>
          </w:p>
        </w:tc>
        <w:tc>
          <w:tcPr>
            <w:tcW w:w="7590" w:type="dxa"/>
          </w:tcPr>
          <w:p>
            <w:pPr/>
            <w:r>
              <w:t xml:space="preserve">Age not solved, or the room outline is drawn through open air</w:t>
            </w:r>
          </w:p>
        </w:tc>
      </w:tr>
      <w:tr>
        <w:tc>
          <w:tcPr>
            <w:tcW w:w="1769" w:type="dxa"/>
          </w:tcPr>
          <w:p>
            <w:pPr/>
            <w:r>
              <w:t xml:space="preserve">sealed</w:t>
            </w:r>
          </w:p>
        </w:tc>
        <w:tc>
          <w:tcPr>
            <w:tcW w:w="7590" w:type="dxa"/>
          </w:tcPr>
          <w:p>
            <w:pPr/>
            <w:r>
              <w:t xml:space="preserve">No air path reaches the room; its age sits at the solver's 24-hour cap</w:t>
            </w:r>
          </w:p>
        </w:tc>
      </w:tr>
      <w:tr>
        <w:tc>
          <w:tcPr>
            <w:tcW w:w="1769" w:type="dxa"/>
          </w:tcPr>
          <w:p>
            <w:pPr/>
            <w:r>
              <w:t xml:space="preserve">(steady)</w:t>
            </w:r>
          </w:p>
        </w:tc>
        <w:tc>
          <w:tcPr>
            <w:tcW w:w="7590" w:type="dxa"/>
          </w:tcPr>
          <w:p>
            <w:pPr/>
            <w:r>
              <w:t xml:space="preserve">This room's online age had not settled; the steady age is shown, with no ±</w:t>
            </w:r>
          </w:p>
        </w:tc>
      </w:tr>
      <w:tr>
        <w:tc>
          <w:tcPr>
            <w:tcW w:w="1769" w:type="dxa"/>
          </w:tcPr>
          <w:p>
            <w:pPr/>
            <w:r>
              <w:t xml:space="preserve">(drifting)</w:t>
            </w:r>
          </w:p>
        </w:tc>
        <w:tc>
          <w:tcPr>
            <w:tcW w:w="7590" w:type="dxa"/>
          </w:tcPr>
          <w:p>
            <w:pPr/>
            <w:r>
              <w:t xml:space="preserve">The averaged batches had not levelled off</w:t>
            </w:r>
          </w:p>
        </w:tc>
      </w:tr>
    </w:tbl>
    <w:p>
      <w:pPr/>
      <w:r>
        <w:t xml:space="preserve">Outdoor air counts as age 0, so exhaust that leaves a room and is drawn back in counts as fresh. The region where age and CO2 are solved includes a 1 m outdoor ring. On the sample house the online age agrees with a tracer within 9 % in every room; strong re-entry at a façade has not been tested.</w:t>
      </w:r>
    </w:p>
    <w:p>
      <w:pPr>
        <w:pStyle w:val="Heading3"/>
      </w:pPr>
      <w:r>
        <w:t xml:space="preserve">Two ways to get the age</w:t>
      </w:r>
    </w:p>
    <w:p>
      <w:pPr/>
      <w:r>
        <w:rPr>
          <w:b/>
        </w:rPr>
        <w:t xml:space="preserve">Steady age</w:t>
      </w:r>
      <w:r>
        <w:t xml:space="preserve"> solves Sandberg's steady mean-age equation on the time-averaged flow ū. It is cheap but carries no resolved turbulent mixing:</w:t>
      </w:r>
    </w:p>
    <w:p>
      <w:pPr>
        <w:jc w:val="center"/>
      </w:pPr>
      <m:oMathPara>
        <m:oMath>
          <m:r>
            <m:rPr>
              <m:sty m:val="p"/>
            </m:rPr>
            <m:t>∇</m:t>
          </m:r>
          <m:r>
            <m:t>⋅(</m:t>
          </m:r>
          <m:bar>
            <m:barPr>
              <m:pos m:val="top"/>
            </m:barPr>
            <m:e>
              <m:r>
                <m:rPr>
                  <m:sty m:val="b"/>
                </m:rPr>
                <m:t>u</m:t>
              </m:r>
            </m:e>
          </m:bar>
          <m:r>
            <m:t>a)=</m:t>
          </m:r>
          <m:r>
            <m:rPr>
              <m:sty m:val="p"/>
            </m:rPr>
            <m:t>∇</m:t>
          </m:r>
          <m:r>
            <m:t>⋅(D</m:t>
          </m:r>
          <m:r>
            <m:rPr>
              <m:sty m:val="p"/>
            </m:rPr>
            <m:t>∇</m:t>
          </m:r>
          <m:r>
            <m:t>a)+1,</m:t>
          </m:r>
          <m:r>
            <m:rPr>
              <m:sty m:val="p"/>
            </m:rPr>
            <m:t xml:space="preserve"> </m:t>
          </m:r>
          <m:r>
            <m:t>a=0</m:t>
          </m:r>
          <m:r>
            <m:rPr>
              <m:nor/>
            </m:rPr>
            <m:t xml:space="preserve"> in outdoor air </m:t>
          </m:r>
        </m:oMath>
      </m:oMathPara>
    </w:p>
    <w:p>
      <w:pPr/>
      <w:r>
        <w:rPr>
          <w:b/>
        </w:rPr>
        <w:t xml:space="preserve">Online age</w:t>
      </w:r>
      <w:r>
        <w:t xml:space="preserve"> is carried by the solver every step, through the instantaneous turbulent flow, and then time-averaged:</w:t>
      </w:r>
    </w:p>
    <w:p>
      <w:pPr>
        <w:jc w:val="center"/>
      </w:pPr>
      <m:oMathPara>
        <m:oMath>
          <m:f>
            <m:fPr>
              <m:type m:val="bar"/>
            </m:fPr>
            <m:num>
              <m:r>
                <m:t>∂a</m:t>
              </m:r>
            </m:num>
            <m:den>
              <m:r>
                <m:t>∂t</m:t>
              </m:r>
            </m:den>
          </m:f>
          <m:r>
            <m:t>+</m:t>
          </m:r>
          <m:r>
            <m:rPr>
              <m:sty m:val="p"/>
            </m:rPr>
            <m:t>∇</m:t>
          </m:r>
          <m:r>
            <m:t>⋅(</m:t>
          </m:r>
          <m:r>
            <m:rPr>
              <m:sty m:val="b"/>
            </m:rPr>
            <m:t>u</m:t>
          </m:r>
          <m:r>
            <m:t>a)=</m:t>
          </m:r>
          <m:r>
            <m:rPr>
              <m:sty m:val="p"/>
            </m:rPr>
            <m:t>∇</m:t>
          </m:r>
          <m:r>
            <m:t>⋅(D</m:t>
          </m:r>
          <m:r>
            <m:rPr>
              <m:sty m:val="p"/>
            </m:rPr>
            <m:t>∇</m:t>
          </m:r>
          <m:r>
            <m:t>a)+1</m:t>
          </m:r>
        </m:oMath>
      </m:oMathPara>
    </w:p>
    <w:p>
      <w:pPr/>
      <w:r>
        <w:t xml:space="preserve">The “+1” source makes age grow by one second per second wherever the air is. The steady form is biased: it reads fresh air lower in slowly recirculating rooms and higher in fast-flushed ones, by about 30 % either way per room. Online age costs 6 to 8 % more per step and about 17 bytes per cell on the GPU. The exhaust-age check against V ÷ Q reads 106.2 s against 100.8 s (5.3 % error, band ≤ 10 %).</w:t>
      </w:r>
    </w:p>
    <w:tbl>
      <w:tblPr>
        <w:tblStyle w:val="TableGrid"/>
        <w:tblW w:w="0" w:type="auto"/>
        <w:tblLayout w:type="fixed"/>
        <w:tblLook w:val="04A0" w:firstRow="1" w:lastRow="0" w:firstColumn="0" w:lastColumn="0" w:noHBand="0" w:noVBand="1"/>
      </w:tblPr>
      <w:tblGrid>
        <w:gridCol w:w="1884"/>
        <w:gridCol w:w="3858"/>
        <w:gridCol w:w="3618"/>
      </w:tblGrid>
      <w:tr>
        <w:trPr>
          <w:tblHeader/>
        </w:trPr>
        <w:tc>
          <w:tcPr>
            <w:tcW w:w="1884" w:type="dxa"/>
            <w:shd w:val="clear" w:color="auto" w:fill="F3F0EA"/>
          </w:tcPr>
          <w:p>
            <w:pPr/>
            <w:r>
              <w:t xml:space="preserve">Run</w:t>
            </w:r>
          </w:p>
        </w:tc>
        <w:tc>
          <w:tcPr>
            <w:tcW w:w="3858" w:type="dxa"/>
            <w:shd w:val="clear" w:color="auto" w:fill="F3F0EA"/>
          </w:tcPr>
          <w:p>
            <w:pPr/>
            <w:r>
              <w:t xml:space="preserve">Headline fresh-air ACH</w:t>
            </w:r>
          </w:p>
        </w:tc>
        <w:tc>
          <w:tcPr>
            <w:tcW w:w="3618" w:type="dxa"/>
            <w:shd w:val="clear" w:color="auto" w:fill="F3F0EA"/>
          </w:tcPr>
          <w:p>
            <w:pPr/>
            <w:r>
              <w:t xml:space="preserve">Shown beside it</w:t>
            </w:r>
          </w:p>
        </w:tc>
      </w:tr>
      <w:tr>
        <w:tc>
          <w:tcPr>
            <w:tcW w:w="1884" w:type="dxa"/>
          </w:tcPr>
          <w:p>
            <w:pPr/>
            <w:r>
              <w:t xml:space="preserve">Preview</w:t>
            </w:r>
          </w:p>
        </w:tc>
        <w:tc>
          <w:tcPr>
            <w:tcW w:w="3858" w:type="dxa"/>
          </w:tcPr>
          <w:p>
            <w:pPr/>
            <w:r>
              <w:t xml:space="preserve">Steady age on the mean flow</w:t>
            </w:r>
          </w:p>
        </w:tc>
        <w:tc>
          <w:tcPr>
            <w:tcW w:w="3618" w:type="dxa"/>
          </w:tcPr>
          <w:p>
            <w:pPr/>
            <w:r>
              <w:t xml:space="preserve">Nothing; muted, marked “~”</w:t>
            </w:r>
          </w:p>
        </w:tc>
      </w:tr>
      <w:tr>
        <w:tc>
          <w:tcPr>
            <w:tcW w:w="1884" w:type="dxa"/>
          </w:tcPr>
          <w:p>
            <w:pPr/>
            <w:r>
              <w:t xml:space="preserve">Standard (fine grid, steady wind)</w:t>
            </w:r>
          </w:p>
        </w:tc>
        <w:tc>
          <w:tcPr>
            <w:tcW w:w="3858" w:type="dxa"/>
          </w:tcPr>
          <w:p>
            <w:pPr/>
            <w:r>
              <w:t xml:space="preserve">Online age where it settled; steady age, marked “steady age”, where it did not</w:t>
            </w:r>
          </w:p>
        </w:tc>
        <w:tc>
          <w:tcPr>
            <w:tcW w:w="3618" w:type="dxa"/>
          </w:tcPr>
          <w:p>
            <w:pPr/>
            <w:r>
              <w:t xml:space="preserve">No ± for a steady-age room</w:t>
            </w:r>
          </w:p>
        </w:tc>
      </w:tr>
      <w:tr>
        <w:tc>
          <w:tcPr>
            <w:tcW w:w="1884" w:type="dxa"/>
          </w:tcPr>
          <w:p>
            <w:pPr/>
            <w:r>
              <w:t xml:space="preserve">High (fine grid, gusty wind)</w:t>
            </w:r>
          </w:p>
        </w:tc>
        <w:tc>
          <w:tcPr>
            <w:tcW w:w="3858" w:type="dxa"/>
          </w:tcPr>
          <w:p>
            <w:pPr/>
            <w:r>
              <w:t xml:space="preserve">Online age through the gusts</w:t>
            </w:r>
          </w:p>
        </w:tc>
        <w:tc>
          <w:tcPr>
            <w:tcW w:w="3618" w:type="dxa"/>
          </w:tcPr>
          <w:p>
            <w:pPr/>
            <w:r>
              <w:t xml:space="preserve">“Fresh-air (steady age)”, which ignores gust mixing and usually reads lower</w:t>
            </w:r>
          </w:p>
        </w:tc>
      </w:tr>
    </w:tbl>
    <w:p>
      <w:pPr>
        <w:pStyle w:val="Heading3"/>
      </w:pPr>
      <w:r>
        <w:t xml:space="preserve">Why High uses the online age</w:t>
      </w:r>
    </w:p>
    <w:p>
      <w:pPr/>
      <w:r>
        <w:t xml:space="preserve">In gusty wind the steady age misses most of the mixing. On the sample house, one High run printed both ages on the same mean flow. The building fresh-air rate was 27.0 ACH from the online age against 13.3 from the steady age; before this change High read below Standard (13.7 against 18.3 ACH). No tracer-proven reference exists for a gusty case.</w:t>
      </w:r>
    </w:p>
    <w:p>
      <w:pPr/>
      <w:r>
        <w:drawing>
          <wp:inline distT="0" distB="0" distL="0" distR="0">
            <wp:extent cx="5486400" cy="2481942"/>
            <wp:docPr id="6" name="image6" descr="Figure 6 · WindFlow test records, High run, sample house, same mean flow for both ages"/>
            <a:graphic xmlns:a="http://schemas.openxmlformats.org/drawingml/2006/main">
              <a:graphicData uri="http://schemas.openxmlformats.org/drawingml/2006/picture">
                <pic:pic xmlns:pic="http://schemas.openxmlformats.org/drawingml/2006/picture">
                  <pic:nvPicPr>
                    <pic:cNvPr id="6" name="image6" descr="Figure 6 · WindFlow test records, High run, sample house, same mean flow for both ages"/>
                    <pic:cNvPicPr/>
                  </pic:nvPicPr>
                  <pic:blipFill>
                    <a:blip r:embed="rId8"/>
                    <a:stretch>
                      <a:fillRect/>
                    </a:stretch>
                  </pic:blipFill>
                  <pic:spPr>
                    <a:xfrm>
                      <a:off x="0" y="0"/>
                      <a:ext cx="5486400" cy="2481942"/>
                    </a:xfrm>
                    <a:prstGeom prst="rect">
                      <a:avLst/>
                    </a:prstGeom>
                  </pic:spPr>
                </pic:pic>
              </a:graphicData>
            </a:graphic>
          </wp:inline>
        </w:drawing>
      </w:r>
    </w:p>
    <w:p>
      <w:pPr/>
      <w:r>
        <w:t xml:space="preserve">Figure 6 · WindFlow test records, High run, sample house, same mean flow for both ages</w:t>
      </w:r>
    </w:p>
    <w:p>
      <w:pPr/>
      <w:r>
        <w:t xml:space="preserve">The steady age can err in both directions: it reads air older in four rooms and younger in two. In High the steady value read about 50 % low overall (Living −51 %, Bedroom 2 −67 % in fresh-air ACH), which is why High carries the online age.</w:t>
      </w:r>
    </w:p>
    <w:p>
      <w:pPr>
        <w:pStyle w:val="Heading2"/>
      </w:pPr>
      <w:r>
        <w:t xml:space="preserve">7. How a run decides it is done</w:t>
      </w:r>
    </w:p>
    <w:p>
      <w:pPr/>
      <w:r>
        <w:t xml:space="preserve">An Accurate run averages each room's ACH over batches and stops only when a strict 99 % test says the mean has settled. With the online age that test usually needs 160 to 310 batches, so the default 10-minute Standard run normally ends at its time budget and shows ranges, not settled values.</w:t>
      </w:r>
    </w:p>
    <w:p>
      <w:pPr/>
      <w:r>
        <w:drawing>
          <wp:inline distT="0" distB="0" distL="0" distR="0">
            <wp:extent cx="5486400" cy="4384221"/>
            <wp:docPr id="7" name="image7" descr="Figure 7 · the Accurate-run stop rule"/>
            <a:graphic xmlns:a="http://schemas.openxmlformats.org/drawingml/2006/main">
              <a:graphicData uri="http://schemas.openxmlformats.org/drawingml/2006/picture">
                <pic:pic xmlns:pic="http://schemas.openxmlformats.org/drawingml/2006/picture">
                  <pic:nvPicPr>
                    <pic:cNvPr id="7" name="image7" descr="Figure 7 · the Accurate-run stop rule"/>
                    <pic:cNvPicPr/>
                  </pic:nvPicPr>
                  <pic:blipFill>
                    <a:blip r:embed="rId9"/>
                    <a:stretch>
                      <a:fillRect/>
                    </a:stretch>
                  </pic:blipFill>
                  <pic:spPr>
                    <a:xfrm>
                      <a:off x="0" y="0"/>
                      <a:ext cx="5486400" cy="4384221"/>
                    </a:xfrm>
                    <a:prstGeom prst="rect">
                      <a:avLst/>
                    </a:prstGeom>
                  </pic:spPr>
                </pic:pic>
              </a:graphicData>
            </a:graphic>
          </wp:inline>
        </w:drawing>
      </w:r>
    </w:p>
    <w:p>
      <w:pPr/>
      <w:r>
        <w:t xml:space="preserve">Figure 7 · the Accurate-run stop rule</w:t>
      </w:r>
    </w:p>
    <w:p>
      <w:pPr/>
      <w:r>
        <w:t xml:space="preserve">The range shown on screen is the 95 % interval; the stop test uses the wider 99 % width, so a room can show a tight range and still not read Settled.</w:t>
      </w:r>
    </w:p>
    <w:p>
      <w:pPr>
        <w:pStyle w:val="Heading3"/>
      </w:pPr>
      <w:r>
        <w:t xml:space="preserve">The rule, step by step</w:t>
      </w:r>
    </w:p>
    <w:p>
      <w:pPr>
        <w:pStyle w:val="ListParagraph"/>
        <w:numPr>
          <w:ilvl w:val="0"/>
          <w:numId w:val="5"/>
        </w:numPr>
      </w:pPr>
      <w:r>
        <w:rPr>
          <w:b/>
        </w:rPr>
        <w:t xml:space="preserve">Batches.</w:t>
      </w:r>
      <w:r>
        <w:t xml:space="preserve"> Each batch lasts at least one flow-through of the slowest room. No run stops before 16 batches.</w:t>
      </w:r>
    </w:p>
    <w:p>
      <w:pPr>
        <w:pStyle w:val="ListParagraph"/>
        <w:numPr>
          <w:ilvl w:val="0"/>
          <w:numId w:val="5"/>
        </w:numPr>
      </w:pPr>
      <w:r>
        <w:rPr>
          <w:b/>
        </w:rPr>
        <w:t xml:space="preserve">Cut the start-up.</w:t>
      </w:r>
      <w:r>
        <w:t xml:space="preserve"> Of n batches so far, drop the first d, where d is the largest power of two not above n/2. Keep m = n − d.</w:t>
      </w:r>
    </w:p>
    <w:p>
      <w:pPr>
        <w:pStyle w:val="ListParagraph"/>
        <w:numPr>
          <w:ilvl w:val="0"/>
          <w:numId w:val="5"/>
        </w:numPr>
      </w:pPr>
      <w:r>
        <w:rPr>
          <w:b/>
        </w:rPr>
        <w:t xml:space="preserve">Mean and interval.</w:t>
      </w:r>
      <w:r>
        <w:t xml:space="preserve"> Each room's ACH is the mean of the kept batches, with a Student-t interval widened for correlation between neighbouring batches.</w:t>
      </w:r>
    </w:p>
    <w:p>
      <w:pPr>
        <w:pStyle w:val="ListParagraph"/>
        <w:numPr>
          <w:ilvl w:val="0"/>
          <w:numId w:val="5"/>
        </w:numPr>
      </w:pPr>
      <w:r>
        <w:rPr>
          <w:b/>
        </w:rPr>
        <w:t xml:space="preserve">Stop test.</w:t>
      </w:r>
      <w:r>
        <w:t xml:space="preserve"> The 99 % half-width is under the aim (5 % of the room's ACH, with a floor), at least 5 batches are kept, and the first and second halves of the kept batches agree. Only then does the room read </w:t>
      </w:r>
      <w:r>
        <w:rPr>
          <w:i/>
        </w:rPr>
        <w:t xml:space="preserve">Settled</w:t>
      </w:r>
      <w:r>
        <w:t xml:space="preserve">.</w:t>
      </w:r>
    </w:p>
    <w:p>
      <w:pPr/>
      <w:r>
        <w:t xml:space="preserve">In symbols:</w:t>
      </w:r>
    </w:p>
    <w:p>
      <w:pPr>
        <w:jc w:val="center"/>
      </w:pPr>
      <m:oMathPara>
        <m:oMath>
          <m:r>
            <m:t>d=</m:t>
          </m:r>
          <m:sSup>
            <m:e>
              <m:r>
                <m:t>2</m:t>
              </m:r>
            </m:e>
            <m:sup>
              <m:d>
                <m:dPr>
                  <m:begChr m:val="⌊"/>
                  <m:sepChr m:val=""/>
                  <m:endChr m:val="⌋"/>
                </m:dPr>
                <m:e>
                  <m:sSub>
                    <m:e>
                      <m:r>
                        <m:rPr>
                          <m:sty m:val="p"/>
                        </m:rPr>
                        <m:t>log</m:t>
                      </m:r>
                    </m:e>
                    <m:sub>
                      <m:r>
                        <m:t>2</m:t>
                      </m:r>
                    </m:sub>
                  </m:sSub>
                  <m:r>
                    <m:t>(</m:t>
                  </m:r>
                  <m:r>
                    <m:t>n</m:t>
                  </m:r>
                  <m:r>
                    <m:t>/</m:t>
                  </m:r>
                  <m:r>
                    <m:t>2</m:t>
                  </m:r>
                  <m:r>
                    <m:t>)</m:t>
                  </m:r>
                </m:e>
              </m:d>
            </m:sup>
          </m:sSup>
          <m:r>
            <m:t>,</m:t>
          </m:r>
          <m:r>
            <m:rPr>
              <m:sty m:val="p"/>
            </m:rPr>
            <m:t xml:space="preserve"> </m:t>
          </m:r>
          <m:r>
            <m:t>m=n−d,</m:t>
          </m:r>
          <m:r>
            <m:rPr>
              <m:sty m:val="p"/>
            </m:rPr>
            <m:t xml:space="preserve"> </m:t>
          </m:r>
          <m:bar>
            <m:barPr>
              <m:pos m:val="top"/>
            </m:barPr>
            <m:e>
              <m:r>
                <m:t>x</m:t>
              </m:r>
            </m:e>
          </m:bar>
          <m:r>
            <m:t>=</m:t>
          </m:r>
          <m:f>
            <m:fPr>
              <m:type m:val="bar"/>
            </m:fPr>
            <m:num>
              <m:r>
                <m:t>1</m:t>
              </m:r>
            </m:num>
            <m:den>
              <m:r>
                <m:t>m</m:t>
              </m:r>
            </m:den>
          </m:f>
          <m:nary>
            <m:naryPr>
              <m:chr m:val="∑"/>
              <m:limLoc m:val="undOvr"/>
              <m:grow m:val="1"/>
              <m:subHide m:val="off"/>
              <m:supHide m:val="off"/>
            </m:naryPr>
            <m:sub>
              <m:r>
                <m:t>k=d+1</m:t>
              </m:r>
            </m:sub>
            <m:sup>
              <m:r>
                <m:t>n</m:t>
              </m:r>
            </m:sup>
            <m:e>
              <m:sSub>
                <m:e>
                  <m:r>
                    <m:t>x</m:t>
                  </m:r>
                </m:e>
                <m:sub>
                  <m:r>
                    <m:t>k</m:t>
                  </m:r>
                </m:sub>
              </m:sSub>
            </m:e>
          </m:nary>
        </m:oMath>
      </m:oMathPara>
    </w:p>
    <w:p/>
    <w:p>
      <w:pPr>
        <w:jc w:val="center"/>
      </w:pPr>
      <m:oMathPara>
        <m:oMath>
          <m:sSub>
            <m:e>
              <m:r>
                <m:t>h</m:t>
              </m:r>
            </m:e>
            <m:sub>
              <m:r>
                <m:t>p</m:t>
              </m:r>
            </m:sub>
          </m:sSub>
          <m:r>
            <m:t>=</m:t>
          </m:r>
          <m:sSub>
            <m:e>
              <m:r>
                <m:t>t</m:t>
              </m:r>
            </m:e>
            <m:sub>
              <m:r>
                <m:t>p,</m:t>
              </m:r>
              <m:r>
                <m:t>m−1</m:t>
              </m:r>
            </m:sub>
          </m:sSub>
          <m:f>
            <m:fPr>
              <m:type m:val="bar"/>
            </m:fPr>
            <m:num>
              <m:r>
                <m:t>s</m:t>
              </m:r>
            </m:num>
            <m:den>
              <m:rad>
                <m:radPr>
                  <m:degHide m:val="on"/>
                </m:radPr>
                <m:deg/>
                <m:e>
                  <m:r>
                    <m:t>m</m:t>
                  </m:r>
                </m:e>
              </m:rad>
            </m:den>
          </m:f>
          <m:r>
            <m:t>κ,</m:t>
          </m:r>
          <m:r>
            <m:rPr>
              <m:sty m:val="p"/>
            </m:rPr>
            <m:t xml:space="preserve">  report </m:t>
          </m:r>
          <m:bar>
            <m:barPr>
              <m:pos m:val="top"/>
            </m:barPr>
            <m:e>
              <m:r>
                <m:t>x</m:t>
              </m:r>
            </m:e>
          </m:bar>
          <m:r>
            <m:t>±</m:t>
          </m:r>
          <m:sSub>
            <m:e>
              <m:r>
                <m:t>h</m:t>
              </m:r>
            </m:e>
            <m:sub>
              <m:r>
                <m:t>0.975</m:t>
              </m:r>
            </m:sub>
          </m:sSub>
          <m:r>
            <m:t>,</m:t>
          </m:r>
          <m:r>
            <m:rPr>
              <m:sty m:val="p"/>
            </m:rPr>
            <m:t xml:space="preserve">  stop when </m:t>
          </m:r>
          <m:sSub>
            <m:e>
              <m:r>
                <m:t>h</m:t>
              </m:r>
            </m:e>
            <m:sub>
              <m:r>
                <m:t>0.995</m:t>
              </m:r>
            </m:sub>
          </m:sSub>
          <m:r>
            <m:t>&lt;</m:t>
          </m:r>
          <m:r>
            <m:rPr>
              <m:sty m:val="p"/>
            </m:rPr>
            <m:t>max</m:t>
          </m:r>
          <m:r>
            <m:t>(0.05</m:t>
          </m:r>
          <m:bar>
            <m:barPr>
              <m:pos m:val="top"/>
            </m:barPr>
            <m:e>
              <m:r>
                <m:t>x</m:t>
              </m:r>
            </m:e>
          </m:bar>
          <m:r>
            <m:t>,</m:t>
          </m:r>
          <m:r>
            <m:rPr>
              <m:nor/>
            </m:rPr>
            <m:t xml:space="preserve"> floor</m:t>
          </m:r>
          <m:r>
            <m:t>),</m:t>
          </m:r>
          <m:r>
            <m:t>m≥5,</m:t>
          </m:r>
          <m:r>
            <m:rPr>
              <m:nor/>
            </m:rPr>
            <m:t xml:space="preserve"> halves agree </m:t>
          </m:r>
        </m:oMath>
      </m:oMathPara>
    </w:p>
    <w:p>
      <w:pPr/>
      <w:r>
        <w:t xml:space="preserve">For example, at n = 16 the first 8 batches are dropped; at n = 40, the first 16. The interval is widened for batch-to-batch correlation. WindFlow uses κ = √((1+ρ)/(1−ρ)), with ρ the bias-corrected lag-1 correlation of batch means, clamped to 0 to 0.9 (0 below 8 batches), and Student-t degrees of freedom from m(1−ρ)/(1+ρ). The stop test's floor is 0.2 ACH. The factor is shown below, with the effective number of independent batches it implies:</w:t>
      </w:r>
    </w:p>
    <w:p>
      <w:pPr>
        <w:jc w:val="center"/>
      </w:pPr>
      <m:oMathPara>
        <m:oMath>
          <m:r>
            <m:t>κ=</m:t>
          </m:r>
          <m:rad>
            <m:radPr>
              <m:degHide m:val="on"/>
            </m:radPr>
            <m:deg/>
            <m:e>
              <m:f>
                <m:fPr>
                  <m:type m:val="bar"/>
                </m:fPr>
                <m:num>
                  <m:r>
                    <m:t>1+ρ</m:t>
                  </m:r>
                </m:num>
                <m:den>
                  <m:r>
                    <m:t>1−ρ</m:t>
                  </m:r>
                </m:den>
              </m:f>
            </m:e>
          </m:rad>
          <m:r>
            <m:t>,</m:t>
          </m:r>
          <m:r>
            <m:rPr>
              <m:sty m:val="p"/>
            </m:rPr>
            <m:t xml:space="preserve"> </m:t>
          </m:r>
          <m:sSub>
            <m:e>
              <m:r>
                <m:t>m</m:t>
              </m:r>
            </m:e>
            <m:sub>
              <m:r>
                <m:rPr>
                  <m:sty m:val="p"/>
                </m:rPr>
                <m:t>eff</m:t>
              </m:r>
            </m:sub>
          </m:sSub>
          <m:r>
            <m:t>=m</m:t>
          </m:r>
          <m:f>
            <m:fPr>
              <m:type m:val="bar"/>
            </m:fPr>
            <m:num>
              <m:r>
                <m:t>1−ρ</m:t>
              </m:r>
            </m:num>
            <m:den>
              <m:r>
                <m:t>1+ρ</m:t>
              </m:r>
            </m:den>
          </m:f>
        </m:oMath>
      </m:oMathPara>
    </w:p>
    <w:p>
      <w:pPr/>
      <w:r>
        <w:t xml:space="preserve">The online age has ρ = 0.85 to 0.97. By this form, each independent batch then costs about 12 to 19 real batches (ρ is clamped at 0.9, so at most about 19). The 160 to 310 batches the records report are an observed figure (27 to 53 minutes at 5 M cells).</w:t>
      </w:r>
    </w:p>
    <w:p>
      <w:pPr>
        <w:pStyle w:val="Heading3"/>
      </w:pPr>
      <w:r>
        <w:t xml:space="preserve">What the rule guarantees, and what it does not</w:t>
      </w:r>
    </w:p>
    <w:p>
      <w:pPr>
        <w:pStyle w:val="ListParagraph"/>
        <w:numPr>
          <w:ilvl w:val="0"/>
          <w:numId w:val="6"/>
        </w:numPr>
      </w:pPr>
      <w:r>
        <w:t xml:space="preserve">Checked on simulated correlated batch means: at ρ = 0.7 the 95 % intervals covered the truth 96 % of the time.</w:t>
      </w:r>
    </w:p>
    <w:p>
      <w:pPr>
        <w:pStyle w:val="ListParagraph"/>
        <w:numPr>
          <w:ilvl w:val="0"/>
          <w:numId w:val="6"/>
        </w:numPr>
      </w:pPr>
      <w:r>
        <w:t xml:space="preserve">Not shown to be right for every building.</w:t>
      </w:r>
    </w:p>
    <w:p>
      <w:pPr>
        <w:pStyle w:val="ListParagraph"/>
        <w:numPr>
          <w:ilvl w:val="0"/>
          <w:numId w:val="6"/>
        </w:numPr>
      </w:pPr>
      <w:r>
        <w:rPr>
          <w:i/>
        </w:rPr>
        <w:t xml:space="preserve">Settled</w:t>
      </w:r>
      <w:r>
        <w:t xml:space="preserve"> cannot exclude a drift of up to about 1.5 times the aim; a room whose batches still drift is marked “(drifting)”.</w:t>
      </w:r>
    </w:p>
    <w:p>
      <w:pPr>
        <w:pStyle w:val="ListParagraph"/>
        <w:numPr>
          <w:ilvl w:val="0"/>
          <w:numId w:val="6"/>
        </w:numPr>
      </w:pPr>
      <w:r>
        <w:t xml:space="preserve">The ± is statistical only. Grid, inflow and model error are not in it, and it excludes slow age drift.</w:t>
      </w:r>
    </w:p>
    <w:p>
      <w:pPr>
        <w:pStyle w:val="Heading3"/>
      </w:pPr>
      <w:r>
        <w:t xml:space="preserve">Outcomes on screen</w:t>
      </w:r>
    </w:p>
    <w:tbl>
      <w:tblPr>
        <w:tblStyle w:val="TableGrid"/>
        <w:tblW w:w="0" w:type="auto"/>
        <w:tblLayout w:type="fixed"/>
        <w:tblLook w:val="04A0" w:firstRow="1" w:lastRow="0" w:firstColumn="0" w:lastColumn="0" w:noHBand="0" w:noVBand="1"/>
      </w:tblPr>
      <w:tblGrid>
        <w:gridCol w:w="4252"/>
        <w:gridCol w:w="5107"/>
      </w:tblGrid>
      <w:tr>
        <w:trPr>
          <w:tblHeader/>
        </w:trPr>
        <w:tc>
          <w:tcPr>
            <w:tcW w:w="4252" w:type="dxa"/>
            <w:shd w:val="clear" w:color="auto" w:fill="F3F0EA"/>
          </w:tcPr>
          <w:p>
            <w:pPr/>
            <w:r>
              <w:t xml:space="preserve">Shown</w:t>
            </w:r>
          </w:p>
        </w:tc>
        <w:tc>
          <w:tcPr>
            <w:tcW w:w="5107" w:type="dxa"/>
            <w:shd w:val="clear" w:color="auto" w:fill="F3F0EA"/>
          </w:tcPr>
          <w:p>
            <w:pPr/>
            <w:r>
              <w:t xml:space="preserve">When</w:t>
            </w:r>
          </w:p>
        </w:tc>
      </w:tr>
      <w:tr>
        <w:tc>
          <w:tcPr>
            <w:tcW w:w="4252" w:type="dxa"/>
          </w:tcPr>
          <w:p>
            <w:pPr/>
            <w:r>
              <w:t xml:space="preserve">Settled</w:t>
            </w:r>
          </w:p>
        </w:tc>
        <w:tc>
          <w:tcPr>
            <w:tcW w:w="5107" w:type="dxa"/>
          </w:tcPr>
          <w:p>
            <w:pPr/>
            <w:r>
              <w:t xml:space="preserve">Stop test met for every room</w:t>
            </w:r>
          </w:p>
        </w:tc>
      </w:tr>
      <w:tr>
        <w:tc>
          <w:tcPr>
            <w:tcW w:w="4252" w:type="dxa"/>
          </w:tcPr>
          <w:p>
            <w:pPr/>
            <w:r>
              <w:t xml:space="preserve">“Time limit reached: ranges shown”</w:t>
            </w:r>
          </w:p>
        </w:tc>
        <w:tc>
          <w:tcPr>
            <w:tcW w:w="5107" w:type="dxa"/>
          </w:tcPr>
          <w:p>
            <w:pPr/>
            <w:r>
              <w:t xml:space="preserve">Time budget ran out first</w:t>
            </w:r>
          </w:p>
        </w:tc>
      </w:tr>
      <w:tr>
        <w:tc>
          <w:tcPr>
            <w:tcW w:w="4252" w:type="dxa"/>
          </w:tcPr>
          <w:p>
            <w:pPr/>
            <w:r>
              <w:t xml:space="preserve">“± —”</w:t>
            </w:r>
          </w:p>
        </w:tc>
        <w:tc>
          <w:tcPr>
            <w:tcW w:w="5107" w:type="dxa"/>
          </w:tcPr>
          <w:p>
            <w:pPr/>
            <w:r>
              <w:t xml:space="preserve">Fewer than 16 batches in all, or fewer than 5 kept</w:t>
            </w:r>
          </w:p>
        </w:tc>
      </w:tr>
      <w:tr>
        <w:tc>
          <w:tcPr>
            <w:tcW w:w="4252" w:type="dxa"/>
          </w:tcPr>
          <w:p>
            <w:pPr/>
            <w:r>
              <w:t xml:space="preserve">(drifting)</w:t>
            </w:r>
          </w:p>
        </w:tc>
        <w:tc>
          <w:tcPr>
            <w:tcW w:w="5107" w:type="dxa"/>
          </w:tcPr>
          <w:p>
            <w:pPr/>
            <w:r>
              <w:t xml:space="preserve">A room's kept batches had not levelled off</w:t>
            </w:r>
          </w:p>
        </w:tc>
      </w:tr>
      <w:tr>
        <w:tc>
          <w:tcPr>
            <w:tcW w:w="4252" w:type="dxa"/>
          </w:tcPr>
          <w:p>
            <w:pPr/>
            <w:r>
              <w:t xml:space="preserve">(steady)</w:t>
            </w:r>
          </w:p>
        </w:tc>
        <w:tc>
          <w:tcPr>
            <w:tcW w:w="5107" w:type="dxa"/>
          </w:tcPr>
          <w:p>
            <w:pPr/>
            <w:r>
              <w:t xml:space="preserve">A room's online age never settled; steady age shown instead</w:t>
            </w:r>
          </w:p>
        </w:tc>
      </w:tr>
    </w:tbl>
    <w:p>
      <w:pPr>
        <w:pStyle w:val="Heading3"/>
      </w:pPr>
      <w:r>
        <w:t xml:space="preserve">Why a run takes 30 to 50 minutes</w:t>
      </w:r>
    </w:p>
    <w:p>
      <w:pPr/>
      <w:r>
        <w:t xml:space="preserve">The default Standard run stops after 600 s of stepping.</w:t>
      </w:r>
    </w:p>
    <w:tbl>
      <w:tblPr>
        <w:tblStyle w:val="TableGrid"/>
        <w:tblW w:w="0" w:type="auto"/>
        <w:tblLayout w:type="fixed"/>
        <w:tblLook w:val="04A0" w:firstRow="1" w:lastRow="0" w:firstColumn="0" w:lastColumn="0" w:noHBand="0" w:noVBand="1"/>
      </w:tblPr>
      <w:tblGrid>
        <w:gridCol w:w="4440"/>
        <w:gridCol w:w="4920"/>
      </w:tblGrid>
      <w:tr>
        <w:trPr>
          <w:tblHeader/>
        </w:trPr>
        <w:tc>
          <w:tcPr>
            <w:tcW w:w="4440" w:type="dxa"/>
            <w:shd w:val="clear" w:color="auto" w:fill="F3F0EA"/>
          </w:tcPr>
          <w:p>
            <w:pPr/>
            <w:r>
              <w:t xml:space="preserve">Test</w:t>
            </w:r>
          </w:p>
        </w:tc>
        <w:tc>
          <w:tcPr>
            <w:tcW w:w="4920" w:type="dxa"/>
            <w:shd w:val="clear" w:color="auto" w:fill="F3F0EA"/>
          </w:tcPr>
          <w:p>
            <w:pPr/>
            <w:r>
              <w:t xml:space="preserve">Result</w:t>
            </w:r>
          </w:p>
        </w:tc>
      </w:tr>
      <w:tr>
        <w:tc>
          <w:tcPr>
            <w:tcW w:w="4440" w:type="dxa"/>
          </w:tcPr>
          <w:p>
            <w:pPr/>
            <w:r>
              <w:t xml:space="preserve">7 Standard runs, 10 min</w:t>
            </w:r>
          </w:p>
        </w:tc>
        <w:tc>
          <w:tcPr>
            <w:tcW w:w="4920" w:type="dxa"/>
          </w:tcPr>
          <w:p>
            <w:pPr/>
            <w:r>
              <w:t xml:space="preserve">Settled in none; only Bedroom 1 and the sealed bathroom settled</w:t>
            </w:r>
          </w:p>
        </w:tc>
      </w:tr>
      <w:tr>
        <w:tc>
          <w:tcPr>
            <w:tcW w:w="4440" w:type="dxa"/>
          </w:tcPr>
          <w:p>
            <w:pPr/>
            <w:r>
              <w:t xml:space="preserve">One 60-minute run (328 batches)</w:t>
            </w:r>
          </w:p>
        </w:tc>
        <w:tc>
          <w:tcPr>
            <w:tcW w:w="4920" w:type="dxa"/>
          </w:tcPr>
          <w:p>
            <w:pPr/>
            <w:r>
              <w:t xml:space="preserve">Kitchen, Bedroom 2 and Landing still not settled</w:t>
            </w:r>
          </w:p>
        </w:tc>
      </w:tr>
      <w:tr>
        <w:tc>
          <w:tcPr>
            <w:tcW w:w="4440" w:type="dxa"/>
          </w:tcPr>
          <w:p>
            <w:pPr/>
            <w:r>
              <w:t xml:space="preserve">10-minute numbers against the 60-minute run</w:t>
            </w:r>
          </w:p>
        </w:tc>
        <w:tc>
          <w:tcPr>
            <w:tcW w:w="4920" w:type="dxa"/>
          </w:tcPr>
          <w:p>
            <w:pPr/>
            <w:r>
              <w:t xml:space="preserve">Within about 3 % for 5 of 6 rooms (Bedroom 2 +14 %)</w:t>
            </w:r>
          </w:p>
        </w:tc>
      </w:tr>
      <w:tr>
        <w:tc>
          <w:tcPr>
            <w:tcW w:w="4440" w:type="dxa"/>
          </w:tcPr>
          <w:p>
            <w:pPr/>
            <w:r>
              <w:t xml:space="preserve">20-minute Standard run</w:t>
            </w:r>
          </w:p>
        </w:tc>
        <w:tc>
          <w:tcPr>
            <w:tcW w:w="4920" w:type="dxa"/>
          </w:tcPr>
          <w:p>
            <w:pPr/>
            <w:r>
              <w:t xml:space="preserve">Online age landed in Bedroom 1 only</w:t>
            </w:r>
          </w:p>
        </w:tc>
      </w:tr>
    </w:tbl>
    <w:p>
      <w:pPr/>
      <w:r>
        <w:t xml:space="preserve">The online age cannot settle faster than about one room fresh-air age; Bedroom 2 was still rising after 2,000 s of physical time. This is not a defect and the rule is unchanged. In practice a short run mostly reports the steady age, marked “steady age”. For a final check use High or a longer time limit.</w:t>
      </w:r>
    </w:p>
    <w:p>
      <w:pPr>
        <w:pStyle w:val="Heading2"/>
      </w:pPr>
      <w:r>
        <w:t xml:space="preserve">8. Quality levels and run times</w:t>
      </w:r>
    </w:p>
    <w:p>
      <w:pPr/>
      <w:r>
        <w:t xml:space="preserve">Preview is for direction and a first look, Standard is the default comparison run, and High (gusty wind) is the final check on a real site. Never compare numbers across levels.</w:t>
      </w:r>
    </w:p>
    <w:tbl>
      <w:tblPr>
        <w:tblStyle w:val="TableGrid"/>
        <w:tblW w:w="0" w:type="auto"/>
        <w:tblLayout w:type="fixed"/>
        <w:tblLook w:val="04A0" w:firstRow="1" w:lastRow="0" w:firstColumn="0" w:lastColumn="0" w:noHBand="0" w:noVBand="1"/>
      </w:tblPr>
      <w:tblGrid>
        <w:gridCol w:w="1146"/>
        <w:gridCol w:w="3188"/>
        <w:gridCol w:w="1306"/>
        <w:gridCol w:w="1211"/>
        <w:gridCol w:w="2509"/>
      </w:tblGrid>
      <w:tr>
        <w:trPr>
          <w:tblHeader/>
        </w:trPr>
        <w:tc>
          <w:tcPr>
            <w:tcW w:w="1146" w:type="dxa"/>
            <w:shd w:val="clear" w:color="auto" w:fill="F3F0EA"/>
          </w:tcPr>
          <w:p>
            <w:pPr/>
            <w:r>
              <w:t xml:space="preserve">Level</w:t>
            </w:r>
          </w:p>
        </w:tc>
        <w:tc>
          <w:tcPr>
            <w:tcW w:w="3188" w:type="dxa"/>
            <w:shd w:val="clear" w:color="auto" w:fill="F3F0EA"/>
          </w:tcPr>
          <w:p>
            <w:pPr/>
            <w:r>
              <w:t xml:space="preserve">Grid</w:t>
            </w:r>
          </w:p>
        </w:tc>
        <w:tc>
          <w:tcPr>
            <w:tcW w:w="1306" w:type="dxa"/>
            <w:shd w:val="clear" w:color="auto" w:fill="F3F0EA"/>
          </w:tcPr>
          <w:p>
            <w:pPr/>
            <w:r>
              <w:t xml:space="preserve">Wind</w:t>
            </w:r>
          </w:p>
        </w:tc>
        <w:tc>
          <w:tcPr>
            <w:tcW w:w="1211" w:type="dxa"/>
            <w:shd w:val="clear" w:color="auto" w:fill="F3F0EA"/>
          </w:tcPr>
          <w:p>
            <w:pPr/>
            <w:r>
              <w:t xml:space="preserve">Time</w:t>
            </w:r>
          </w:p>
        </w:tc>
        <w:tc>
          <w:tcPr>
            <w:tcW w:w="2509" w:type="dxa"/>
            <w:shd w:val="clear" w:color="auto" w:fill="F3F0EA"/>
          </w:tcPr>
          <w:p>
            <w:pPr/>
            <w:r>
              <w:t xml:space="preserve">Use it for</w:t>
            </w:r>
          </w:p>
        </w:tc>
      </w:tr>
      <w:tr>
        <w:tc>
          <w:tcPr>
            <w:tcW w:w="1146" w:type="dxa"/>
          </w:tcPr>
          <w:p>
            <w:pPr/>
            <w:r>
              <w:t xml:space="preserve">Preview</w:t>
            </w:r>
          </w:p>
        </w:tc>
        <w:tc>
          <w:tcPr>
            <w:tcW w:w="3188" w:type="dxa"/>
          </w:tcPr>
          <w:p>
            <w:pPr/>
            <w:r>
              <w:t xml:space="preserve">about 1.5 M cells on the high tier (1.54 M at 254.5 mm on the sample house)</w:t>
            </w:r>
          </w:p>
        </w:tc>
        <w:tc>
          <w:tcPr>
            <w:tcW w:w="1306" w:type="dxa"/>
          </w:tcPr>
          <w:p>
            <w:pPr/>
            <w:r>
              <w:t xml:space="preserve">Steady</w:t>
            </w:r>
          </w:p>
        </w:tc>
        <w:tc>
          <w:tcPr>
            <w:tcW w:w="1211" w:type="dxa"/>
          </w:tcPr>
          <w:p>
            <w:pPr/>
            <w:r>
              <w:t xml:space="preserve">settles in about 3 to 30 s</w:t>
            </w:r>
          </w:p>
        </w:tc>
        <w:tc>
          <w:tcPr>
            <w:tcW w:w="2509" w:type="dxa"/>
          </w:tcPr>
          <w:p>
            <w:pPr/>
            <w:r>
              <w:t xml:space="preserve">Direction and first look; room numbers muted, marked “~” and “preview”</w:t>
            </w:r>
          </w:p>
        </w:tc>
      </w:tr>
      <w:tr>
        <w:tc>
          <w:tcPr>
            <w:tcW w:w="1146" w:type="dxa"/>
          </w:tcPr>
          <w:p>
            <w:pPr/>
            <w:r>
              <w:t xml:space="preserve">Standard (default Accurate run)</w:t>
            </w:r>
          </w:p>
        </w:tc>
        <w:tc>
          <w:tcPr>
            <w:tcW w:w="3188" w:type="dxa"/>
          </w:tcPr>
          <w:p>
            <w:pPr/>
            <w:r>
              <w:t xml:space="preserve">Finer whole-building grid; budget per tier: high 5 M, medium 3 M, low 1.2 M, CPU 0.6 M cells (5.09 M at about 170 mm on the sample house)</w:t>
            </w:r>
          </w:p>
        </w:tc>
        <w:tc>
          <w:tcPr>
            <w:tcW w:w="1306" w:type="dxa"/>
          </w:tcPr>
          <w:p>
            <w:pPr/>
            <w:r>
              <w:t xml:space="preserve">Steady, no added turbulence</w:t>
            </w:r>
          </w:p>
        </w:tc>
        <w:tc>
          <w:tcPr>
            <w:tcW w:w="1211" w:type="dxa"/>
          </w:tcPr>
          <w:p>
            <w:pPr/>
            <w:r>
              <w:t xml:space="preserve">up to 600 s of stepping</w:t>
            </w:r>
          </w:p>
        </w:tc>
        <w:tc>
          <w:tcPr>
            <w:tcW w:w="2509" w:type="dxa"/>
          </w:tcPr>
          <w:p>
            <w:pPr/>
            <w:r>
              <w:t xml:space="preserve">“What does a perfectly steady wind of this speed and direction do”</w:t>
            </w:r>
          </w:p>
        </w:tc>
      </w:tr>
      <w:tr>
        <w:tc>
          <w:tcPr>
            <w:tcW w:w="1146" w:type="dxa"/>
          </w:tcPr>
          <w:p>
            <w:pPr/>
            <w:r>
              <w:t xml:space="preserve">High</w:t>
            </w:r>
          </w:p>
        </w:tc>
        <w:tc>
          <w:tcPr>
            <w:tcW w:w="3188" w:type="dxa"/>
          </w:tcPr>
          <w:p>
            <w:pPr/>
            <w:r>
              <w:t xml:space="preserve">Fine grid, Compact domain, optional fine box</w:t>
            </w:r>
          </w:p>
        </w:tc>
        <w:tc>
          <w:tcPr>
            <w:tcW w:w="1306" w:type="dxa"/>
          </w:tcPr>
          <w:p>
            <w:pPr/>
            <w:r>
              <w:t xml:space="preserve">Gusty (EN 1991-1-4), turbulent supply jets</w:t>
            </w:r>
          </w:p>
        </w:tc>
        <w:tc>
          <w:tcPr>
            <w:tcW w:w="1211" w:type="dxa"/>
          </w:tcPr>
          <w:p>
            <w:pPr/>
            <w:r>
              <w:t xml:space="preserve">Budget you pick: 5, 10, 20 or 30 min</w:t>
            </w:r>
          </w:p>
        </w:tc>
        <w:tc>
          <w:tcPr>
            <w:tcW w:w="2509" w:type="dxa"/>
          </w:tcPr>
          <w:p>
            <w:pPr/>
            <w:r>
              <w:t xml:space="preserve">A real site; rooms ventilated mainly by gusts; final check</w:t>
            </w:r>
          </w:p>
        </w:tc>
      </w:tr>
    </w:tbl>
    <w:p>
      <w:pPr>
        <w:pStyle w:val="Heading3"/>
      </w:pPr>
      <w:r>
        <w:t xml:space="preserve">Ultra (new, October 2026; not separately validated)</w:t>
      </w:r>
    </w:p>
    <w:p>
      <w:pPr/>
      <w:r>
        <w:t xml:space="preserve">Ultra is wind-only (isothermal) and uses a finer uniform grid aimed at 16 cells across the narrowest open opening (cell size = narrowest opening ÷ 16, floor 25 mm), limited by the GPU's free memory and never coarser than Standard. It uses the Full outdoor domain when that fits finer than Standard, otherwise Compact, with a note. It runs for up to 6, 12, 20 or 24 hours and stops early when every room's online age settles; its time estimate uses the GPU speed measured on your computer. It keeps the computer awake, saves its progress about every 20 minutes and can resume after a crash or close; on a GPU fault it retries once from the last save, with no CPU fallback. On the sample house with a 16 GB GPU it reaches about 76 to 83 mm cells (10 to 11 cells across the narrowest window). At 16 cells across, the measured opening flow is within about 1 to 3 % of its target; finer grids were not measured. No Ultra accuracy result has been measured.</w:t>
      </w:r>
    </w:p>
    <w:p>
      <w:pPr>
        <w:pStyle w:val="Heading3"/>
      </w:pPr>
      <w:r>
        <w:t xml:space="preserve">How the levels chain</w:t>
      </w:r>
    </w:p>
    <w:p>
      <w:pPr>
        <w:pStyle w:val="ListParagraph"/>
        <w:numPr>
          <w:ilvl w:val="0"/>
          <w:numId w:val="7"/>
        </w:numPr>
      </w:pPr>
      <w:r>
        <w:rPr>
          <w:b/>
        </w:rPr>
        <w:t xml:space="preserve">Preview, then Accurate.</w:t>
      </w:r>
      <w:r>
        <w:t xml:space="preserve"> Once Preview settles, the Accurate run starts on its own at the finer grid, from rest. It settles for 4 times the planned warm-up (2 times for a cold start, 1 for a thermal run), then averages in batches until every room's range closes or the budget runs out.</w:t>
      </w:r>
    </w:p>
    <w:p>
      <w:pPr>
        <w:pStyle w:val="ListParagraph"/>
        <w:numPr>
          <w:ilvl w:val="0"/>
          <w:numId w:val="7"/>
        </w:numPr>
      </w:pPr>
      <w:r>
        <w:rPr>
          <w:b/>
        </w:rPr>
        <w:t xml:space="preserve">Cell budgets.</w:t>
      </w:r>
      <w:r>
        <w:t xml:space="preserve"> The tier is chosen from a short start-up solver run and the graphics card's memory, clamped to what that memory holds next to the Preview grid.</w:t>
      </w:r>
    </w:p>
    <w:p>
      <w:pPr>
        <w:pStyle w:val="ListParagraph"/>
        <w:numPr>
          <w:ilvl w:val="0"/>
          <w:numId w:val="7"/>
        </w:numPr>
      </w:pPr>
      <w:r>
        <w:rPr>
          <w:b/>
        </w:rPr>
        <w:t xml:space="preserve">Which grid to trust.</w:t>
      </w:r>
      <w:r>
        <w:t xml:space="preserve"> Compare options on the same grid and quality level; run Full domain and High for a final check.</w:t>
      </w:r>
    </w:p>
    <w:p>
      <w:pPr>
        <w:pStyle w:val="Heading3"/>
      </w:pPr>
      <w:r>
        <w:t xml:space="preserve">Timings on the sample house (RTX 5070 Ti)</w:t>
      </w:r>
    </w:p>
    <w:tbl>
      <w:tblPr>
        <w:tblStyle w:val="TableGrid"/>
        <w:tblW w:w="0" w:type="auto"/>
        <w:tblLayout w:type="fixed"/>
        <w:tblLook w:val="04A0" w:firstRow="1" w:lastRow="0" w:firstColumn="0" w:lastColumn="0" w:noHBand="0" w:noVBand="1"/>
      </w:tblPr>
      <w:tblGrid>
        <w:gridCol w:w="4443"/>
        <w:gridCol w:w="4915"/>
      </w:tblGrid>
      <w:tr>
        <w:trPr>
          <w:tblHeader/>
        </w:trPr>
        <w:tc>
          <w:tcPr>
            <w:tcW w:w="4443" w:type="dxa"/>
            <w:shd w:val="clear" w:color="auto" w:fill="F3F0EA"/>
          </w:tcPr>
          <w:p>
            <w:pPr/>
            <w:r>
              <w:t xml:space="preserve">Run</w:t>
            </w:r>
          </w:p>
        </w:tc>
        <w:tc>
          <w:tcPr>
            <w:tcW w:w="4915" w:type="dxa"/>
            <w:shd w:val="clear" w:color="auto" w:fill="F3F0EA"/>
          </w:tcPr>
          <w:p>
            <w:pPr/>
            <w:r>
              <w:t xml:space="preserve">Timing</w:t>
            </w:r>
          </w:p>
        </w:tc>
      </w:tr>
      <w:tr>
        <w:tc>
          <w:tcPr>
            <w:tcW w:w="4443" w:type="dxa"/>
          </w:tcPr>
          <w:p>
            <w:pPr/>
            <w:r>
              <w:t xml:space="preserve">Standard, 5.09 M cells</w:t>
            </w:r>
          </w:p>
        </w:tc>
        <w:tc>
          <w:tcPr>
            <w:tcW w:w="4915" w:type="dxa"/>
          </w:tcPr>
          <w:p>
            <w:pPr/>
            <w:r>
              <w:t xml:space="preserve">settles for about 12 s, then batches of about 10 s</w:t>
            </w:r>
          </w:p>
        </w:tc>
      </w:tr>
      <w:tr>
        <w:tc>
          <w:tcPr>
            <w:tcW w:w="4443" w:type="dxa"/>
          </w:tcPr>
          <w:p>
            <w:pPr/>
            <w:r>
              <w:t xml:space="preserve">Accurate at Preview cell size, 1.54 M cells, 10 min cap</w:t>
            </w:r>
          </w:p>
        </w:tc>
        <w:tc>
          <w:tcPr>
            <w:tcW w:w="4915" w:type="dxa"/>
          </w:tcPr>
          <w:p>
            <w:pPr/>
            <w:r>
              <w:t xml:space="preserve">converged after 256 batches in 509 s</w:t>
            </w:r>
          </w:p>
        </w:tc>
      </w:tr>
    </w:tbl>
    <w:p>
      <w:pPr/>
      <w:r>
        <w:t xml:space="preserve">These timings predate some later fixes.</w:t>
      </w:r>
    </w:p>
    <w:p>
      <w:pPr>
        <w:pStyle w:val="Heading3"/>
      </w:pPr>
      <w:r>
        <w:t xml:space="preserve">The fine box</w:t>
      </w:r>
    </w:p>
    <w:p>
      <w:pPr/>
      <w:r>
        <w:t xml:space="preserve">An optional 2:1 finer grid around one room sharpens the local view only: particles, slices and probes. Room ACH and opening flows always come from the whole-building run, because a two-way coupled box was built and did not beat it. Against a uniform run at the box's cell size, one hall opening read 14.7 % off with the box and 11.1 % off whole-building; the Hall's total ACH read 12.7 % off against 3.3 %. The box is isothermal only.</w:t>
      </w:r>
    </w:p>
    <w:p>
      <w:pPr>
        <w:pStyle w:val="Heading2"/>
      </w:pPr>
      <w:r>
        <w:t xml:space="preserve">9. Thermal (beta), heat sources and devices</w:t>
      </w:r>
    </w:p>
    <w:p>
      <w:pPr/>
      <w:r>
        <w:t xml:space="preserve">Thermal is a hybrid: the 3-D lattice flow plus a finite-volume energy equation that uses the flow solver's own mass fluxes. It passes its textbook cases (heated cavity within 1 %), but small heat sources are under-stratified by about 25 to 40 %, and it has never been checked against a measured room, hence </w:t>
      </w:r>
      <w:r>
        <w:rPr>
          <w:i/>
        </w:rPr>
        <w:t xml:space="preserve">beta</w:t>
      </w:r>
      <w:r>
        <w:t xml:space="preserve">.</w:t>
      </w:r>
    </w:p>
    <w:p>
      <w:pPr>
        <w:pStyle w:val="Heading3"/>
      </w:pPr>
      <w:r>
        <w:t xml:space="preserve">Equations</w:t>
      </w:r>
    </w:p>
    <w:p>
      <w:pPr/>
      <w:r>
        <w:t xml:space="preserve">Energy (finite volume, van Leer–limited advection, face fluxes from the flow solver):</w:t>
      </w:r>
    </w:p>
    <w:p>
      <w:pPr>
        <w:jc w:val="center"/>
      </w:pPr>
      <m:oMathPara>
        <m:oMath>
          <m:f>
            <m:fPr>
              <m:type m:val="bar"/>
            </m:fPr>
            <m:num>
              <m:r>
                <m:t>∂T</m:t>
              </m:r>
            </m:num>
            <m:den>
              <m:r>
                <m:t>∂t</m:t>
              </m:r>
            </m:den>
          </m:f>
          <m:r>
            <m:t>+</m:t>
          </m:r>
          <m:r>
            <m:rPr>
              <m:sty m:val="p"/>
            </m:rPr>
            <m:t>∇</m:t>
          </m:r>
          <m:r>
            <m:t>⋅(</m:t>
          </m:r>
          <m:r>
            <m:rPr>
              <m:sty m:val="b"/>
            </m:rPr>
            <m:t>u</m:t>
          </m:r>
          <m:r>
            <m:t>T)=</m:t>
          </m:r>
          <m:r>
            <m:rPr>
              <m:sty m:val="p"/>
            </m:rPr>
            <m:t>∇</m:t>
          </m:r>
          <m:r>
            <m:t>⋅</m:t>
          </m:r>
          <m:r>
            <m:t>(</m:t>
          </m:r>
          <m:r>
            <m:t>(α+</m:t>
          </m:r>
          <m:sSub>
            <m:e>
              <m:r>
                <m:t>α</m:t>
              </m:r>
            </m:e>
            <m:sub>
              <m:r>
                <m:t>t</m:t>
              </m:r>
            </m:sub>
          </m:sSub>
          <m:r>
            <m:t>)</m:t>
          </m:r>
          <m:r>
            <m:rPr>
              <m:sty m:val="p"/>
            </m:rPr>
            <m:t>∇</m:t>
          </m:r>
          <m:r>
            <m:t>T</m:t>
          </m:r>
          <m:r>
            <m:t>)</m:t>
          </m:r>
          <m:r>
            <m:t>+</m:t>
          </m:r>
          <m:f>
            <m:fPr>
              <m:type m:val="bar"/>
            </m:fPr>
            <m:num>
              <m:limUpp>
                <m:e>
                  <m:r>
                    <m:t>q</m:t>
                  </m:r>
                </m:e>
                <m:lim>
                  <m:r>
                    <m:t>˙</m:t>
                  </m:r>
                </m:lim>
              </m:limUpp>
            </m:num>
            <m:den>
              <m:r>
                <m:t>ρ</m:t>
              </m:r>
              <m:sSub>
                <m:e>
                  <m:r>
                    <m:t>c</m:t>
                  </m:r>
                </m:e>
                <m:sub>
                  <m:r>
                    <m:t>p</m:t>
                  </m:r>
                </m:sub>
              </m:sSub>
            </m:den>
          </m:f>
        </m:oMath>
      </m:oMathPara>
    </w:p>
    <w:p>
      <w:pPr/>
      <w:r>
        <w:t xml:space="preserve">Buoyancy (Boussinesq), added to the flow as a body force:</w:t>
      </w:r>
    </w:p>
    <w:p>
      <w:pPr>
        <w:jc w:val="center"/>
      </w:pPr>
      <m:oMathPara>
        <m:oMath>
          <m:r>
            <m:rPr>
              <m:sty m:val="b"/>
            </m:rPr>
            <m:t>F</m:t>
          </m:r>
          <m:r>
            <m:t>=−</m:t>
          </m:r>
          <m:sSub>
            <m:e>
              <m:r>
                <m:t>ρ</m:t>
              </m:r>
            </m:e>
            <m:sub>
              <m:r>
                <m:t>0</m:t>
              </m:r>
            </m:sub>
          </m:sSub>
          <m:r>
            <m:t>β</m:t>
          </m:r>
          <m:r>
            <m:t>(T−</m:t>
          </m:r>
          <m:sSub>
            <m:e>
              <m:r>
                <m:t>T</m:t>
              </m:r>
            </m:e>
            <m:sub>
              <m:r>
                <m:rPr>
                  <m:sty m:val="p"/>
                </m:rPr>
                <m:t>ref</m:t>
              </m:r>
            </m:sub>
          </m:sSub>
          <m:r>
            <m:t>)</m:t>
          </m:r>
          <m:r>
            <m:rPr>
              <m:sty m:val="b"/>
            </m:rPr>
            <m:t>g</m:t>
          </m:r>
        </m:oMath>
      </m:oMathPara>
    </w:p>
    <w:p>
      <w:pPr/>
      <w:r>
        <w:t xml:space="preserve">A uniform temperature stays uniform, and a sealed room conserves its energy to 0.004 to 0.07 %. Body forces enter the lattice through the Guo forcing scheme (standard form), which also drives every device:</w:t>
      </w:r>
    </w:p>
    <w:p>
      <w:pPr>
        <w:jc w:val="center"/>
      </w:pPr>
      <m:oMathPara>
        <m:oMath>
          <m:sSub>
            <m:e>
              <m:r>
                <m:t>F</m:t>
              </m:r>
            </m:e>
            <m:sub>
              <m:r>
                <m:t>i</m:t>
              </m:r>
            </m:sub>
          </m:sSub>
          <m:r>
            <m:t>=</m:t>
          </m:r>
          <m:d>
            <m:dPr>
              <m:sepChr m:val="−"/>
            </m:dPr>
            <m:e>
              <m:r>
                <m:t>1</m:t>
              </m:r>
            </m:e>
            <m:e>
              <m:f>
                <m:fPr>
                  <m:type m:val="bar"/>
                </m:fPr>
                <m:num>
                  <m:r>
                    <m:t>1</m:t>
                  </m:r>
                </m:num>
                <m:den>
                  <m:r>
                    <m:t>2τ</m:t>
                  </m:r>
                </m:den>
              </m:f>
            </m:e>
          </m:d>
          <m:sSub>
            <m:e>
              <m:r>
                <m:t>w</m:t>
              </m:r>
            </m:e>
            <m:sub>
              <m:r>
                <m:t>i</m:t>
              </m:r>
            </m:sub>
          </m:sSub>
          <m:d>
            <m:dPr>
              <m:begChr m:val="["/>
              <m:sepChr m:val="+"/>
              <m:endChr m:val="]"/>
            </m:dPr>
            <m:e>
              <m:f>
                <m:fPr>
                  <m:type m:val="bar"/>
                </m:fPr>
                <m:num>
                  <m:sSub>
                    <m:e>
                      <m:r>
                        <m:rPr>
                          <m:sty m:val="b"/>
                        </m:rPr>
                        <m:t>c</m:t>
                      </m:r>
                    </m:e>
                    <m:sub>
                      <m:r>
                        <m:t>i</m:t>
                      </m:r>
                    </m:sub>
                  </m:sSub>
                  <m:r>
                    <m:t>−</m:t>
                  </m:r>
                  <m:r>
                    <m:rPr>
                      <m:sty m:val="b"/>
                    </m:rPr>
                    <m:t>u</m:t>
                  </m:r>
                </m:num>
                <m:den>
                  <m:sSubSup>
                    <m:e>
                      <m:r>
                        <m:t>c</m:t>
                      </m:r>
                    </m:e>
                    <m:sub>
                      <m:r>
                        <m:t>s</m:t>
                      </m:r>
                    </m:sub>
                    <m:sup>
                      <m:r>
                        <m:t>2</m:t>
                      </m:r>
                    </m:sup>
                  </m:sSubSup>
                </m:den>
              </m:f>
            </m:e>
            <m:e>
              <m:f>
                <m:fPr>
                  <m:type m:val="bar"/>
                </m:fPr>
                <m:num>
                  <m:r>
                    <m:t>(</m:t>
                  </m:r>
                  <m:sSub>
                    <m:e>
                      <m:r>
                        <m:rPr>
                          <m:sty m:val="b"/>
                        </m:rPr>
                        <m:t>c</m:t>
                      </m:r>
                    </m:e>
                    <m:sub>
                      <m:r>
                        <m:t>i</m:t>
                      </m:r>
                    </m:sub>
                  </m:sSub>
                  <m:r>
                    <m:t>⋅</m:t>
                  </m:r>
                  <m:r>
                    <m:rPr>
                      <m:sty m:val="b"/>
                    </m:rPr>
                    <m:t>u</m:t>
                  </m:r>
                  <m:r>
                    <m:t>)</m:t>
                  </m:r>
                  <m:sSub>
                    <m:e>
                      <m:r>
                        <m:rPr>
                          <m:sty m:val="b"/>
                        </m:rPr>
                        <m:t>c</m:t>
                      </m:r>
                    </m:e>
                    <m:sub>
                      <m:r>
                        <m:t>i</m:t>
                      </m:r>
                    </m:sub>
                  </m:sSub>
                </m:num>
                <m:den>
                  <m:sSubSup>
                    <m:e>
                      <m:r>
                        <m:t>c</m:t>
                      </m:r>
                    </m:e>
                    <m:sub>
                      <m:r>
                        <m:t>s</m:t>
                      </m:r>
                    </m:sub>
                    <m:sup>
                      <m:r>
                        <m:t>4</m:t>
                      </m:r>
                    </m:sup>
                  </m:sSubSup>
                </m:den>
              </m:f>
            </m:e>
          </m:d>
          <m:r>
            <m:t>⋅</m:t>
          </m:r>
          <m:r>
            <m:rPr>
              <m:sty m:val="b"/>
            </m:rPr>
            <m:t>F</m:t>
          </m:r>
          <m:r>
            <m:rPr>
              <m:sty m:val="p"/>
            </m:rPr>
            <m:t>Δ</m:t>
          </m:r>
          <m:r>
            <m:t>t,</m:t>
          </m:r>
          <m:r>
            <m:rPr>
              <m:sty m:val="p"/>
            </m:rPr>
            <m:t xml:space="preserve"> </m:t>
          </m:r>
          <m:r>
            <m:t>ρ</m:t>
          </m:r>
          <m:r>
            <m:rPr>
              <m:sty m:val="b"/>
            </m:rPr>
            <m:t>u</m:t>
          </m:r>
          <m:r>
            <m:t>=</m:t>
          </m:r>
          <m:nary>
            <m:naryPr>
              <m:chr m:val="∑"/>
              <m:limLoc m:val="undOvr"/>
              <m:grow m:val="1"/>
              <m:subHide m:val="off"/>
              <m:supHide m:val="on"/>
            </m:naryPr>
            <m:sub>
              <m:r>
                <m:t>i</m:t>
              </m:r>
            </m:sub>
            <m:sup/>
            <m:e>
              <m:sSub>
                <m:e>
                  <m:r>
                    <m:t>f</m:t>
                  </m:r>
                </m:e>
                <m:sub>
                  <m:r>
                    <m:t>i</m:t>
                  </m:r>
                </m:sub>
              </m:sSub>
            </m:e>
          </m:nary>
          <m:sSub>
            <m:e>
              <m:r>
                <m:rPr>
                  <m:sty m:val="b"/>
                </m:rPr>
                <m:t>c</m:t>
              </m:r>
            </m:e>
            <m:sub>
              <m:r>
                <m:t>i</m:t>
              </m:r>
            </m:sub>
          </m:sSub>
          <m:r>
            <m:t>+</m:t>
          </m:r>
          <m:f>
            <m:fPr>
              <m:type m:val="bar"/>
            </m:fPr>
            <m:num>
              <m:argPr>
                <m:scrLvl m:val="0"/>
              </m:argPr>
              <m:r>
                <m:t>1</m:t>
              </m:r>
            </m:num>
            <m:den>
              <m:argPr>
                <m:scrLvl m:val="0"/>
              </m:argPr>
              <m:r>
                <m:t>2</m:t>
              </m:r>
            </m:den>
          </m:f>
          <m:r>
            <m:rPr>
              <m:sty m:val="b"/>
            </m:rPr>
            <m:t>F</m:t>
          </m:r>
          <m:r>
            <m:rPr>
              <m:sty m:val="p"/>
            </m:rPr>
            <m:t>Δ</m:t>
          </m:r>
          <m:r>
            <m:t>t</m:t>
          </m:r>
        </m:oMath>
      </m:oMathPara>
    </w:p>
    <w:p>
      <w:pPr/>
      <w:r>
        <w:t xml:space="preserve">WindFlow's variant weights the momentum term by ½ instead of (1 − 1/2τ), keeping (1 − 1/2τ) on the second-moment term.</w:t>
      </w:r>
    </w:p>
    <w:p>
      <w:pPr>
        <w:pStyle w:val="Heading3"/>
      </w:pPr>
      <w:r>
        <w:t xml:space="preserve">Held temperature and walls</w:t>
      </w:r>
    </w:p>
    <w:p>
      <w:pPr>
        <w:pStyle w:val="ListParagraph"/>
        <w:numPr>
          <w:ilvl w:val="0"/>
          <w:numId w:val="8"/>
        </w:numPr>
      </w:pPr>
      <w:r>
        <w:rPr>
          <w:b/>
        </w:rPr>
        <w:t xml:space="preserve">Ideal heater or cooler (default on).</w:t>
      </w:r>
      <w:r>
        <w:t xml:space="preserve"> Each room's volume-mean temperature is held at the indoor setting. The report's “Duty W” shows + for heating, − for cooling, “—” for a free-running room. A stratified room's occupied zone can differ (a note appears above 1 K); a room with its own split AC is not held.</w:t>
      </w:r>
    </w:p>
    <w:p>
      <w:pPr>
        <w:pStyle w:val="ListParagraph"/>
        <w:numPr>
          <w:ilvl w:val="0"/>
          <w:numId w:val="8"/>
        </w:numPr>
      </w:pPr>
      <w:r>
        <w:rPr>
          <w:b/>
        </w:rPr>
        <w:t xml:space="preserve">Free-running.</w:t>
      </w:r>
      <w:r>
        <w:t xml:space="preserve"> With the hold off, the typed indoor temperature is only the starting air temperature, and the stack effect decays during the run.</w:t>
      </w:r>
    </w:p>
    <w:p>
      <w:pPr>
        <w:pStyle w:val="ListParagraph"/>
        <w:numPr>
          <w:ilvl w:val="0"/>
          <w:numId w:val="8"/>
        </w:numPr>
      </w:pPr>
      <w:r>
        <w:rPr>
          <w:b/>
        </w:rPr>
        <w:t xml:space="preserve">Adiabatic walls.</w:t>
      </w:r>
      <w:r>
        <w:t xml:space="preserve"> Only </w:t>
      </w:r>
      <w:r>
        <w:rPr>
          <w:i/>
        </w:rPr>
        <w:t xml:space="preserve">Surface</w:t>
      </w:r>
      <w:r>
        <w:t xml:space="preserve"> heat sources (a panel, or a cold window drawn as one) exchange heat.</w:t>
      </w:r>
    </w:p>
    <w:p>
      <w:pPr>
        <w:pStyle w:val="Heading3"/>
      </w:pPr>
      <w:r>
        <w:t xml:space="preserve">Surface convection (Alamdari–Hammond)</w:t>
      </w:r>
    </w:p>
    <w:p>
      <w:pPr/>
      <w:r>
        <w:t xml:space="preserve">Surface sources use the Alamdari–Hammond natural-convection correlations (standard forms below; WindFlow combines natural and forced convection as h = (h_n³ + h_f³)^(1/3) with h_f = 3.8 |u_t|, and uses h_n = 0.6 (|ΔT| / D²)^(1/5) for a stable (cooled-up or heated-down) horizontal surface, with D = 4A/P). For a vertical surface of height H and an upward-facing heated horizontal surface of hydraulic diameter D:</w:t>
      </w:r>
    </w:p>
    <w:p>
      <w:pPr>
        <w:jc w:val="center"/>
      </w:pPr>
      <m:oMathPara>
        <m:oMath>
          <m:sSub>
            <m:e>
              <m:r>
                <m:t>h</m:t>
              </m:r>
            </m:e>
            <m:sub>
              <m:r>
                <m:rPr>
                  <m:sty m:val="p"/>
                </m:rPr>
                <m:t>vert</m:t>
              </m:r>
            </m:sub>
          </m:sSub>
          <m:r>
            <m:t>=</m:t>
          </m:r>
          <m:sSup>
            <m:e>
              <m:d>
                <m:dPr>
                  <m:begChr m:val="["/>
                  <m:sepChr m:val="+"/>
                  <m:endChr m:val="]"/>
                </m:dPr>
                <m:e>
                  <m:sSup>
                    <m:e>
                      <m:d>
                        <m:dPr>
                          <m:sepChr m:val=""/>
                        </m:dPr>
                        <m:e>
                          <m:r>
                            <m:t>1.5</m:t>
                          </m:r>
                          <m:sSup>
                            <m:e>
                              <m:d>
                                <m:dPr>
                                  <m:sepChr m:val=""/>
                                </m:dPr>
                                <m:e>
                                  <m:f>
                                    <m:fPr>
                                      <m:type m:val="bar"/>
                                    </m:fPr>
                                    <m:num>
                                      <m:r>
                                        <m:rPr>
                                          <m:sty m:val="p"/>
                                        </m:rPr>
                                        <m:t>Δ</m:t>
                                      </m:r>
                                      <m:r>
                                        <m:t>T</m:t>
                                      </m:r>
                                    </m:num>
                                    <m:den>
                                      <m:r>
                                        <m:t>H</m:t>
                                      </m:r>
                                    </m:den>
                                  </m:f>
                                </m:e>
                              </m:d>
                            </m:e>
                            <m:sup>
                              <m:r>
                                <m:t>1</m:t>
                              </m:r>
                              <m:r>
                                <m:t>/</m:t>
                              </m:r>
                              <m:r>
                                <m:t>4</m:t>
                              </m:r>
                            </m:sup>
                          </m:sSup>
                        </m:e>
                      </m:d>
                    </m:e>
                    <m:sup>
                      <m:r>
                        <m:t>6</m:t>
                      </m:r>
                    </m:sup>
                  </m:sSup>
                </m:e>
                <m:e>
                  <m:sSup>
                    <m:e>
                      <m:d>
                        <m:dPr>
                          <m:sepChr m:val=""/>
                        </m:dPr>
                        <m:e>
                          <m:r>
                            <m:t>1.23</m:t>
                          </m:r>
                          <m:r>
                            <m:rPr>
                              <m:sty m:val="p"/>
                            </m:rPr>
                            <m:t>Δ</m:t>
                          </m:r>
                          <m:sSup>
                            <m:e>
                              <m:r>
                                <m:t>T</m:t>
                              </m:r>
                            </m:e>
                            <m:sup>
                              <m:r>
                                <m:t>1</m:t>
                              </m:r>
                              <m:r>
                                <m:t>/</m:t>
                              </m:r>
                              <m:r>
                                <m:t>3</m:t>
                              </m:r>
                            </m:sup>
                          </m:sSup>
                        </m:e>
                      </m:d>
                    </m:e>
                    <m:sup>
                      <m:r>
                        <m:t>6</m:t>
                      </m:r>
                    </m:sup>
                  </m:sSup>
                </m:e>
              </m:d>
            </m:e>
            <m:sup>
              <m:r>
                <m:t>1</m:t>
              </m:r>
              <m:r>
                <m:t>/</m:t>
              </m:r>
              <m:r>
                <m:t>6</m:t>
              </m:r>
            </m:sup>
          </m:sSup>
          <m:r>
            <m:t>,</m:t>
          </m:r>
          <m:r>
            <m:rPr>
              <m:sty m:val="p"/>
            </m:rPr>
            <m:t xml:space="preserve"> </m:t>
          </m:r>
          <m:sSub>
            <m:e>
              <m:r>
                <m:t>h</m:t>
              </m:r>
            </m:e>
            <m:sub>
              <m:r>
                <m:rPr>
                  <m:sty m:val="p"/>
                </m:rPr>
                <m:t>up</m:t>
              </m:r>
            </m:sub>
          </m:sSub>
          <m:r>
            <m:t>=</m:t>
          </m:r>
          <m:sSup>
            <m:e>
              <m:d>
                <m:dPr>
                  <m:begChr m:val="["/>
                  <m:sepChr m:val="+"/>
                  <m:endChr m:val="]"/>
                </m:dPr>
                <m:e>
                  <m:sSup>
                    <m:e>
                      <m:d>
                        <m:dPr>
                          <m:sepChr m:val=""/>
                        </m:dPr>
                        <m:e>
                          <m:r>
                            <m:t>1.4</m:t>
                          </m:r>
                          <m:sSup>
                            <m:e>
                              <m:d>
                                <m:dPr>
                                  <m:sepChr m:val=""/>
                                </m:dPr>
                                <m:e>
                                  <m:f>
                                    <m:fPr>
                                      <m:type m:val="bar"/>
                                    </m:fPr>
                                    <m:num>
                                      <m:r>
                                        <m:rPr>
                                          <m:sty m:val="p"/>
                                        </m:rPr>
                                        <m:t>Δ</m:t>
                                      </m:r>
                                      <m:r>
                                        <m:t>T</m:t>
                                      </m:r>
                                    </m:num>
                                    <m:den>
                                      <m:r>
                                        <m:t>D</m:t>
                                      </m:r>
                                    </m:den>
                                  </m:f>
                                </m:e>
                              </m:d>
                            </m:e>
                            <m:sup>
                              <m:r>
                                <m:t>1</m:t>
                              </m:r>
                              <m:r>
                                <m:t>/</m:t>
                              </m:r>
                              <m:r>
                                <m:t>4</m:t>
                              </m:r>
                            </m:sup>
                          </m:sSup>
                        </m:e>
                      </m:d>
                    </m:e>
                    <m:sup>
                      <m:r>
                        <m:t>6</m:t>
                      </m:r>
                    </m:sup>
                  </m:sSup>
                </m:e>
                <m:e>
                  <m:sSup>
                    <m:e>
                      <m:d>
                        <m:dPr>
                          <m:sepChr m:val=""/>
                        </m:dPr>
                        <m:e>
                          <m:r>
                            <m:t>1.63</m:t>
                          </m:r>
                          <m:r>
                            <m:rPr>
                              <m:sty m:val="p"/>
                            </m:rPr>
                            <m:t>Δ</m:t>
                          </m:r>
                          <m:sSup>
                            <m:e>
                              <m:r>
                                <m:t>T</m:t>
                              </m:r>
                            </m:e>
                            <m:sup>
                              <m:r>
                                <m:t>1</m:t>
                              </m:r>
                              <m:r>
                                <m:t>/</m:t>
                              </m:r>
                              <m:r>
                                <m:t>3</m:t>
                              </m:r>
                            </m:sup>
                          </m:sSup>
                        </m:e>
                      </m:d>
                    </m:e>
                    <m:sup>
                      <m:r>
                        <m:t>6</m:t>
                      </m:r>
                    </m:sup>
                  </m:sSup>
                </m:e>
              </m:d>
            </m:e>
            <m:sup>
              <m:r>
                <m:t>1</m:t>
              </m:r>
              <m:r>
                <m:t>/</m:t>
              </m:r>
              <m:r>
                <m:t>6</m:t>
              </m:r>
            </m:sup>
          </m:sSup>
        </m:oMath>
      </m:oMathPara>
    </w:p>
    <w:p>
      <w:pPr/>
      <w:r>
        <w:t xml:space="preserve">These reproduce the records' hand-check values: a 20 K vertical plate with H = 3 m gives 3.413 W/m²K, and a 20 K hot floor with D = 2 m gives 4.448 W/m²K.</w:t>
      </w:r>
    </w:p>
    <w:p>
      <w:pPr>
        <w:pStyle w:val="Heading3"/>
      </w:pPr>
      <w:r>
        <w:t xml:space="preserve">Small heat sources and the plume model</w:t>
      </w:r>
    </w:p>
    <w:p>
      <w:pPr/>
      <w:r>
        <w:t xml:space="preserve">The sealed filling-box test (a 500 W area heater in a sealed 3.0 m room) reads a vertical temperature difference of 1.30 K against the Baines &amp; Turner / Worster &amp; Huppert reference of 1.8 to 8.6 K, and stays a FAIL. The heater delivers 99.3 % of its energy and nothing leaks: the plume is under-resolved and not grid-converged.</w:t>
      </w:r>
    </w:p>
    <w:p>
      <w:pPr/>
      <w:r>
        <w:t xml:space="preserve">An opt-in plume model (experimental, October 2026, off by default) releases a small heater's power as a rising Morton–Taylor–Turner plume one cell layer above the heater whenever the plume is too small for the grid. Its two inputs are the buoyancy flux of the heater and the entrainment hypothesis, with α = 0.12 taken from the literature, not fitted:</w:t>
      </w:r>
    </w:p>
    <w:p>
      <w:pPr>
        <w:jc w:val="center"/>
      </w:pPr>
      <m:oMathPara>
        <m:oMath>
          <m:r>
            <m:t>B=</m:t>
          </m:r>
          <m:f>
            <m:fPr>
              <m:type m:val="bar"/>
            </m:fPr>
            <m:num>
              <m:r>
                <m:t>g</m:t>
              </m:r>
              <m:r>
                <m:t>β</m:t>
              </m:r>
              <m:r>
                <m:t>P</m:t>
              </m:r>
            </m:num>
            <m:den>
              <m:r>
                <m:t>ρ</m:t>
              </m:r>
              <m:sSub>
                <m:e>
                  <m:r>
                    <m:t>c</m:t>
                  </m:r>
                </m:e>
                <m:sub>
                  <m:r>
                    <m:t>p</m:t>
                  </m:r>
                </m:sub>
              </m:sSub>
            </m:den>
          </m:f>
          <m:r>
            <m:t>,</m:t>
          </m:r>
          <m:r>
            <m:rPr>
              <m:sty m:val="p"/>
            </m:rPr>
            <m:t xml:space="preserve"> </m:t>
          </m:r>
          <m:sSub>
            <m:e>
              <m:r>
                <m:t>u</m:t>
              </m:r>
            </m:e>
            <m:sub>
              <m:r>
                <m:t>e</m:t>
              </m:r>
            </m:sub>
          </m:sSub>
          <m:r>
            <m:t>=α</m:t>
          </m:r>
          <m:r>
            <m:t>w,</m:t>
          </m:r>
          <m:r>
            <m:rPr>
              <m:sty m:val="p"/>
            </m:rPr>
            <m:t xml:space="preserve"> </m:t>
          </m:r>
          <m:r>
            <m:t>b(z)=</m:t>
          </m:r>
          <m:f>
            <m:fPr>
              <m:type m:val="bar"/>
            </m:fPr>
            <m:num>
              <m:argPr>
                <m:scrLvl m:val="0"/>
              </m:argPr>
              <m:r>
                <m:t>6</m:t>
              </m:r>
            </m:num>
            <m:den>
              <m:argPr>
                <m:scrLvl m:val="0"/>
              </m:argPr>
              <m:r>
                <m:t>5</m:t>
              </m:r>
            </m:den>
          </m:f>
          <m:r>
            <m:t>α</m:t>
          </m:r>
          <m:r>
            <m:t>z,</m:t>
          </m:r>
          <m:r>
            <m:rPr>
              <m:sty m:val="p"/>
            </m:rPr>
            <m:t xml:space="preserve"> </m:t>
          </m:r>
          <m:r>
            <m:t>w(z)∝</m:t>
          </m:r>
          <m:sSup>
            <m:e>
              <m:r>
                <m:t>B</m:t>
              </m:r>
            </m:e>
            <m:sup>
              <m:r>
                <m:t>1</m:t>
              </m:r>
              <m:r>
                <m:t>/</m:t>
              </m:r>
              <m:r>
                <m:t>3</m:t>
              </m:r>
            </m:sup>
          </m:sSup>
          <m:sSup>
            <m:e>
              <m:r>
                <m:t>z</m:t>
              </m:r>
            </m:e>
            <m:sup>
              <m:r>
                <m:t>−1</m:t>
              </m:r>
              <m:r>
                <m:t>/</m:t>
              </m:r>
              <m:r>
                <m:t>3</m:t>
              </m:r>
            </m:sup>
          </m:sSup>
        </m:oMath>
      </m:oMathPara>
    </w:p>
    <w:p>
      <w:pPr/>
      <w:r>
        <w:drawing>
          <wp:inline distT="0" distB="0" distL="0" distR="0">
            <wp:extent cx="5486400" cy="2824842"/>
            <wp:docPr id="8" name="image8" descr="Figure 8 · WindFlow test records, sealed filling box, October 2026 (plume model run on CPU)"/>
            <a:graphic xmlns:a="http://schemas.openxmlformats.org/drawingml/2006/main">
              <a:graphicData uri="http://schemas.openxmlformats.org/drawingml/2006/picture">
                <pic:pic xmlns:pic="http://schemas.openxmlformats.org/drawingml/2006/picture">
                  <pic:nvPicPr>
                    <pic:cNvPr id="8" name="image8" descr="Figure 8 · WindFlow test records, sealed filling box, October 2026 (plume model run on CPU)"/>
                    <pic:cNvPicPr/>
                  </pic:nvPicPr>
                  <pic:blipFill>
                    <a:blip r:embed="rId10"/>
                    <a:stretch>
                      <a:fillRect/>
                    </a:stretch>
                  </pic:blipFill>
                  <pic:spPr>
                    <a:xfrm>
                      <a:off x="0" y="0"/>
                      <a:ext cx="5486400" cy="2824842"/>
                    </a:xfrm>
                    <a:prstGeom prst="rect">
                      <a:avLst/>
                    </a:prstGeom>
                  </pic:spPr>
                </pic:pic>
              </a:graphicData>
            </a:graphic>
          </wp:inline>
        </w:drawing>
      </w:r>
    </w:p>
    <w:p>
      <w:pPr/>
      <w:r>
        <w:t xml:space="preserve">Figure 8 · WindFlow test records, sealed filling box, October 2026 (plume model run on CPU)</w:t>
      </w:r>
    </w:p>
    <w:p>
      <w:pPr/>
      <w:r>
        <w:t xml:space="preserve">The default creeps up as cells shrink but stays under 1.8 K at every size; the plume model is in the band throughout but doubles across the range, so it is not grid-independent either.</w:t>
      </w:r>
    </w:p>
    <w:p>
      <w:pPr/>
      <w:r>
        <w:t xml:space="preserve">The plume model lands inside the reference band at every cell size, with energy within 1 %, but it is not grid-independent: it roughly doubles across the range. It does not cover wall-mounted or Surface sources, wind does not bend it, and it has run on the CPU only.</w:t>
      </w:r>
    </w:p>
    <w:p>
      <w:pPr/>
      <w:r>
        <w:t xml:space="preserve">A separate energy-balance check heats a sealed room and compares the mean temperature rise with the closed-form value; it reads 5.4 % error (band ≤ 20 %):</w:t>
      </w:r>
    </w:p>
    <w:p>
      <w:pPr>
        <w:jc w:val="center"/>
      </w:pPr>
      <m:oMathPara>
        <m:oMath>
          <m:r>
            <m:rPr>
              <m:sty m:val="p"/>
            </m:rPr>
            <m:t>Δ</m:t>
          </m:r>
          <m:bar>
            <m:barPr>
              <m:pos m:val="top"/>
            </m:barPr>
            <m:e>
              <m:r>
                <m:t>T</m:t>
              </m:r>
            </m:e>
          </m:bar>
          <m:r>
            <m:t>=</m:t>
          </m:r>
          <m:f>
            <m:fPr>
              <m:type m:val="bar"/>
            </m:fPr>
            <m:num>
              <m:r>
                <m:t>P</m:t>
              </m:r>
              <m:r>
                <m:t>t</m:t>
              </m:r>
            </m:num>
            <m:den>
              <m:r>
                <m:t>ρ</m:t>
              </m:r>
              <m:sSub>
                <m:e>
                  <m:r>
                    <m:t>c</m:t>
                  </m:r>
                </m:e>
                <m:sub>
                  <m:r>
                    <m:t>p</m:t>
                  </m:r>
                </m:sub>
              </m:sSub>
              <m:r>
                <m:t>V</m:t>
              </m:r>
            </m:den>
          </m:f>
        </m:oMath>
      </m:oMathPara>
    </w:p>
    <w:p>
      <w:pPr>
        <w:pStyle w:val="Heading3"/>
      </w:pPr>
      <w:r>
        <w:t xml:space="preserve">Devices</w:t>
      </w:r>
    </w:p>
    <w:p>
      <w:pPr/>
      <w:r>
        <w:t xml:space="preserve">Ceiling fans, pedestal fans, split and cassette AC, exhaust fans, hoods and diffusers are body-force regions (Guo) that accelerate air already in the cell, so they conserve mass by construction. A diffuser moves room air and adds no fresh air; in a sealed room it brings in no outdoor air.</w:t>
      </w:r>
    </w:p>
    <w:tbl>
      <w:tblPr>
        <w:tblStyle w:val="TableGrid"/>
        <w:tblW w:w="0" w:type="auto"/>
        <w:tblLayout w:type="fixed"/>
        <w:tblLook w:val="04A0" w:firstRow="1" w:lastRow="0" w:firstColumn="0" w:lastColumn="0" w:noHBand="0" w:noVBand="1"/>
      </w:tblPr>
      <w:tblGrid>
        <w:gridCol w:w="4699"/>
        <w:gridCol w:w="4661"/>
      </w:tblGrid>
      <w:tr>
        <w:trPr>
          <w:tblHeader/>
        </w:trPr>
        <w:tc>
          <w:tcPr>
            <w:tcW w:w="4699" w:type="dxa"/>
            <w:shd w:val="clear" w:color="auto" w:fill="F3F0EA"/>
          </w:tcPr>
          <w:p>
            <w:pPr/>
            <w:r>
              <w:t xml:space="preserve">Device behaviour</w:t>
            </w:r>
          </w:p>
        </w:tc>
        <w:tc>
          <w:tcPr>
            <w:tcW w:w="4661" w:type="dxa"/>
            <w:shd w:val="clear" w:color="auto" w:fill="F3F0EA"/>
          </w:tcPr>
          <w:p>
            <w:pPr/>
            <w:r>
              <w:t xml:space="preserve">Measured</w:t>
            </w:r>
          </w:p>
        </w:tc>
      </w:tr>
      <w:tr>
        <w:tc>
          <w:tcPr>
            <w:tcW w:w="4699" w:type="dxa"/>
          </w:tcPr>
          <w:p>
            <w:pPr/>
            <w:r>
              <w:t xml:space="preserve">Ceiling fan disc against rated 1.200 m³/s</w:t>
            </w:r>
          </w:p>
        </w:tc>
        <w:tc>
          <w:tcPr>
            <w:tcW w:w="4661" w:type="dxa"/>
          </w:tcPr>
          <w:p>
            <w:pPr/>
            <w:r>
              <w:t xml:space="preserve">−3.5 %</w:t>
            </w:r>
          </w:p>
        </w:tc>
      </w:tr>
      <w:tr>
        <w:tc>
          <w:tcPr>
            <w:tcW w:w="4699" w:type="dxa"/>
          </w:tcPr>
          <w:p>
            <w:pPr/>
            <w:r>
              <w:t xml:space="preserve">Split AC delivered against set flow</w:t>
            </w:r>
          </w:p>
        </w:tc>
        <w:tc>
          <w:tcPr>
            <w:tcW w:w="4661" w:type="dxa"/>
          </w:tcPr>
          <w:p>
            <w:pPr/>
            <w:r>
              <w:t xml:space="preserve">about 3 % low (0.145 against 0.15 m³/s)</w:t>
            </w:r>
          </w:p>
        </w:tc>
      </w:tr>
      <w:tr>
        <w:tc>
          <w:tcPr>
            <w:tcW w:w="4699" w:type="dxa"/>
          </w:tcPr>
          <w:p>
            <w:pPr/>
            <w:r>
              <w:t xml:space="preserve">Supply patches against set flow</w:t>
            </w:r>
          </w:p>
        </w:tc>
        <w:tc>
          <w:tcPr>
            <w:tcW w:w="4661" w:type="dxa"/>
          </w:tcPr>
          <w:p>
            <w:pPr/>
            <w:r>
              <w:t xml:space="preserve">0.5 to 1 % low</w:t>
            </w:r>
          </w:p>
        </w:tc>
      </w:tr>
      <w:tr>
        <w:tc>
          <w:tcPr>
            <w:tcW w:w="4699" w:type="dxa"/>
          </w:tcPr>
          <w:p>
            <w:pPr/>
            <w:r>
              <w:t xml:space="preserve">Split AC duty against room enthalpy loss</w:t>
            </w:r>
          </w:p>
        </w:tc>
        <w:tc>
          <w:tcPr>
            <w:tcW w:w="4661" w:type="dxa"/>
          </w:tcPr>
          <w:p>
            <w:pPr/>
            <w:r>
              <w:t xml:space="preserve">0.2 %</w:t>
            </w:r>
          </w:p>
        </w:tc>
      </w:tr>
      <w:tr>
        <w:tc>
          <w:tcPr>
            <w:tcW w:w="4699" w:type="dxa"/>
          </w:tcPr>
          <w:p>
            <w:pPr/>
            <w:r>
              <w:t xml:space="preserve">Split AC steady return temperature</w:t>
            </w:r>
          </w:p>
        </w:tc>
        <w:tc>
          <w:tcPr>
            <w:tcW w:w="4661" w:type="dxa"/>
          </w:tcPr>
          <w:p>
            <w:pPr/>
            <w:r>
              <w:t xml:space="preserve">+0.30 K (at the ±0.3 K band edge)</w:t>
            </w:r>
          </w:p>
        </w:tc>
      </w:tr>
    </w:tbl>
    <w:p>
      <w:pPr>
        <w:pStyle w:val="ListParagraph"/>
        <w:numPr>
          <w:ilvl w:val="0"/>
          <w:numId w:val="9"/>
        </w:numPr>
      </w:pPr>
      <w:r>
        <w:rPr>
          <w:b/>
        </w:rPr>
        <w:t xml:space="preserve">Resolution chip.</w:t>
      </w:r>
      <w:r>
        <w:t xml:space="preserve"> A fan disc, or an outlet's short side, under 8 cells across reads “refine needed”. A split AC's 120 mm slot needs 15 mm cells and reads “too small to resolve”.</w:t>
      </w:r>
    </w:p>
    <w:p>
      <w:pPr>
        <w:pStyle w:val="ListParagraph"/>
        <w:numPr>
          <w:ilvl w:val="0"/>
          <w:numId w:val="9"/>
        </w:numPr>
      </w:pPr>
      <w:r>
        <w:rPr>
          <w:b/>
        </w:rPr>
        <w:t xml:space="preserve">Sealed rooms with unbalanced devices</w:t>
      </w:r>
      <w:r>
        <w:t xml:space="preserve"> have no pressure anchor, so the app scales the extract to the supply and adds a room note.</w:t>
      </w:r>
    </w:p>
    <w:p>
      <w:pPr>
        <w:pStyle w:val="ListParagraph"/>
        <w:numPr>
          <w:ilvl w:val="0"/>
          <w:numId w:val="9"/>
        </w:numPr>
      </w:pPr>
      <w:r>
        <w:rPr>
          <w:b/>
        </w:rPr>
        <w:t xml:space="preserve">Input caps.</w:t>
      </w:r>
      <w:r>
        <w:t xml:space="preserve"> Flow ≤ 5 m³/s, radius ≤ 1.5 m, supply temperature clamped to 5 to 40 °C.</w:t>
      </w:r>
    </w:p>
    <w:p>
      <w:pPr>
        <w:pStyle w:val="Heading2"/>
      </w:pPr>
      <w:r>
        <w:t xml:space="preserve">10. Validation</w:t>
      </w:r>
    </w:p>
    <w:p>
      <w:pPr/>
      <w:r>
        <w:t xml:space="preserve">The latest whole test-suite run reads 258 PASS and 3 FAIL (the filling-box test and the two start-up drift tests), after an earlier 253 PASS and 3 FAIL; the app's separate self-check reads 189 PASS, 0 FAIL. Of the measured-room cases, only cross-ventilation at 40 cells per building height passes all four metrics; Annex 20 and MINIBAT each miss on the hit rate, and absolute cross-ventilation flow rates read 1.6 to 2.2 times the published tracer values while ranking the layouts correctly.</w:t>
      </w:r>
    </w:p>
    <w:p>
      <w:pPr>
        <w:pStyle w:val="Heading3"/>
      </w:pPr>
      <w:r>
        <w:t xml:space="preserve">How measured cases are scored</w:t>
      </w:r>
    </w:p>
    <w:p>
      <w:pPr/>
      <w:r>
        <w:t xml:space="preserve">Four metrics after Chang &amp; Hanna (2004), with the hit rate after VDI 3783-9 and COST 732. O is the measurement, P the prediction, overbars are means over the N points:</w:t>
      </w:r>
    </w:p>
    <w:p>
      <w:pPr>
        <w:jc w:val="center"/>
      </w:pPr>
      <m:oMathPara>
        <m:oMath>
          <m:r>
            <m:rPr>
              <m:sty m:val="p"/>
            </m:rPr>
            <m:t>FAC</m:t>
          </m:r>
          <m:r>
            <m:t>2</m:t>
          </m:r>
          <m:r>
            <m:t>=</m:t>
          </m:r>
          <m:f>
            <m:fPr>
              <m:type m:val="bar"/>
            </m:fPr>
            <m:num>
              <m:r>
                <m:t>1</m:t>
              </m:r>
            </m:num>
            <m:den>
              <m:r>
                <m:t>N</m:t>
              </m:r>
            </m:den>
          </m:f>
          <m:nary>
            <m:naryPr>
              <m:chr m:val="∑"/>
              <m:limLoc m:val="undOvr"/>
              <m:grow m:val="1"/>
              <m:subHide m:val="off"/>
              <m:supHide m:val="off"/>
            </m:naryPr>
            <m:sub>
              <m:r>
                <m:t>j=1</m:t>
              </m:r>
            </m:sub>
            <m:sup>
              <m:r>
                <m:t>N</m:t>
              </m:r>
            </m:sup>
            <m:e>
              <m:sSub>
                <m:e>
                  <m:r>
                    <m:t>n</m:t>
                  </m:r>
                </m:e>
                <m:sub>
                  <m:r>
                    <m:t>j</m:t>
                  </m:r>
                </m:sub>
              </m:sSub>
            </m:e>
          </m:nary>
          <m:r>
            <m:t>,</m:t>
          </m:r>
          <m:r>
            <m:rPr>
              <m:sty m:val="p"/>
            </m:rPr>
            <m:t xml:space="preserve"> </m:t>
          </m:r>
          <m:sSub>
            <m:e>
              <m:r>
                <m:t>n</m:t>
              </m:r>
            </m:e>
            <m:sub>
              <m:r>
                <m:t>j</m:t>
              </m:r>
            </m:sub>
          </m:sSub>
          <m:r>
            <m:t>=</m:t>
          </m:r>
          <m:d>
            <m:dPr>
              <m:begChr m:val="{"/>
              <m:sepChr m:val=""/>
              <m:endChr m:val=""/>
            </m:dPr>
            <m:e>
              <m:m>
                <m:mPr>
                  <m:baseJc m:val="center"/>
                  <m:plcHide m:val="on"/>
                  <m:mcs>
                    <m:mc>
                      <m:mcPr>
                        <m:count m:val="2"/>
                        <m:mcJc m:val="center"/>
                      </m:mcPr>
                    </m:mc>
                  </m:mcs>
                </m:mPr>
                <m:mr>
                  <m:e>
                    <m:r>
                      <m:t>1</m:t>
                    </m:r>
                  </m:e>
                  <m:e>
                    <m:r>
                      <m:t>0.5≤</m:t>
                    </m:r>
                    <m:sSub>
                      <m:e>
                        <m:r>
                          <m:t>P</m:t>
                        </m:r>
                      </m:e>
                      <m:sub>
                        <m:r>
                          <m:t>j</m:t>
                        </m:r>
                      </m:sub>
                    </m:sSub>
                    <m:r>
                      <m:t>/</m:t>
                    </m:r>
                    <m:sSub>
                      <m:e>
                        <m:r>
                          <m:t>O</m:t>
                        </m:r>
                      </m:e>
                      <m:sub>
                        <m:r>
                          <m:t>j</m:t>
                        </m:r>
                      </m:sub>
                    </m:sSub>
                    <m:r>
                      <m:t>≤2</m:t>
                    </m:r>
                  </m:e>
                </m:mr>
                <m:mr>
                  <m:e>
                    <m:r>
                      <m:t>0</m:t>
                    </m:r>
                  </m:e>
                  <m:e>
                    <m:r>
                      <m:rPr>
                        <m:nor/>
                      </m:rPr>
                      <m:t xml:space="preserve"> otherwise </m:t>
                    </m:r>
                  </m:e>
                </m:mr>
              </m:m>
            </m:e>
          </m:d>
        </m:oMath>
      </m:oMathPara>
    </w:p>
    <w:p/>
    <w:p>
      <w:pPr>
        <w:jc w:val="center"/>
      </w:pPr>
      <m:oMathPara>
        <m:oMath>
          <m:r>
            <m:rPr>
              <m:sty m:val="p"/>
            </m:rPr>
            <m:t>FB</m:t>
          </m:r>
          <m:r>
            <m:t>=</m:t>
          </m:r>
          <m:f>
            <m:fPr>
              <m:type m:val="bar"/>
            </m:fPr>
            <m:num>
              <m:bar>
                <m:barPr>
                  <m:pos m:val="top"/>
                </m:barPr>
                <m:e>
                  <m:r>
                    <m:t>O</m:t>
                  </m:r>
                </m:e>
              </m:bar>
              <m:r>
                <m:t>−</m:t>
              </m:r>
              <m:bar>
                <m:barPr>
                  <m:pos m:val="top"/>
                </m:barPr>
                <m:e>
                  <m:r>
                    <m:t>P</m:t>
                  </m:r>
                </m:e>
              </m:bar>
            </m:num>
            <m:den>
              <m:f>
                <m:fPr>
                  <m:type m:val="bar"/>
                </m:fPr>
                <m:num>
                  <m:argPr>
                    <m:scrLvl m:val="0"/>
                  </m:argPr>
                  <m:r>
                    <m:t>1</m:t>
                  </m:r>
                </m:num>
                <m:den>
                  <m:argPr>
                    <m:scrLvl m:val="0"/>
                  </m:argPr>
                  <m:r>
                    <m:t>2</m:t>
                  </m:r>
                </m:den>
              </m:f>
              <m:r>
                <m:t>(</m:t>
              </m:r>
              <m:bar>
                <m:barPr>
                  <m:pos m:val="top"/>
                </m:barPr>
                <m:e>
                  <m:r>
                    <m:t>O</m:t>
                  </m:r>
                </m:e>
              </m:bar>
              <m:r>
                <m:t>+</m:t>
              </m:r>
              <m:bar>
                <m:barPr>
                  <m:pos m:val="top"/>
                </m:barPr>
                <m:e>
                  <m:r>
                    <m:t>P</m:t>
                  </m:r>
                </m:e>
              </m:bar>
              <m:r>
                <m:t>)</m:t>
              </m:r>
            </m:den>
          </m:f>
          <m:r>
            <m:t>,</m:t>
          </m:r>
          <m:r>
            <m:rPr>
              <m:sty m:val="p"/>
            </m:rPr>
            <m:t xml:space="preserve"> </m:t>
          </m:r>
          <m:r>
            <m:rPr>
              <m:sty m:val="p"/>
            </m:rPr>
            <m:t>NMSE</m:t>
          </m:r>
          <m:r>
            <m:t>=</m:t>
          </m:r>
          <m:f>
            <m:fPr>
              <m:type m:val="bar"/>
            </m:fPr>
            <m:num>
              <m:bar>
                <m:barPr>
                  <m:pos m:val="top"/>
                </m:barPr>
                <m:e>
                  <m:sSup>
                    <m:e>
                      <m:d>
                        <m:dPr>
                          <m:sepChr m:val=""/>
                        </m:dPr>
                        <m:e>
                          <m:r>
                            <m:t>O</m:t>
                          </m:r>
                          <m:r>
                            <m:t>−</m:t>
                          </m:r>
                          <m:r>
                            <m:t>P</m:t>
                          </m:r>
                        </m:e>
                      </m:d>
                    </m:e>
                    <m:sup>
                      <m:r>
                        <m:t>2</m:t>
                      </m:r>
                    </m:sup>
                  </m:sSup>
                </m:e>
              </m:bar>
            </m:num>
            <m:den>
              <m:bar>
                <m:barPr>
                  <m:pos m:val="top"/>
                </m:barPr>
                <m:e>
                  <m:r>
                    <m:t>O</m:t>
                  </m:r>
                </m:e>
              </m:bar>
              <m:bar>
                <m:barPr>
                  <m:pos m:val="top"/>
                </m:barPr>
                <m:e>
                  <m:r>
                    <m:t>P</m:t>
                  </m:r>
                </m:e>
              </m:bar>
            </m:den>
          </m:f>
        </m:oMath>
      </m:oMathPara>
    </w:p>
    <w:p/>
    <w:p>
      <w:pPr>
        <w:jc w:val="center"/>
      </w:pPr>
      <m:oMathPara>
        <m:oMath>
          <m:r>
            <m:t>q=</m:t>
          </m:r>
          <m:f>
            <m:fPr>
              <m:type m:val="bar"/>
            </m:fPr>
            <m:num>
              <m:r>
                <m:t>1</m:t>
              </m:r>
            </m:num>
            <m:den>
              <m:r>
                <m:t>N</m:t>
              </m:r>
            </m:den>
          </m:f>
          <m:nary>
            <m:naryPr>
              <m:chr m:val="∑"/>
              <m:limLoc m:val="undOvr"/>
              <m:grow m:val="1"/>
              <m:subHide m:val="off"/>
              <m:supHide m:val="off"/>
            </m:naryPr>
            <m:sub>
              <m:r>
                <m:t>j=1</m:t>
              </m:r>
            </m:sub>
            <m:sup>
              <m:r>
                <m:t>N</m:t>
              </m:r>
            </m:sup>
            <m:e>
              <m:sSub>
                <m:e>
                  <m:r>
                    <m:t>n</m:t>
                  </m:r>
                </m:e>
                <m:sub>
                  <m:r>
                    <m:t>j</m:t>
                  </m:r>
                </m:sub>
              </m:sSub>
            </m:e>
          </m:nary>
          <m:r>
            <m:t>,</m:t>
          </m:r>
          <m:r>
            <m:rPr>
              <m:sty m:val="p"/>
            </m:rPr>
            <m:t xml:space="preserve"> </m:t>
          </m:r>
          <m:sSub>
            <m:e>
              <m:r>
                <m:t>n</m:t>
              </m:r>
            </m:e>
            <m:sub>
              <m:r>
                <m:t>j</m:t>
              </m:r>
            </m:sub>
          </m:sSub>
          <m:r>
            <m:t>=</m:t>
          </m:r>
          <m:d>
            <m:dPr>
              <m:begChr m:val="{"/>
              <m:sepChr m:val=""/>
              <m:endChr m:val=""/>
            </m:dPr>
            <m:e>
              <m:m>
                <m:mPr>
                  <m:baseJc m:val="center"/>
                  <m:plcHide m:val="on"/>
                  <m:mcs>
                    <m:mc>
                      <m:mcPr>
                        <m:count m:val="2"/>
                        <m:mcJc m:val="center"/>
                      </m:mcPr>
                    </m:mc>
                  </m:mcs>
                </m:mPr>
                <m:mr>
                  <m:e>
                    <m:r>
                      <m:t>1</m:t>
                    </m:r>
                  </m:e>
                  <m:e>
                    <m:d>
                      <m:dPr>
                        <m:begChr m:val="|"/>
                        <m:sepChr m:val=""/>
                        <m:endChr m:val="|"/>
                      </m:dPr>
                      <m:e>
                        <m:f>
                          <m:fPr>
                            <m:type m:val="bar"/>
                          </m:fPr>
                          <m:num>
                            <m:argPr>
                              <m:scrLvl m:val="0"/>
                            </m:argPr>
                            <m:sSub>
                              <m:e>
                                <m:argPr>
                                  <m:scrLvl m:val="0"/>
                                </m:argPr>
                                <m:r>
                                  <m:t>P</m:t>
                                </m:r>
                              </m:e>
                              <m:sub>
                                <m:argPr>
                                  <m:scrLvl m:val="0"/>
                                </m:argPr>
                                <m:r>
                                  <m:t>j</m:t>
                                </m:r>
                              </m:sub>
                            </m:sSub>
                            <m:r>
                              <m:t>−</m:t>
                            </m:r>
                            <m:sSub>
                              <m:e>
                                <m:argPr>
                                  <m:scrLvl m:val="0"/>
                                </m:argPr>
                                <m:r>
                                  <m:t>O</m:t>
                                </m:r>
                              </m:e>
                              <m:sub>
                                <m:argPr>
                                  <m:scrLvl m:val="0"/>
                                </m:argPr>
                                <m:r>
                                  <m:t>j</m:t>
                                </m:r>
                              </m:sub>
                            </m:sSub>
                          </m:num>
                          <m:den>
                            <m:argPr>
                              <m:scrLvl m:val="0"/>
                            </m:argPr>
                            <m:sSub>
                              <m:e>
                                <m:argPr>
                                  <m:scrLvl m:val="0"/>
                                </m:argPr>
                                <m:r>
                                  <m:t>O</m:t>
                                </m:r>
                              </m:e>
                              <m:sub>
                                <m:argPr>
                                  <m:scrLvl m:val="0"/>
                                </m:argPr>
                                <m:r>
                                  <m:t>j</m:t>
                                </m:r>
                              </m:sub>
                            </m:sSub>
                          </m:den>
                        </m:f>
                      </m:e>
                    </m:d>
                    <m:r>
                      <m:t>≤D</m:t>
                    </m:r>
                    <m:r>
                      <m:rPr>
                        <m:nor/>
                      </m:rPr>
                      <m:t xml:space="preserve"> or </m:t>
                    </m:r>
                    <m:r>
                      <m:t>|</m:t>
                    </m:r>
                    <m:sSub>
                      <m:e>
                        <m:r>
                          <m:t>P</m:t>
                        </m:r>
                      </m:e>
                      <m:sub>
                        <m:r>
                          <m:t>j</m:t>
                        </m:r>
                      </m:sub>
                    </m:sSub>
                    <m:r>
                      <m:t>−</m:t>
                    </m:r>
                    <m:sSub>
                      <m:e>
                        <m:r>
                          <m:t>O</m:t>
                        </m:r>
                      </m:e>
                      <m:sub>
                        <m:r>
                          <m:t>j</m:t>
                        </m:r>
                      </m:sub>
                    </m:sSub>
                    <m:r>
                      <m:t>|</m:t>
                    </m:r>
                    <m:r>
                      <m:t>≤W</m:t>
                    </m:r>
                  </m:e>
                </m:mr>
                <m:mr>
                  <m:e>
                    <m:r>
                      <m:t>0</m:t>
                    </m:r>
                  </m:e>
                  <m:e>
                    <m:r>
                      <m:rPr>
                        <m:nor/>
                      </m:rPr>
                      <m:t xml:space="preserve"> otherwise </m:t>
                    </m:r>
                  </m:e>
                </m:mr>
              </m:m>
            </m:e>
          </m:d>
          <m:r>
            <m:t>,</m:t>
          </m:r>
          <m:r>
            <m:rPr>
              <m:sty m:val="p"/>
            </m:rPr>
            <m:t xml:space="preserve"> </m:t>
          </m:r>
          <m:r>
            <m:t>D=0.25</m:t>
          </m:r>
        </m:oMath>
      </m:oMathPara>
    </w:p>
    <w:p>
      <w:pPr/>
      <w:r>
        <w:t xml:space="preserve">Pass band: FAC2 ≥ 0.5, |FB| ≤ 0.3, NMSE ≤ 1.5, q ≥ 0.66. With this sign convention a positive FB means WindFlow reads low on average. W is an absolute tolerance chosen per case, not published. FAC2 here counts pairs where both values are below W as hits (Hanna &amp; Chang 2012); by the strict definition (van Hooff, Blocken &amp; Tominaga 2017) FAC2 is 0.942 (MINIBAT), 0.619 (cross-ventilation, 40 cells) and 0.538 (Annex 20).</w:t>
      </w:r>
    </w:p>
    <w:p>
      <w:pPr/>
      <w:r>
        <w:t xml:space="preserve">↗ Figure 9 · WindFlow test records, measured-room cases re-run October 2026</w:t>
      </w:r>
    </w:p>
    <w:p>
      <w:pPr/>
      <w:r>
        <w:t xml:space="preserve">MINIBAT misses only on hit rate, by 0.017; Annex 20 misses hit rate and, narrowly, bias; the 20-cell cross-ventilation run fails because it is under-resolved.</w:t>
      </w:r>
    </w:p>
    <w:p>
      <w:pPr>
        <w:pStyle w:val="Heading3"/>
      </w:pPr>
      <w:r>
        <w:t xml:space="preserve">Measured rooms and wind tunnels, case by case</w:t>
      </w:r>
    </w:p>
    <w:p>
      <w:pPr>
        <w:pStyle w:val="ListParagraph"/>
        <w:numPr>
          <w:ilvl w:val="0"/>
          <w:numId w:val="10"/>
        </w:numPr>
      </w:pPr>
      <w:r>
        <w:rPr>
          <w:b/>
        </w:rPr>
        <w:t xml:space="preserve">IEA Annex 20, 2-D isothermal room</w:t>
      </w:r>
      <w:r>
        <w:t xml:space="preserve"> (Nielsen 1990; LDA data of Restivo 1979; 8 cells across the slot, 106 points). Fails q (0.453) and FB (0.308, just past 0.3); FAC2 0.613 and NMSE 0.356 pass. The ceiling jet decays about 25 % too fast at every grid tried; this is the open gap. The room is scaled (slot 4 cells of 0.1 m, H = 7.1 m against 3.0 m) to keep the Reynolds number similar, and the inlet follows the specification's sine profile with 4 % turbulence. An earlier row (q 0.471) used a different set-up, so the change is not a like-for-like regression.</w:t>
      </w:r>
    </w:p>
    <w:p>
      <w:pPr>
        <w:pStyle w:val="ListParagraph"/>
        <w:numPr>
          <w:ilvl w:val="0"/>
          <w:numId w:val="10"/>
        </w:numPr>
      </w:pPr>
      <w:r>
        <w:rPr>
          <w:b/>
        </w:rPr>
        <w:t xml:space="preserve">Cross-ventilation, isolated building</w:t>
      </w:r>
      <w:r>
        <w:t xml:space="preserve"> (Tominaga &amp; Blocken 2015 wind tunnel; 40 cells per building height, 63 points). Passes all four (FAC2 0.778, FB 0.119, NMSE 0.216, q 0.746), and the opening flux Q/(U_H A) = 0.498 sits inside its 0.36 to 0.52 band. At 20 cells per height it fails (q 0.286; every earlier 20-cell run read 0.24 to 0.33): known under-resolution. The pass is for that one case at that grid. q is sensitive to W: 0.365 at W = 0, 0.540 at 0.025, 0.667 at 0.05 on an older run.</w:t>
      </w:r>
    </w:p>
    <w:p>
      <w:pPr>
        <w:pStyle w:val="ListParagraph"/>
        <w:numPr>
          <w:ilvl w:val="0"/>
          <w:numId w:val="10"/>
        </w:numPr>
      </w:pPr>
      <w:r>
        <w:rPr>
          <w:b/>
        </w:rPr>
        <w:t xml:space="preserve">MINIBAT isothermal ceiling jet</w:t>
      </w:r>
      <w:r>
        <w:t xml:space="preserve"> (Kuznik, Rusaouen &amp; Brau 2008; data Gresse, Merlier &amp; Kuznik 2020; 3.1 × 3.1 × 2.5 m room, 25 mm cells, 1,419 points). FAC2 0.942, FB 0.051, NMSE 0.083 pass; q 0.643 is 0.017 short. Going from 6 to 8 cells across the nozzle leaves q flat (0.654 to 0.646) while the others improve, which suggests but does not prove a remaining model gap.</w:t>
      </w:r>
    </w:p>
    <w:p>
      <w:pPr>
        <w:pStyle w:val="Heading3"/>
      </w:pPr>
      <w:r>
        <w:t xml:space="preserve">Tracer cross-ventilation, five layouts</w:t>
      </w:r>
    </w:p>
    <w:p>
      <w:pPr/>
      <w:r>
        <w:t xml:space="preserve">The flux ratio normalises the flow through the building by the wind at building height and the opening area:</w:t>
      </w:r>
    </w:p>
    <w:p>
      <w:pPr>
        <w:jc w:val="center"/>
      </w:pPr>
      <m:oMathPara>
        <m:oMath>
          <m:limUpp>
            <m:e>
              <m:r>
                <m:t>Q</m:t>
              </m:r>
            </m:e>
            <m:lim>
              <m:r>
                <m:t>^</m:t>
              </m:r>
            </m:lim>
          </m:limUpp>
          <m:r>
            <m:t>=</m:t>
          </m:r>
          <m:f>
            <m:fPr>
              <m:type m:val="bar"/>
            </m:fPr>
            <m:num>
              <m:r>
                <m:t>Q</m:t>
              </m:r>
            </m:num>
            <m:den>
              <m:sSub>
                <m:e>
                  <m:r>
                    <m:t>U</m:t>
                  </m:r>
                </m:e>
                <m:sub>
                  <m:r>
                    <m:t>H</m:t>
                  </m:r>
                </m:sub>
              </m:sSub>
              <m:r>
                <m:t>A</m:t>
              </m:r>
            </m:den>
          </m:f>
        </m:oMath>
      </m:oMathPara>
    </w:p>
    <w:p>
      <w:pPr/>
      <w:r>
        <w:t xml:space="preserve">Tominaga &amp; Blocken 2016 layouts A to E were run at 40 cells per height on a 24.8 M-cell domain (4H margins, 3.0 % blockage; 230 minutes on the GPU). WindFlow's tracer flow equals its own velocity-integrated flux to about 1 %, and the set-up and normalisation match the paper.</w:t>
      </w:r>
    </w:p>
    <w:p>
      <w:pPr/>
      <w:r>
        <w:t xml:space="preserve">↗ Figure 10 · WindFlow test records, 24.8 M cells, 4H margins, October 2026; reference values from the papers named</w:t>
      </w:r>
    </w:p>
    <w:p>
      <w:pPr/>
      <w:r>
        <w:t xml:space="preserve">All five fail the ±20 % band; the ranking is right, with A first (that criterion passes). The reference itself reads low: for layout E the paper's tracer value is 37 % below its PIV opening flux (about 0.40), and an LES gives 0.44 to 0.47; against those, E reads 1.11 to 1.33 times high. Layouts A to D have no PIV or LES value. About +6 % of the gap is the 4H domain; an earlier breakdown put 91 % of the error (in log units) on the opening's discharge coefficient and 7 % on the domain. The band was not changed. The primary sources disagree on the flow rate itself: 0.25 (tracer), 0.50 (van Hooff et al. 2017), and an opening-flux band of 0.40 to 0.47 (Karava PIV; Hwang &amp; Gorlé LES).</w:t>
      </w:r>
    </w:p>
    <w:p>
      <w:pPr>
        <w:pStyle w:val="Heading3"/>
      </w:pPr>
      <w:r>
        <w:t xml:space="preserve">Analytic and textbook references</w:t>
      </w:r>
    </w:p>
    <w:tbl>
      <w:tblPr>
        <w:tblStyle w:val="TableGrid"/>
        <w:tblW w:w="0" w:type="auto"/>
        <w:tblLayout w:type="fixed"/>
        <w:tblLook w:val="04A0" w:firstRow="1" w:lastRow="0" w:firstColumn="0" w:lastColumn="0" w:noHBand="0" w:noVBand="1"/>
      </w:tblPr>
      <w:tblGrid>
        <w:gridCol w:w="2972"/>
        <w:gridCol w:w="2116"/>
        <w:gridCol w:w="1615"/>
        <w:gridCol w:w="1431"/>
        <w:gridCol w:w="1226"/>
      </w:tblGrid>
      <w:tr>
        <w:trPr>
          <w:tblHeader/>
        </w:trPr>
        <w:tc>
          <w:tcPr>
            <w:tcW w:w="2972" w:type="dxa"/>
            <w:shd w:val="clear" w:color="auto" w:fill="F3F0EA"/>
          </w:tcPr>
          <w:p>
            <w:pPr/>
            <w:r>
              <w:t xml:space="preserve">Case</w:t>
            </w:r>
          </w:p>
        </w:tc>
        <w:tc>
          <w:tcPr>
            <w:tcW w:w="2116" w:type="dxa"/>
            <w:shd w:val="clear" w:color="auto" w:fill="F3F0EA"/>
          </w:tcPr>
          <w:p>
            <w:pPr/>
            <w:r>
              <w:t xml:space="preserve">Reference</w:t>
            </w:r>
          </w:p>
        </w:tc>
        <w:tc>
          <w:tcPr>
            <w:tcW w:w="1615" w:type="dxa"/>
            <w:shd w:val="clear" w:color="auto" w:fill="F3F0EA"/>
          </w:tcPr>
          <w:p>
            <w:pPr/>
            <w:r>
              <w:t xml:space="preserve">WindFlow</w:t>
            </w:r>
          </w:p>
        </w:tc>
        <w:tc>
          <w:tcPr>
            <w:tcW w:w="1431" w:type="dxa"/>
            <w:shd w:val="clear" w:color="auto" w:fill="F3F0EA"/>
          </w:tcPr>
          <w:p>
            <w:pPr/>
            <w:r>
              <w:t xml:space="preserve">Band</w:t>
            </w:r>
          </w:p>
        </w:tc>
        <w:tc>
          <w:tcPr>
            <w:tcW w:w="1226" w:type="dxa"/>
            <w:shd w:val="clear" w:color="auto" w:fill="F3F0EA"/>
          </w:tcPr>
          <w:p>
            <w:pPr/>
            <w:r>
              <w:t xml:space="preserve">Status</w:t>
            </w:r>
          </w:p>
        </w:tc>
      </w:tr>
      <w:tr>
        <w:tc>
          <w:tcPr>
            <w:tcW w:w="2972" w:type="dxa"/>
          </w:tcPr>
          <w:p>
            <w:pPr/>
            <w:r>
              <w:t xml:space="preserve">Two windows in series, effective C_d</w:t>
            </w:r>
          </w:p>
        </w:tc>
        <w:tc>
          <w:tcPr>
            <w:tcW w:w="2116" w:type="dxa"/>
          </w:tcPr>
          <w:p>
            <w:pPr/>
            <w:r>
              <w:t xml:space="preserve">orifice equation; sharp-edged 0.6 to 0.65</w:t>
            </w:r>
          </w:p>
        </w:tc>
        <w:tc>
          <w:tcPr>
            <w:tcW w:w="1615" w:type="dxa"/>
          </w:tcPr>
          <w:p>
            <w:pPr/>
            <w:r>
              <w:t xml:space="preserve">0.559</w:t>
            </w:r>
          </w:p>
        </w:tc>
        <w:tc>
          <w:tcPr>
            <w:tcW w:w="1431" w:type="dxa"/>
          </w:tcPr>
          <w:p>
            <w:pPr/>
            <w:r>
              <w:t xml:space="preserve">0.37 to 0.80</w:t>
            </w:r>
          </w:p>
        </w:tc>
        <w:tc>
          <w:tcPr>
            <w:tcW w:w="1226" w:type="dxa"/>
          </w:tcPr>
          <w:p>
            <w:pPr/>
            <w:r>
              <w:t xml:space="preserve">PASS</w:t>
            </w:r>
          </w:p>
        </w:tc>
      </w:tr>
      <w:tr>
        <w:tc>
          <w:tcPr>
            <w:tcW w:w="2972" w:type="dxa"/>
          </w:tcPr>
          <w:p>
            <w:pPr/>
            <w:r>
              <w:t xml:space="preserve">Per-opening C_d, cross-ventilation scene</w:t>
            </w:r>
          </w:p>
        </w:tc>
        <w:tc>
          <w:tcPr>
            <w:tcW w:w="2116" w:type="dxa"/>
          </w:tcPr>
          <w:p>
            <w:pPr/>
            <w:r>
              <w:t xml:space="preserve">same</w:t>
            </w:r>
          </w:p>
        </w:tc>
        <w:tc>
          <w:tcPr>
            <w:tcW w:w="1615" w:type="dxa"/>
          </w:tcPr>
          <w:p>
            <w:pPr/>
            <w:r>
              <w:t xml:space="preserve">west 0.585, east 0.564</w:t>
            </w:r>
          </w:p>
        </w:tc>
        <w:tc>
          <w:tcPr>
            <w:tcW w:w="1431" w:type="dxa"/>
          </w:tcPr>
          <w:p>
            <w:pPr/>
            <w:r>
              <w:t xml:space="preserve">0.42 to 0.8</w:t>
            </w:r>
          </w:p>
        </w:tc>
        <w:tc>
          <w:tcPr>
            <w:tcW w:w="1226" w:type="dxa"/>
          </w:tcPr>
          <w:p>
            <w:pPr/>
            <w:r>
              <w:t xml:space="preserve">PASS</w:t>
            </w:r>
          </w:p>
        </w:tc>
      </w:tr>
      <w:tr>
        <w:tc>
          <w:tcPr>
            <w:tcW w:w="2972" w:type="dxa"/>
          </w:tcPr>
          <w:p>
            <w:pPr/>
            <w:r>
              <w:t xml:space="preserve">Isolated sharp square orifice, 8 cells, aligned</w:t>
            </w:r>
          </w:p>
        </w:tc>
        <w:tc>
          <w:tcPr>
            <w:tcW w:w="2116" w:type="dxa"/>
          </w:tcPr>
          <w:p>
            <w:pPr/>
            <w:r>
              <w:t xml:space="preserve">C_d ≈ 0.61 (Idelchik; ISO 5167)</w:t>
            </w:r>
          </w:p>
        </w:tc>
        <w:tc>
          <w:tcPr>
            <w:tcW w:w="1615" w:type="dxa"/>
          </w:tcPr>
          <w:p>
            <w:pPr/>
            <w:r>
              <w:t xml:space="preserve">0.716</w:t>
            </w:r>
          </w:p>
        </w:tc>
        <w:tc>
          <w:tcPr>
            <w:tcW w:w="1431" w:type="dxa"/>
          </w:tcPr>
          <w:p>
            <w:pPr/>
            <w:r>
              <w:t xml:space="preserve">0.65 to 0.72 (moved: aligned hole)</w:t>
            </w:r>
          </w:p>
        </w:tc>
        <w:tc>
          <w:tcPr>
            <w:tcW w:w="1226" w:type="dxa"/>
          </w:tcPr>
          <w:p>
            <w:pPr/>
            <w:r>
              <w:t xml:space="preserve">PASS</w:t>
            </w:r>
          </w:p>
        </w:tc>
      </w:tr>
      <w:tr>
        <w:tc>
          <w:tcPr>
            <w:tcW w:w="2972" w:type="dxa"/>
          </w:tcPr>
          <w:p>
            <w:pPr/>
            <w:r>
              <w:t xml:space="preserve">Wall-built opening, 4 / 8 / 16 cells, resolved C_d</w:t>
            </w:r>
          </w:p>
        </w:tc>
        <w:tc>
          <w:tcPr>
            <w:tcW w:w="2116" w:type="dxa"/>
          </w:tcPr>
          <w:p>
            <w:pPr/>
            <w:r>
              <w:t xml:space="preserve">same</w:t>
            </w:r>
          </w:p>
        </w:tc>
        <w:tc>
          <w:tcPr>
            <w:tcW w:w="1615" w:type="dxa"/>
          </w:tcPr>
          <w:p>
            <w:pPr/>
            <w:r>
              <w:t xml:space="preserve">0.562 / 0.627 / 0.651</w:t>
            </w:r>
          </w:p>
        </w:tc>
        <w:tc>
          <w:tcPr>
            <w:tcW w:w="1431" w:type="dxa"/>
          </w:tcPr>
          <w:p>
            <w:pPr/>
            <w:r>
              <w:t xml:space="preserve">information</w:t>
            </w:r>
          </w:p>
        </w:tc>
        <w:tc>
          <w:tcPr>
            <w:tcW w:w="1226" w:type="dxa"/>
          </w:tcPr>
          <w:p>
            <w:pPr/>
            <w:r>
              <w:t xml:space="preserve">NOTE</w:t>
            </w:r>
          </w:p>
        </w:tc>
      </w:tr>
      <w:tr>
        <w:tc>
          <w:tcPr>
            <w:tcW w:w="2972" w:type="dxa"/>
          </w:tcPr>
          <w:p>
            <w:pPr/>
            <w:r>
              <w:t xml:space="preserve">Wall-built opening, 8 cells, calibrated, mean of placements</w:t>
            </w:r>
          </w:p>
        </w:tc>
        <w:tc>
          <w:tcPr>
            <w:tcW w:w="2116" w:type="dxa"/>
          </w:tcPr>
          <w:p>
            <w:pPr/>
            <w:r>
              <w:t xml:space="preserve">requested 0.61</w:t>
            </w:r>
          </w:p>
        </w:tc>
        <w:tc>
          <w:tcPr>
            <w:tcW w:w="1615" w:type="dxa"/>
          </w:tcPr>
          <w:p>
            <w:pPr/>
            <w:r>
              <w:t xml:space="preserve">0.6093</w:t>
            </w:r>
          </w:p>
        </w:tc>
        <w:tc>
          <w:tcPr>
            <w:tcW w:w="1431" w:type="dxa"/>
          </w:tcPr>
          <w:p>
            <w:pPr/>
            <w:r>
              <w:t xml:space="preserve">within 3 %</w:t>
            </w:r>
          </w:p>
        </w:tc>
        <w:tc>
          <w:tcPr>
            <w:tcW w:w="1226" w:type="dxa"/>
          </w:tcPr>
          <w:p>
            <w:pPr/>
            <w:r>
              <w:t xml:space="preserve">PASS</w:t>
            </w:r>
          </w:p>
        </w:tc>
      </w:tr>
      <w:tr>
        <w:tc>
          <w:tcPr>
            <w:tcW w:w="2972" w:type="dxa"/>
          </w:tcPr>
          <w:p>
            <w:pPr/>
            <w:r>
              <w:t xml:space="preserve">One-offset rig, calibrated, 4 / 8 / 16 cells</w:t>
            </w:r>
          </w:p>
        </w:tc>
        <w:tc>
          <w:tcPr>
            <w:tcW w:w="2116" w:type="dxa"/>
          </w:tcPr>
          <w:p>
            <w:pPr/>
            <w:r>
              <w:t xml:space="preserve">requested 0.61</w:t>
            </w:r>
          </w:p>
        </w:tc>
        <w:tc>
          <w:tcPr>
            <w:tcW w:w="1615" w:type="dxa"/>
          </w:tcPr>
          <w:p>
            <w:pPr/>
            <w:r>
              <w:t xml:space="preserve">0.739 / 0.716 / 0.670</w:t>
            </w:r>
          </w:p>
        </w:tc>
        <w:tc>
          <w:tcPr>
            <w:tcW w:w="1431" w:type="dxa"/>
          </w:tcPr>
          <w:p>
            <w:pPr/>
            <w:r>
              <w:t xml:space="preserve">within 3 %</w:t>
            </w:r>
          </w:p>
        </w:tc>
        <w:tc>
          <w:tcPr>
            <w:tcW w:w="1226" w:type="dxa"/>
          </w:tcPr>
          <w:p>
            <w:pPr/>
            <w:r>
              <w:t xml:space="preserve">none within 3 %</w:t>
            </w:r>
          </w:p>
        </w:tc>
      </w:tr>
      <w:tr>
        <w:tc>
          <w:tcPr>
            <w:tcW w:w="2972" w:type="dxa"/>
          </w:tcPr>
          <w:p>
            <w:pPr/>
            <w:r>
              <w:t xml:space="preserve">Two-storey house, windward-to-leeward Δp</w:t>
            </w:r>
          </w:p>
        </w:tc>
        <w:tc>
          <w:tcPr>
            <w:tcW w:w="2116" w:type="dxa"/>
          </w:tcPr>
          <w:p>
            <w:pPr/>
            <w:r>
              <w:t xml:space="preserve">self-consistent pressure-driven flow</w:t>
            </w:r>
          </w:p>
        </w:tc>
        <w:tc>
          <w:tcPr>
            <w:tcW w:w="1615" w:type="dxa"/>
          </w:tcPr>
          <w:p>
            <w:pPr/>
            <w:r>
              <w:t xml:space="preserve">1.018</w:t>
            </w:r>
          </w:p>
        </w:tc>
        <w:tc>
          <w:tcPr>
            <w:tcW w:w="1431" w:type="dxa"/>
          </w:tcPr>
          <w:p>
            <w:pPr/>
            <w:r>
              <w:t xml:space="preserve">0.5 to 1.6 ×</w:t>
            </w:r>
          </w:p>
        </w:tc>
        <w:tc>
          <w:tcPr>
            <w:tcW w:w="1226" w:type="dxa"/>
          </w:tcPr>
          <w:p>
            <w:pPr/>
            <w:r>
              <w:t xml:space="preserve">PASS</w:t>
            </w:r>
          </w:p>
        </w:tc>
      </w:tr>
      <w:tr>
        <w:tc>
          <w:tcPr>
            <w:tcW w:w="2972" w:type="dxa"/>
          </w:tcPr>
          <w:p>
            <w:pPr/>
            <w:r>
              <w:t xml:space="preserve">Stack flow</w:t>
            </w:r>
          </w:p>
        </w:tc>
        <w:tc>
          <w:tcPr>
            <w:tcW w:w="2116" w:type="dxa"/>
          </w:tcPr>
          <w:p>
            <w:pPr/>
            <w:r>
              <w:t xml:space="preserve">orifice, Reynolds-corrected (C_d 0.421 at Re 149)</w:t>
            </w:r>
          </w:p>
        </w:tc>
        <w:tc>
          <w:tcPr>
            <w:tcW w:w="1615" w:type="dxa"/>
          </w:tcPr>
          <w:p>
            <w:pPr/>
            <w:r>
              <w:t xml:space="preserve">ratio 1.213, head error 7.9 %</w:t>
            </w:r>
          </w:p>
        </w:tc>
        <w:tc>
          <w:tcPr>
            <w:tcW w:w="1431" w:type="dxa"/>
          </w:tcPr>
          <w:p>
            <w:pPr/>
            <w:r>
              <w:t xml:space="preserve">0.6 to 1.4 ×</w:t>
            </w:r>
          </w:p>
        </w:tc>
        <w:tc>
          <w:tcPr>
            <w:tcW w:w="1226" w:type="dxa"/>
          </w:tcPr>
          <w:p>
            <w:pPr/>
            <w:r>
              <w:t xml:space="preserve">PASS</w:t>
            </w:r>
          </w:p>
        </w:tc>
      </w:tr>
      <w:tr>
        <w:tc>
          <w:tcPr>
            <w:tcW w:w="2972" w:type="dxa"/>
          </w:tcPr>
          <w:p>
            <w:pPr/>
            <w:r>
              <w:t xml:space="preserve">Exhaust age against V ÷ Q</w:t>
            </w:r>
          </w:p>
        </w:tc>
        <w:tc>
          <w:tcPr>
            <w:tcW w:w="2116" w:type="dxa"/>
          </w:tcPr>
          <w:p>
            <w:pPr/>
            <w:r>
              <w:t xml:space="preserve">Sandberg 1981</w:t>
            </w:r>
          </w:p>
        </w:tc>
        <w:tc>
          <w:tcPr>
            <w:tcW w:w="1615" w:type="dxa"/>
          </w:tcPr>
          <w:p>
            <w:pPr/>
            <w:r>
              <w:t xml:space="preserve">106.2 s against 100.8 s (5.3 %)</w:t>
            </w:r>
          </w:p>
        </w:tc>
        <w:tc>
          <w:tcPr>
            <w:tcW w:w="1431" w:type="dxa"/>
          </w:tcPr>
          <w:p>
            <w:pPr/>
            <w:r>
              <w:t xml:space="preserve">≤ 10 %</w:t>
            </w:r>
          </w:p>
        </w:tc>
        <w:tc>
          <w:tcPr>
            <w:tcW w:w="1226" w:type="dxa"/>
          </w:tcPr>
          <w:p>
            <w:pPr/>
            <w:r>
              <w:t xml:space="preserve">PASS</w:t>
            </w:r>
          </w:p>
        </w:tc>
      </w:tr>
      <w:tr>
        <w:tc>
          <w:tcPr>
            <w:tcW w:w="2972" w:type="dxa"/>
          </w:tcPr>
          <w:p>
            <w:pPr/>
            <w:r>
              <w:t xml:space="preserve">Two-room age ordering</w:t>
            </w:r>
          </w:p>
        </w:tc>
        <w:tc>
          <w:tcPr>
            <w:tcW w:w="2116" w:type="dxa"/>
          </w:tcPr>
          <w:p>
            <w:pPr/>
            <w:r>
              <w:t xml:space="preserve">ASHRAE 129</w:t>
            </w:r>
          </w:p>
        </w:tc>
        <w:tc>
          <w:tcPr>
            <w:tcW w:w="1615" w:type="dxa"/>
          </w:tcPr>
          <w:p>
            <w:pPr/>
            <w:r>
              <w:t xml:space="preserve">downstream above upstream</w:t>
            </w:r>
          </w:p>
        </w:tc>
        <w:tc>
          <w:tcPr>
            <w:tcW w:w="1431" w:type="dxa"/>
          </w:tcPr>
          <w:p>
            <w:pPr/>
            <w:r>
              <w:t xml:space="preserve">qualitative</w:t>
            </w:r>
          </w:p>
        </w:tc>
        <w:tc>
          <w:tcPr>
            <w:tcW w:w="1226" w:type="dxa"/>
          </w:tcPr>
          <w:p>
            <w:pPr/>
            <w:r>
              <w:t xml:space="preserve">PASS</w:t>
            </w:r>
          </w:p>
        </w:tc>
      </w:tr>
      <w:tr>
        <w:tc>
          <w:tcPr>
            <w:tcW w:w="2972" w:type="dxa"/>
          </w:tcPr>
          <w:p>
            <w:pPr/>
            <w:r>
              <w:t xml:space="preserve">CO2 cap and rise</w:t>
            </w:r>
          </w:p>
        </w:tc>
        <w:tc>
          <w:tcPr>
            <w:tcW w:w="2116" w:type="dxa"/>
          </w:tcPr>
          <w:p>
            <w:pPr/>
            <w:r>
              <w:t xml:space="preserve">mass balance; ASHRAE 129</w:t>
            </w:r>
          </w:p>
        </w:tc>
        <w:tc>
          <w:tcPr>
            <w:tcW w:w="1615" w:type="dxa"/>
          </w:tcPr>
          <w:p>
            <w:pPr/>
            <w:r>
              <w:t xml:space="preserve">within band</w:t>
            </w:r>
          </w:p>
        </w:tc>
        <w:tc>
          <w:tcPr>
            <w:tcW w:w="1431" w:type="dxa"/>
          </w:tcPr>
          <w:p>
            <w:pPr/>
            <w:r>
              <w:t xml:space="preserve">0.4 to 2.5 ×</w:t>
            </w:r>
          </w:p>
        </w:tc>
        <w:tc>
          <w:tcPr>
            <w:tcW w:w="1226" w:type="dxa"/>
          </w:tcPr>
          <w:p>
            <w:pPr/>
            <w:r>
              <w:t xml:space="preserve">PASS</w:t>
            </w:r>
          </w:p>
        </w:tc>
      </w:tr>
      <w:tr>
        <w:tc>
          <w:tcPr>
            <w:tcW w:w="2972" w:type="dxa"/>
          </w:tcPr>
          <w:p>
            <w:pPr/>
            <w:r>
              <w:t xml:space="preserve">CO2 with no source stays uniform</w:t>
            </w:r>
          </w:p>
        </w:tc>
        <w:tc>
          <w:tcPr>
            <w:tcW w:w="2116" w:type="dxa"/>
          </w:tcPr>
          <w:p>
            <w:pPr/>
            <w:r>
              <w:t xml:space="preserve">no decay</w:t>
            </w:r>
          </w:p>
        </w:tc>
        <w:tc>
          <w:tcPr>
            <w:tcW w:w="1615" w:type="dxa"/>
          </w:tcPr>
          <w:p>
            <w:pPr/>
            <w:r>
              <w:t xml:space="preserve">419.9997 to 420.0002 ppm</w:t>
            </w:r>
          </w:p>
        </w:tc>
        <w:tc>
          <w:tcPr>
            <w:tcW w:w="1431" w:type="dxa"/>
          </w:tcPr>
          <w:p>
            <w:pPr/>
            <w:r>
              <w:t xml:space="preserve">419.5 to 420.5</w:t>
            </w:r>
          </w:p>
        </w:tc>
        <w:tc>
          <w:tcPr>
            <w:tcW w:w="1226" w:type="dxa"/>
          </w:tcPr>
          <w:p>
            <w:pPr/>
            <w:r>
              <w:t xml:space="preserve">PASS</w:t>
            </w:r>
          </w:p>
        </w:tc>
      </w:tr>
      <w:tr>
        <w:tc>
          <w:tcPr>
            <w:tcW w:w="2972" w:type="dxa"/>
          </w:tcPr>
          <w:p>
            <w:pPr/>
            <w:r>
              <w:t xml:space="preserve">Open-air room loop</w:t>
            </w:r>
          </w:p>
        </w:tc>
        <w:tc>
          <w:tcPr>
            <w:tcW w:w="2116" w:type="dxa"/>
          </w:tcPr>
          <w:p>
            <w:pPr/>
            <w:r>
              <w:t xml:space="preserve">internal exchange is not fresh air</w:t>
            </w:r>
          </w:p>
        </w:tc>
        <w:tc>
          <w:tcPr>
            <w:tcW w:w="1615" w:type="dxa"/>
          </w:tcPr>
          <w:p>
            <w:pPr/>
            <w:r>
              <w:t xml:space="preserve">exchange 2.498 m³/s, inflow 0.0000</w:t>
            </w:r>
          </w:p>
        </w:tc>
        <w:tc>
          <w:tcPr>
            <w:tcW w:w="1431" w:type="dxa"/>
          </w:tcPr>
          <w:p>
            <w:pPr/>
            <w:r>
              <w:t xml:space="preserve">qualitative</w:t>
            </w:r>
          </w:p>
        </w:tc>
        <w:tc>
          <w:tcPr>
            <w:tcW w:w="1226" w:type="dxa"/>
          </w:tcPr>
          <w:p>
            <w:pPr/>
            <w:r>
              <w:t xml:space="preserve">PASS</w:t>
            </w:r>
          </w:p>
        </w:tc>
      </w:tr>
      <w:tr>
        <w:tc>
          <w:tcPr>
            <w:tcW w:w="2972" w:type="dxa"/>
          </w:tcPr>
          <w:p>
            <w:pPr/>
            <w:r>
              <w:t xml:space="preserve">Channel, interpolated wall</w:t>
            </w:r>
          </w:p>
        </w:tc>
        <w:tc>
          <w:tcPr>
            <w:tcW w:w="2116" w:type="dxa"/>
          </w:tcPr>
          <w:p>
            <w:pPr/>
            <w:r>
              <w:t xml:space="preserve">Bouzidi et al. 2001</w:t>
            </w:r>
          </w:p>
        </w:tc>
        <w:tc>
          <w:tcPr>
            <w:tcW w:w="1615" w:type="dxa"/>
          </w:tcPr>
          <w:p>
            <w:pPr/>
            <w:r>
              <w:t xml:space="preserve">5.37 against 5.40 cells</w:t>
            </w:r>
          </w:p>
        </w:tc>
        <w:tc>
          <w:tcPr>
            <w:tcW w:w="1431" w:type="dxa"/>
          </w:tcPr>
          <w:p>
            <w:pPr/>
            <w:r>
              <w:t xml:space="preserve">≤ 5 %</w:t>
            </w:r>
          </w:p>
        </w:tc>
        <w:tc>
          <w:tcPr>
            <w:tcW w:w="1226" w:type="dxa"/>
          </w:tcPr>
          <w:p>
            <w:pPr/>
            <w:r>
              <w:t xml:space="preserve">PASS</w:t>
            </w:r>
          </w:p>
        </w:tc>
      </w:tr>
      <w:tr>
        <w:tc>
          <w:tcPr>
            <w:tcW w:w="2972" w:type="dxa"/>
          </w:tcPr>
          <w:p>
            <w:pPr/>
            <w:r>
              <w:t xml:space="preserve">Channel, halfway bounce-back</w:t>
            </w:r>
          </w:p>
        </w:tc>
        <w:tc>
          <w:tcPr>
            <w:tcW w:w="2116" w:type="dxa"/>
          </w:tcPr>
          <w:p>
            <w:pPr/>
            <w:r>
              <w:t xml:space="preserve">same</w:t>
            </w:r>
          </w:p>
        </w:tc>
        <w:tc>
          <w:tcPr>
            <w:tcW w:w="1615" w:type="dxa"/>
          </w:tcPr>
          <w:p>
            <w:pPr/>
            <w:r>
              <w:t xml:space="preserve">9.2 % off</w:t>
            </w:r>
          </w:p>
        </w:tc>
        <w:tc>
          <w:tcPr>
            <w:tcW w:w="1431" w:type="dxa"/>
          </w:tcPr>
          <w:p>
            <w:pPr/>
            <w:r>
              <w:t xml:space="preserve">documents the gap</w:t>
            </w:r>
          </w:p>
        </w:tc>
        <w:tc>
          <w:tcPr>
            <w:tcW w:w="1226" w:type="dxa"/>
          </w:tcPr>
          <w:p>
            <w:pPr/>
            <w:r>
              <w:t xml:space="preserve">PASS (contrast)</w:t>
            </w:r>
          </w:p>
        </w:tc>
      </w:tr>
      <w:tr>
        <w:tc>
          <w:tcPr>
            <w:tcW w:w="2972" w:type="dxa"/>
          </w:tcPr>
          <w:p>
            <w:pPr/>
            <w:r>
              <w:t xml:space="preserve">50 mm partition, 255 mm grid</w:t>
            </w:r>
          </w:p>
        </w:tc>
        <w:tc>
          <w:tcPr>
            <w:tcW w:w="2116" w:type="dxa"/>
          </w:tcPr>
          <w:p>
            <w:pPr/>
            <w:r>
              <w:t xml:space="preserve">sub-cell wall seals</w:t>
            </w:r>
          </w:p>
        </w:tc>
        <w:tc>
          <w:tcPr>
            <w:tcW w:w="1615" w:type="dxa"/>
          </w:tcPr>
          <w:p>
            <w:pPr/>
            <w:r>
              <w:t xml:space="preserve">0.0000 m³/s</w:t>
            </w:r>
          </w:p>
        </w:tc>
        <w:tc>
          <w:tcPr>
            <w:tcW w:w="1431" w:type="dxa"/>
          </w:tcPr>
          <w:p>
            <w:pPr/>
            <w:r>
              <w:t xml:space="preserve">leak = 0</w:t>
            </w:r>
          </w:p>
        </w:tc>
        <w:tc>
          <w:tcPr>
            <w:tcW w:w="1226" w:type="dxa"/>
          </w:tcPr>
          <w:p>
            <w:pPr/>
            <w:r>
              <w:t xml:space="preserve">PASS</w:t>
            </w:r>
          </w:p>
        </w:tc>
      </w:tr>
      <w:tr>
        <w:tc>
          <w:tcPr>
            <w:tcW w:w="2972" w:type="dxa"/>
          </w:tcPr>
          <w:p>
            <w:pPr/>
            <w:r>
              <w:t xml:space="preserve">Box face inside a partition</w:t>
            </w:r>
          </w:p>
        </w:tc>
        <w:tc>
          <w:tcPr>
            <w:tcW w:w="2116" w:type="dxa"/>
          </w:tcPr>
          <w:p>
            <w:pPr/>
            <w:r>
              <w:t xml:space="preserve">must solve</w:t>
            </w:r>
          </w:p>
        </w:tc>
        <w:tc>
          <w:tcPr>
            <w:tcW w:w="1615" w:type="dxa"/>
          </w:tcPr>
          <w:p>
            <w:pPr/>
            <w:r>
              <w:t xml:space="preserve">solves</w:t>
            </w:r>
          </w:p>
        </w:tc>
        <w:tc>
          <w:tcPr>
            <w:tcW w:w="1431" w:type="dxa"/>
          </w:tcPr>
          <w:p>
            <w:pPr/>
            <w:r>
              <w:t xml:space="preserve">no divergence</w:t>
            </w:r>
          </w:p>
        </w:tc>
        <w:tc>
          <w:tcPr>
            <w:tcW w:w="1226" w:type="dxa"/>
          </w:tcPr>
          <w:p>
            <w:pPr/>
            <w:r>
              <w:t xml:space="preserve">PASS</w:t>
            </w:r>
          </w:p>
        </w:tc>
      </w:tr>
      <w:tr>
        <w:tc>
          <w:tcPr>
            <w:tcW w:w="2972" w:type="dxa"/>
          </w:tcPr>
          <w:p>
            <w:pPr/>
            <w:r>
              <w:t xml:space="preserve">Laminar channel, wall model on vs off</w:t>
            </w:r>
          </w:p>
        </w:tc>
        <w:tc>
          <w:tcPr>
            <w:tcW w:w="2116" w:type="dxa"/>
          </w:tcPr>
          <w:p>
            <w:pPr/>
            <w:r>
              <w:t xml:space="preserve">no change expected</w:t>
            </w:r>
          </w:p>
        </w:tc>
        <w:tc>
          <w:tcPr>
            <w:tcW w:w="1615" w:type="dxa"/>
          </w:tcPr>
          <w:p>
            <w:pPr/>
            <w:r>
              <w:t xml:space="preserve">2.5718 %</w:t>
            </w:r>
          </w:p>
        </w:tc>
        <w:tc>
          <w:tcPr>
            <w:tcW w:w="1431" w:type="dxa"/>
          </w:tcPr>
          <w:p>
            <w:pPr/>
            <w:r>
              <w:t xml:space="preserve">≤ 2 %</w:t>
            </w:r>
          </w:p>
        </w:tc>
        <w:tc>
          <w:tcPr>
            <w:tcW w:w="1226" w:type="dxa"/>
          </w:tcPr>
          <w:p>
            <w:pPr/>
            <w:r>
              <w:t xml:space="preserve">FAIL</w:t>
            </w:r>
          </w:p>
        </w:tc>
      </w:tr>
      <w:tr>
        <w:tc>
          <w:tcPr>
            <w:tcW w:w="2972" w:type="dxa"/>
          </w:tcPr>
          <w:p>
            <w:pPr/>
            <w:r>
              <w:t xml:space="preserve">Heated cavity, Ra 1e4, 48 cells</w:t>
            </w:r>
          </w:p>
        </w:tc>
        <w:tc>
          <w:tcPr>
            <w:tcW w:w="2116" w:type="dxa"/>
          </w:tcPr>
          <w:p>
            <w:pPr/>
            <w:r>
              <w:t xml:space="preserve">Fusegi et al. 1991, Nu 2.05</w:t>
            </w:r>
          </w:p>
        </w:tc>
        <w:tc>
          <w:tcPr>
            <w:tcW w:w="1615" w:type="dxa"/>
          </w:tcPr>
          <w:p>
            <w:pPr/>
            <w:r>
              <w:t xml:space="preserve">2.059 (0.4 %)</w:t>
            </w:r>
          </w:p>
        </w:tc>
        <w:tc>
          <w:tcPr>
            <w:tcW w:w="1431" w:type="dxa"/>
          </w:tcPr>
          <w:p>
            <w:pPr/>
            <w:r>
              <w:t xml:space="preserve">within 20 %</w:t>
            </w:r>
          </w:p>
        </w:tc>
        <w:tc>
          <w:tcPr>
            <w:tcW w:w="1226" w:type="dxa"/>
          </w:tcPr>
          <w:p>
            <w:pPr/>
            <w:r>
              <w:t xml:space="preserve">PASS</w:t>
            </w:r>
          </w:p>
        </w:tc>
      </w:tr>
      <w:tr>
        <w:tc>
          <w:tcPr>
            <w:tcW w:w="2972" w:type="dxa"/>
          </w:tcPr>
          <w:p>
            <w:pPr/>
            <w:r>
              <w:t xml:space="preserve">Heated cavity, Ra 1e5, 48 cells</w:t>
            </w:r>
          </w:p>
        </w:tc>
        <w:tc>
          <w:tcPr>
            <w:tcW w:w="2116" w:type="dxa"/>
          </w:tcPr>
          <w:p>
            <w:pPr/>
            <w:r>
              <w:t xml:space="preserve">Fusegi et al. 1991, Nu 4.34</w:t>
            </w:r>
          </w:p>
        </w:tc>
        <w:tc>
          <w:tcPr>
            <w:tcW w:w="1615" w:type="dxa"/>
          </w:tcPr>
          <w:p>
            <w:pPr/>
            <w:r>
              <w:t xml:space="preserve">4.382 (1.0 %)</w:t>
            </w:r>
          </w:p>
        </w:tc>
        <w:tc>
          <w:tcPr>
            <w:tcW w:w="1431" w:type="dxa"/>
          </w:tcPr>
          <w:p>
            <w:pPr/>
            <w:r>
              <w:t xml:space="preserve">within 20 %</w:t>
            </w:r>
          </w:p>
        </w:tc>
        <w:tc>
          <w:tcPr>
            <w:tcW w:w="1226" w:type="dxa"/>
          </w:tcPr>
          <w:p>
            <w:pPr/>
            <w:r>
              <w:t xml:space="preserve">PASS</w:t>
            </w:r>
          </w:p>
        </w:tc>
      </w:tr>
      <w:tr>
        <w:tc>
          <w:tcPr>
            <w:tcW w:w="2972" w:type="dxa"/>
          </w:tcPr>
          <w:p>
            <w:pPr/>
            <w:r>
              <w:t xml:space="preserve">Heated cavity, 160 cells, GPU</w:t>
            </w:r>
          </w:p>
        </w:tc>
        <w:tc>
          <w:tcPr>
            <w:tcW w:w="2116" w:type="dxa"/>
          </w:tcPr>
          <w:p>
            <w:pPr/>
            <w:r>
              <w:t xml:space="preserve">Tric et al. 2000, Nu 2.054 / 4.337</w:t>
            </w:r>
          </w:p>
        </w:tc>
        <w:tc>
          <w:tcPr>
            <w:tcW w:w="1615" w:type="dxa"/>
          </w:tcPr>
          <w:p>
            <w:pPr/>
            <w:r>
              <w:t xml:space="preserve">2.056 / 4.358 (0.1 / 0.5 %)</w:t>
            </w:r>
          </w:p>
        </w:tc>
        <w:tc>
          <w:tcPr>
            <w:tcW w:w="1431" w:type="dxa"/>
          </w:tcPr>
          <w:p>
            <w:pPr/>
            <w:r>
              <w:t xml:space="preserve">within 5 %</w:t>
            </w:r>
          </w:p>
        </w:tc>
        <w:tc>
          <w:tcPr>
            <w:tcW w:w="1226" w:type="dxa"/>
          </w:tcPr>
          <w:p>
            <w:pPr/>
            <w:r>
              <w:t xml:space="preserve">PASS</w:t>
            </w:r>
          </w:p>
        </w:tc>
      </w:tr>
      <w:tr>
        <w:tc>
          <w:tcPr>
            <w:tcW w:w="2972" w:type="dxa"/>
          </w:tcPr>
          <w:p>
            <w:pPr/>
            <w:r>
              <w:t xml:space="preserve">Sealed filling box, 3.0 m room</w:t>
            </w:r>
          </w:p>
        </w:tc>
        <w:tc>
          <w:tcPr>
            <w:tcW w:w="2116" w:type="dxa"/>
          </w:tcPr>
          <w:p>
            <w:pPr/>
            <w:r>
              <w:t xml:space="preserve">Baines &amp; Turner 1969; Worster &amp; Huppert 1983</w:t>
            </w:r>
          </w:p>
        </w:tc>
        <w:tc>
          <w:tcPr>
            <w:tcW w:w="1615" w:type="dxa"/>
          </w:tcPr>
          <w:p>
            <w:pPr/>
            <w:r>
              <w:t xml:space="preserve">1.30 K</w:t>
            </w:r>
          </w:p>
        </w:tc>
        <w:tc>
          <w:tcPr>
            <w:tcW w:w="1431" w:type="dxa"/>
          </w:tcPr>
          <w:p>
            <w:pPr/>
            <w:r>
              <w:t xml:space="preserve">1.8 to 8.6 K</w:t>
            </w:r>
          </w:p>
        </w:tc>
        <w:tc>
          <w:tcPr>
            <w:tcW w:w="1226" w:type="dxa"/>
          </w:tcPr>
          <w:p>
            <w:pPr/>
            <w:r>
              <w:t xml:space="preserve">FAIL</w:t>
            </w:r>
          </w:p>
        </w:tc>
      </w:tr>
      <w:tr>
        <w:tc>
          <w:tcPr>
            <w:tcW w:w="2972" w:type="dxa"/>
          </w:tcPr>
          <w:p>
            <w:pPr/>
            <w:r>
              <w:t xml:space="preserve">Sealed-room heating energy balance</w:t>
            </w:r>
          </w:p>
        </w:tc>
        <w:tc>
          <w:tcPr>
            <w:tcW w:w="2116" w:type="dxa"/>
          </w:tcPr>
          <w:p>
            <w:pPr/>
            <w:r>
              <w:t xml:space="preserve">P t ÷ (ρ c_p V)</w:t>
            </w:r>
          </w:p>
        </w:tc>
        <w:tc>
          <w:tcPr>
            <w:tcW w:w="1615" w:type="dxa"/>
          </w:tcPr>
          <w:p>
            <w:pPr/>
            <w:r>
              <w:t xml:space="preserve">5.4 %</w:t>
            </w:r>
          </w:p>
        </w:tc>
        <w:tc>
          <w:tcPr>
            <w:tcW w:w="1431" w:type="dxa"/>
          </w:tcPr>
          <w:p>
            <w:pPr/>
            <w:r>
              <w:t xml:space="preserve">≤ 20 %</w:t>
            </w:r>
          </w:p>
        </w:tc>
        <w:tc>
          <w:tcPr>
            <w:tcW w:w="1226" w:type="dxa"/>
          </w:tcPr>
          <w:p>
            <w:pPr/>
            <w:r>
              <w:t xml:space="preserve">PASS</w:t>
            </w:r>
          </w:p>
        </w:tc>
      </w:tr>
    </w:tbl>
    <w:p>
      <w:pPr/>
      <w:r>
        <w:t xml:space="preserve">The Nusselt number is heat transfer relative to pure conduction; a conduction-limit geometry check reads Nu 1.00. At an older 48-cell grid the two Rayleigh cases read 8 to 10 % low, before a test-geometry fix.</w:t>
      </w:r>
    </w:p>
    <w:p>
      <w:pPr>
        <w:pStyle w:val="Heading3"/>
      </w:pPr>
      <w:r>
        <w:t xml:space="preserve">Self-consistency, devices, nested box and starts</w:t>
      </w:r>
    </w:p>
    <w:tbl>
      <w:tblPr>
        <w:tblStyle w:val="TableGrid"/>
        <w:tblW w:w="0" w:type="auto"/>
        <w:tblLayout w:type="fixed"/>
        <w:tblLook w:val="04A0" w:firstRow="1" w:lastRow="0" w:firstColumn="0" w:lastColumn="0" w:noHBand="0" w:noVBand="1"/>
      </w:tblPr>
      <w:tblGrid>
        <w:gridCol w:w="3888"/>
        <w:gridCol w:w="2423"/>
        <w:gridCol w:w="1351"/>
        <w:gridCol w:w="1698"/>
      </w:tblGrid>
      <w:tr>
        <w:trPr>
          <w:tblHeader/>
        </w:trPr>
        <w:tc>
          <w:tcPr>
            <w:tcW w:w="3888" w:type="dxa"/>
            <w:shd w:val="clear" w:color="auto" w:fill="F3F0EA"/>
          </w:tcPr>
          <w:p>
            <w:pPr/>
            <w:r>
              <w:t xml:space="preserve">Case</w:t>
            </w:r>
          </w:p>
        </w:tc>
        <w:tc>
          <w:tcPr>
            <w:tcW w:w="2423" w:type="dxa"/>
            <w:shd w:val="clear" w:color="auto" w:fill="F3F0EA"/>
          </w:tcPr>
          <w:p>
            <w:pPr/>
            <w:r>
              <w:t xml:space="preserve">WindFlow</w:t>
            </w:r>
          </w:p>
        </w:tc>
        <w:tc>
          <w:tcPr>
            <w:tcW w:w="1351" w:type="dxa"/>
            <w:shd w:val="clear" w:color="auto" w:fill="F3F0EA"/>
          </w:tcPr>
          <w:p>
            <w:pPr/>
            <w:r>
              <w:t xml:space="preserve">Band</w:t>
            </w:r>
          </w:p>
        </w:tc>
        <w:tc>
          <w:tcPr>
            <w:tcW w:w="1698" w:type="dxa"/>
            <w:shd w:val="clear" w:color="auto" w:fill="F3F0EA"/>
          </w:tcPr>
          <w:p>
            <w:pPr/>
            <w:r>
              <w:t xml:space="preserve">Status</w:t>
            </w:r>
          </w:p>
        </w:tc>
      </w:tr>
      <w:tr>
        <w:tc>
          <w:tcPr>
            <w:tcW w:w="3888" w:type="dxa"/>
          </w:tcPr>
          <w:p>
            <w:pPr/>
            <w:r>
              <w:t xml:space="preserve">Cross-ventilation, CPU against GPU</w:t>
            </w:r>
          </w:p>
        </w:tc>
        <w:tc>
          <w:tcPr>
            <w:tcW w:w="2423" w:type="dxa"/>
          </w:tcPr>
          <w:p>
            <w:pPr/>
            <w:r>
              <w:t xml:space="preserve">0.0 %</w:t>
            </w:r>
          </w:p>
        </w:tc>
        <w:tc>
          <w:tcPr>
            <w:tcW w:w="1351" w:type="dxa"/>
          </w:tcPr>
          <w:p>
            <w:pPr/>
            <w:r>
              <w:t xml:space="preserve">≤ 3 % flow, ≤ 5 % ACH</w:t>
            </w:r>
          </w:p>
        </w:tc>
        <w:tc>
          <w:tcPr>
            <w:tcW w:w="1698" w:type="dxa"/>
          </w:tcPr>
          <w:p>
            <w:pPr/>
            <w:r>
              <w:t xml:space="preserve">PASS</w:t>
            </w:r>
          </w:p>
        </w:tc>
      </w:tr>
      <w:tr>
        <w:tc>
          <w:tcPr>
            <w:tcW w:w="3888" w:type="dxa"/>
          </w:tcPr>
          <w:p>
            <w:pPr/>
            <w:r>
              <w:t xml:space="preserve">Orifice rig: CPU/GPU parity, mirror and offset symmetry</w:t>
            </w:r>
          </w:p>
        </w:tc>
        <w:tc>
          <w:tcPr>
            <w:tcW w:w="2423" w:type="dxa"/>
          </w:tcPr>
          <w:p>
            <w:pPr/>
            <w:r>
              <w:t xml:space="preserve">0.6528 both; 0 mismatches; within band</w:t>
            </w:r>
          </w:p>
        </w:tc>
        <w:tc>
          <w:tcPr>
            <w:tcW w:w="1351" w:type="dxa"/>
          </w:tcPr>
          <w:p>
            <w:pPr/>
            <w:r>
              <w:t xml:space="preserve">≤ 1 %; = 0; ≤ 0.5 %</w:t>
            </w:r>
          </w:p>
        </w:tc>
        <w:tc>
          <w:tcPr>
            <w:tcW w:w="1698" w:type="dxa"/>
          </w:tcPr>
          <w:p>
            <w:pPr/>
            <w:r>
              <w:t xml:space="preserve">PASS</w:t>
            </w:r>
          </w:p>
        </w:tc>
      </w:tr>
      <w:tr>
        <w:tc>
          <w:tcPr>
            <w:tcW w:w="3888" w:type="dxa"/>
          </w:tcPr>
          <w:p>
            <w:pPr/>
            <w:r>
              <w:t xml:space="preserve">Thermal, 3 kW room in wind, GPU against CPU</w:t>
            </w:r>
          </w:p>
        </w:tc>
        <w:tc>
          <w:tcPr>
            <w:tcW w:w="2423" w:type="dxa"/>
          </w:tcPr>
          <w:p>
            <w:pPr/>
            <w:r>
              <w:t xml:space="preserve">max ΔT 5.9e-5 K; energy 0.0000 to 0.0002 %</w:t>
            </w:r>
          </w:p>
        </w:tc>
        <w:tc>
          <w:tcPr>
            <w:tcW w:w="1351" w:type="dxa"/>
          </w:tcPr>
          <w:p>
            <w:pPr/>
            <w:r>
              <w:t xml:space="preserve">≤ 1e-3 K; ≤ 0.01 %</w:t>
            </w:r>
          </w:p>
        </w:tc>
        <w:tc>
          <w:tcPr>
            <w:tcW w:w="1698" w:type="dxa"/>
          </w:tcPr>
          <w:p>
            <w:pPr/>
            <w:r>
              <w:t xml:space="preserve">PASS</w:t>
            </w:r>
          </w:p>
        </w:tc>
      </w:tr>
      <w:tr>
        <w:tc>
          <w:tcPr>
            <w:tcW w:w="3888" w:type="dxa"/>
          </w:tcPr>
          <w:p>
            <w:pPr/>
            <w:r>
              <w:t xml:space="preserve">Heated cavity Nusselt, CPU against GPU</w:t>
            </w:r>
          </w:p>
        </w:tc>
        <w:tc>
          <w:tcPr>
            <w:tcW w:w="2423" w:type="dxa"/>
          </w:tcPr>
          <w:p>
            <w:pPr/>
            <w:r>
              <w:t xml:space="preserve">0.0 %</w:t>
            </w:r>
          </w:p>
        </w:tc>
        <w:tc>
          <w:tcPr>
            <w:tcW w:w="1351" w:type="dxa"/>
          </w:tcPr>
          <w:p>
            <w:pPr/>
            <w:r>
              <w:t xml:space="preserve">≤ 10 %</w:t>
            </w:r>
          </w:p>
        </w:tc>
        <w:tc>
          <w:tcPr>
            <w:tcW w:w="1698" w:type="dxa"/>
          </w:tcPr>
          <w:p>
            <w:pPr/>
            <w:r>
              <w:t xml:space="preserve">PASS</w:t>
            </w:r>
          </w:p>
        </w:tc>
      </w:tr>
      <w:tr>
        <w:tc>
          <w:tcPr>
            <w:tcW w:w="3888" w:type="dxa"/>
          </w:tcPr>
          <w:p>
            <w:pPr/>
            <w:r>
              <w:t xml:space="preserve">Ceiling fan disc against rated 1.200 m³/s</w:t>
            </w:r>
          </w:p>
        </w:tc>
        <w:tc>
          <w:tcPr>
            <w:tcW w:w="2423" w:type="dxa"/>
          </w:tcPr>
          <w:p>
            <w:pPr/>
            <w:r>
              <w:t xml:space="preserve">−3.5 %</w:t>
            </w:r>
          </w:p>
        </w:tc>
        <w:tc>
          <w:tcPr>
            <w:tcW w:w="1351" w:type="dxa"/>
          </w:tcPr>
          <w:p>
            <w:pPr/>
            <w:r>
              <w:t xml:space="preserve">±25 %</w:t>
            </w:r>
          </w:p>
        </w:tc>
        <w:tc>
          <w:tcPr>
            <w:tcW w:w="1698" w:type="dxa"/>
          </w:tcPr>
          <w:p>
            <w:pPr/>
            <w:r>
              <w:t xml:space="preserve">PASS</w:t>
            </w:r>
          </w:p>
        </w:tc>
      </w:tr>
      <w:tr>
        <w:tc>
          <w:tcPr>
            <w:tcW w:w="3888" w:type="dxa"/>
          </w:tcPr>
          <w:p>
            <w:pPr/>
            <w:r>
              <w:t xml:space="preserve">Ceiling fan: sealed-room mass; CPU against GPU</w:t>
            </w:r>
          </w:p>
        </w:tc>
        <w:tc>
          <w:tcPr>
            <w:tcW w:w="2423" w:type="dxa"/>
          </w:tcPr>
          <w:p>
            <w:pPr/>
            <w:r>
              <w:t xml:space="preserve">residual 3.65e-5; equal</w:t>
            </w:r>
          </w:p>
        </w:tc>
        <w:tc>
          <w:tcPr>
            <w:tcW w:w="1351" w:type="dxa"/>
          </w:tcPr>
          <w:p>
            <w:pPr/>
            <w:r>
              <w:t xml:space="preserve">≤ 1e-3; ≤ 1 %</w:t>
            </w:r>
          </w:p>
        </w:tc>
        <w:tc>
          <w:tcPr>
            <w:tcW w:w="1698" w:type="dxa"/>
          </w:tcPr>
          <w:p>
            <w:pPr/>
            <w:r>
              <w:t xml:space="preserve">PASS</w:t>
            </w:r>
          </w:p>
        </w:tc>
      </w:tr>
      <w:tr>
        <w:tc>
          <w:tcPr>
            <w:tcW w:w="3888" w:type="dxa"/>
          </w:tcPr>
          <w:p>
            <w:pPr/>
            <w:r>
              <w:t xml:space="preserve">Split AC duty against its own flow and ΔT</w:t>
            </w:r>
          </w:p>
        </w:tc>
        <w:tc>
          <w:tcPr>
            <w:tcW w:w="2423" w:type="dxa"/>
          </w:tcPr>
          <w:p>
            <w:pPr/>
            <w:r>
              <w:t xml:space="preserve">0.0 %</w:t>
            </w:r>
          </w:p>
        </w:tc>
        <w:tc>
          <w:tcPr>
            <w:tcW w:w="1351" w:type="dxa"/>
          </w:tcPr>
          <w:p>
            <w:pPr/>
            <w:r>
              <w:t xml:space="preserve">≤ 15 %</w:t>
            </w:r>
          </w:p>
        </w:tc>
        <w:tc>
          <w:tcPr>
            <w:tcW w:w="1698" w:type="dxa"/>
          </w:tcPr>
          <w:p>
            <w:pPr/>
            <w:r>
              <w:t xml:space="preserve">PASS</w:t>
            </w:r>
          </w:p>
        </w:tc>
      </w:tr>
      <w:tr>
        <w:tc>
          <w:tcPr>
            <w:tcW w:w="3888" w:type="dxa"/>
          </w:tcPr>
          <w:p>
            <w:pPr/>
            <w:r>
              <w:t xml:space="preserve">Split AC duty against room enthalpy loss</w:t>
            </w:r>
          </w:p>
        </w:tc>
        <w:tc>
          <w:tcPr>
            <w:tcW w:w="2423" w:type="dxa"/>
          </w:tcPr>
          <w:p>
            <w:pPr/>
            <w:r>
              <w:t xml:space="preserve">0.2 %</w:t>
            </w:r>
          </w:p>
        </w:tc>
        <w:tc>
          <w:tcPr>
            <w:tcW w:w="1351" w:type="dxa"/>
          </w:tcPr>
          <w:p>
            <w:pPr/>
            <w:r>
              <w:t xml:space="preserve">≤ 20 %</w:t>
            </w:r>
          </w:p>
        </w:tc>
        <w:tc>
          <w:tcPr>
            <w:tcW w:w="1698" w:type="dxa"/>
          </w:tcPr>
          <w:p>
            <w:pPr/>
            <w:r>
              <w:t xml:space="preserve">PASS</w:t>
            </w:r>
          </w:p>
        </w:tc>
      </w:tr>
      <w:tr>
        <w:tc>
          <w:tcPr>
            <w:tcW w:w="3888" w:type="dxa"/>
          </w:tcPr>
          <w:p>
            <w:pPr/>
            <w:r>
              <w:t xml:space="preserve">Split AC thermal, CPU against GPU</w:t>
            </w:r>
          </w:p>
        </w:tc>
        <w:tc>
          <w:tcPr>
            <w:tcW w:w="2423" w:type="dxa"/>
          </w:tcPr>
          <w:p>
            <w:pPr/>
            <w:r>
              <w:t xml:space="preserve">25.372 / 25.372 °C; 2360 / 2360 W</w:t>
            </w:r>
          </w:p>
        </w:tc>
        <w:tc>
          <w:tcPr>
            <w:tcW w:w="1351" w:type="dxa"/>
          </w:tcPr>
          <w:p>
            <w:pPr/>
            <w:r>
              <w:t xml:space="preserve">0.05 K; 2 %</w:t>
            </w:r>
          </w:p>
        </w:tc>
        <w:tc>
          <w:tcPr>
            <w:tcW w:w="1698" w:type="dxa"/>
          </w:tcPr>
          <w:p>
            <w:pPr/>
            <w:r>
              <w:t xml:space="preserve">PASS</w:t>
            </w:r>
          </w:p>
        </w:tc>
      </w:tr>
      <w:tr>
        <w:tc>
          <w:tcPr>
            <w:tcW w:w="3888" w:type="dxa"/>
          </w:tcPr>
          <w:p>
            <w:pPr/>
            <w:r>
              <w:t xml:space="preserve">Split AC steady return temperature</w:t>
            </w:r>
          </w:p>
        </w:tc>
        <w:tc>
          <w:tcPr>
            <w:tcW w:w="2423" w:type="dxa"/>
          </w:tcPr>
          <w:p>
            <w:pPr/>
            <w:r>
              <w:t xml:space="preserve">+0.30 K (17.62 against 17.32 °C)</w:t>
            </w:r>
          </w:p>
        </w:tc>
        <w:tc>
          <w:tcPr>
            <w:tcW w:w="1351" w:type="dxa"/>
          </w:tcPr>
          <w:p>
            <w:pPr/>
            <w:r>
              <w:t xml:space="preserve">±0.3 K</w:t>
            </w:r>
          </w:p>
        </w:tc>
        <w:tc>
          <w:tcPr>
            <w:tcW w:w="1698" w:type="dxa"/>
          </w:tcPr>
          <w:p>
            <w:pPr/>
            <w:r>
              <w:t xml:space="preserve">PASS (edge)</w:t>
            </w:r>
          </w:p>
        </w:tc>
      </w:tr>
      <w:tr>
        <w:tc>
          <w:tcPr>
            <w:tcW w:w="3888" w:type="dxa"/>
          </w:tcPr>
          <w:p>
            <w:pPr/>
            <w:r>
              <w:t xml:space="preserve">Exhaust fan counted once in the mass ledger</w:t>
            </w:r>
          </w:p>
        </w:tc>
        <w:tc>
          <w:tcPr>
            <w:tcW w:w="2423" w:type="dxa"/>
          </w:tcPr>
          <w:p>
            <w:pPr/>
            <w:r>
              <w:t xml:space="preserve">residual 1.2 %</w:t>
            </w:r>
          </w:p>
        </w:tc>
        <w:tc>
          <w:tcPr>
            <w:tcW w:w="1351" w:type="dxa"/>
          </w:tcPr>
          <w:p>
            <w:pPr/>
            <w:r>
              <w:t xml:space="preserve">≤ 10 %</w:t>
            </w:r>
          </w:p>
        </w:tc>
        <w:tc>
          <w:tcPr>
            <w:tcW w:w="1698" w:type="dxa"/>
          </w:tcPr>
          <w:p>
            <w:pPr/>
            <w:r>
              <w:t xml:space="preserve">PASS</w:t>
            </w:r>
          </w:p>
        </w:tc>
      </w:tr>
      <w:tr>
        <w:tc>
          <w:tcPr>
            <w:tcW w:w="3888" w:type="dxa"/>
          </w:tcPr>
          <w:p>
            <w:pPr/>
            <w:r>
              <w:t xml:space="preserve">Nested box = whole domain at half the cell size</w:t>
            </w:r>
          </w:p>
        </w:tc>
        <w:tc>
          <w:tcPr>
            <w:tcW w:w="2423" w:type="dxa"/>
          </w:tcPr>
          <w:p>
            <w:pPr/>
            <w:r>
              <w:t xml:space="preserve">2.6 %</w:t>
            </w:r>
          </w:p>
        </w:tc>
        <w:tc>
          <w:tcPr>
            <w:tcW w:w="1351" w:type="dxa"/>
          </w:tcPr>
          <w:p>
            <w:pPr/>
            <w:r>
              <w:t xml:space="preserve">≤ 10 %</w:t>
            </w:r>
          </w:p>
        </w:tc>
        <w:tc>
          <w:tcPr>
            <w:tcW w:w="1698" w:type="dxa"/>
          </w:tcPr>
          <w:p>
            <w:pPr/>
            <w:r>
              <w:t xml:space="preserve">PASS</w:t>
            </w:r>
          </w:p>
        </w:tc>
      </w:tr>
      <w:tr>
        <w:tc>
          <w:tcPr>
            <w:tcW w:w="3888" w:type="dxa"/>
          </w:tcPr>
          <w:p>
            <w:pPr/>
            <w:r>
              <w:t xml:space="preserve">Nested box round living room and landing</w:t>
            </w:r>
          </w:p>
        </w:tc>
        <w:tc>
          <w:tcPr>
            <w:tcW w:w="2423" w:type="dxa"/>
          </w:tcPr>
          <w:p>
            <w:pPr/>
            <w:r>
              <w:t xml:space="preserve">15 % / 10 % (whole-building alone 11.1 / 17.5 %)</w:t>
            </w:r>
          </w:p>
        </w:tc>
        <w:tc>
          <w:tcPr>
            <w:tcW w:w="1351" w:type="dxa"/>
          </w:tcPr>
          <w:p>
            <w:pPr/>
            <w:r>
              <w:t xml:space="preserve">≤ 25 %</w:t>
            </w:r>
          </w:p>
        </w:tc>
        <w:tc>
          <w:tcPr>
            <w:tcW w:w="1698" w:type="dxa"/>
          </w:tcPr>
          <w:p>
            <w:pPr/>
            <w:r>
              <w:t xml:space="preserve">PASS</w:t>
            </w:r>
          </w:p>
        </w:tc>
      </w:tr>
      <w:tr>
        <w:tc>
          <w:tcPr>
            <w:tcW w:w="3888" w:type="dxa"/>
          </w:tcPr>
          <w:p>
            <w:pPr/>
            <w:r>
              <w:t xml:space="preserve">Nested box: CPU against GPU; mass ledger</w:t>
            </w:r>
          </w:p>
        </w:tc>
        <w:tc>
          <w:tcPr>
            <w:tcW w:w="2423" w:type="dxa"/>
          </w:tcPr>
          <w:p>
            <w:pPr/>
            <w:r>
              <w:t xml:space="preserve">0.00 %; 0.2 / 4.4 %</w:t>
            </w:r>
          </w:p>
        </w:tc>
        <w:tc>
          <w:tcPr>
            <w:tcW w:w="1351" w:type="dxa"/>
          </w:tcPr>
          <w:p>
            <w:pPr/>
            <w:r>
              <w:t xml:space="preserve">≤ 1 %; ≤ 10 %</w:t>
            </w:r>
          </w:p>
        </w:tc>
        <w:tc>
          <w:tcPr>
            <w:tcW w:w="1698" w:type="dxa"/>
          </w:tcPr>
          <w:p>
            <w:pPr/>
            <w:r>
              <w:t xml:space="preserve">PASS</w:t>
            </w:r>
          </w:p>
        </w:tc>
      </w:tr>
      <w:tr>
        <w:tc>
          <w:tcPr>
            <w:tcW w:w="3888" w:type="dxa"/>
          </w:tcPr>
          <w:p>
            <w:pPr/>
            <w:r>
              <w:t xml:space="preserve">Supply inlet at 1 / 2 / 4 / 6 cells</w:t>
            </w:r>
          </w:p>
        </w:tc>
        <w:tc>
          <w:tcPr>
            <w:tcW w:w="2423" w:type="dxa"/>
          </w:tcPr>
          <w:p>
            <w:pPr/>
            <w:r>
              <w:t xml:space="preserve">0.995 / 0.993 / 0.999 / 0.997</w:t>
            </w:r>
          </w:p>
        </w:tc>
        <w:tc>
          <w:tcPr>
            <w:tcW w:w="1351" w:type="dxa"/>
          </w:tcPr>
          <w:p>
            <w:pPr/>
            <w:r>
              <w:t xml:space="preserve">±2 %</w:t>
            </w:r>
          </w:p>
        </w:tc>
        <w:tc>
          <w:tcPr>
            <w:tcW w:w="1698" w:type="dxa"/>
          </w:tcPr>
          <w:p>
            <w:pPr/>
            <w:r>
              <w:t xml:space="preserve">PASS</w:t>
            </w:r>
          </w:p>
        </w:tc>
      </w:tr>
      <w:tr>
        <w:tc>
          <w:tcPr>
            <w:tcW w:w="3888" w:type="dxa"/>
          </w:tcPr>
          <w:p>
            <w:pPr/>
            <w:r>
              <w:t xml:space="preserve">Two-cell corner supply patch</w:t>
            </w:r>
          </w:p>
        </w:tc>
        <w:tc>
          <w:tcPr>
            <w:tcW w:w="2423" w:type="dxa"/>
          </w:tcPr>
          <w:p>
            <w:pPr/>
            <w:r>
              <w:t xml:space="preserve">0.991, scale 1.200</w:t>
            </w:r>
          </w:p>
        </w:tc>
        <w:tc>
          <w:tcPr>
            <w:tcW w:w="1351" w:type="dxa"/>
          </w:tcPr>
          <w:p>
            <w:pPr/>
            <w:r>
              <w:t xml:space="preserve">±2 %; 1.2 ± 0.02</w:t>
            </w:r>
          </w:p>
        </w:tc>
        <w:tc>
          <w:tcPr>
            <w:tcW w:w="1698" w:type="dxa"/>
          </w:tcPr>
          <w:p>
            <w:pPr/>
            <w:r>
              <w:t xml:space="preserve">PASS</w:t>
            </w:r>
          </w:p>
        </w:tc>
      </w:tr>
      <w:tr>
        <w:tc>
          <w:tcPr>
            <w:tcW w:w="3888" w:type="dxa"/>
          </w:tcPr>
          <w:p>
            <w:pPr/>
            <w:r>
              <w:t xml:space="preserve">Return and fan boundary cells</w:t>
            </w:r>
          </w:p>
        </w:tc>
        <w:tc>
          <w:tcPr>
            <w:tcW w:w="2423" w:type="dxa"/>
          </w:tcPr>
          <w:p>
            <w:pPr/>
            <w:r>
              <w:t xml:space="preserve">neighbour flip 7.2e-7 / 2.0e-4; GPU = CPU</w:t>
            </w:r>
          </w:p>
        </w:tc>
        <w:tc>
          <w:tcPr>
            <w:tcW w:w="1351" w:type="dxa"/>
          </w:tcPr>
          <w:p>
            <w:pPr/>
            <w:r>
              <w:t xml:space="preserve">flip ≤ 1e-4; ≤ 1e-3</w:t>
            </w:r>
          </w:p>
        </w:tc>
        <w:tc>
          <w:tcPr>
            <w:tcW w:w="1698" w:type="dxa"/>
          </w:tcPr>
          <w:p>
            <w:pPr/>
            <w:r>
              <w:t xml:space="preserve">PASS</w:t>
            </w:r>
          </w:p>
        </w:tc>
      </w:tr>
      <w:tr>
        <w:tc>
          <w:tcPr>
            <w:tcW w:w="3888" w:type="dxa"/>
          </w:tcPr>
          <w:p>
            <w:pPr/>
            <w:r>
              <w:t xml:space="preserve">Warm start, 1.04 M cells, GPU</w:t>
            </w:r>
          </w:p>
        </w:tc>
        <w:tc>
          <w:tcPr>
            <w:tcW w:w="2423" w:type="dxa"/>
          </w:tcPr>
          <w:p>
            <w:pPr/>
            <w:r>
              <w:t xml:space="preserve">1.05 % from cold</w:t>
            </w:r>
          </w:p>
        </w:tc>
        <w:tc>
          <w:tcPr>
            <w:tcW w:w="1351" w:type="dxa"/>
          </w:tcPr>
          <w:p>
            <w:pPr/>
            <w:r>
              <w:t xml:space="preserve">≤ 2 %</w:t>
            </w:r>
          </w:p>
        </w:tc>
        <w:tc>
          <w:tcPr>
            <w:tcW w:w="1698" w:type="dxa"/>
          </w:tcPr>
          <w:p>
            <w:pPr/>
            <w:r>
              <w:t xml:space="preserve">PASS</w:t>
            </w:r>
          </w:p>
        </w:tc>
      </w:tr>
      <w:tr>
        <w:tc>
          <w:tcPr>
            <w:tcW w:w="3888" w:type="dxa"/>
          </w:tcPr>
          <w:p>
            <w:pPr/>
            <w:r>
              <w:t xml:space="preserve">Warm start, 423 k cells, CPU</w:t>
            </w:r>
          </w:p>
        </w:tc>
        <w:tc>
          <w:tcPr>
            <w:tcW w:w="2423" w:type="dxa"/>
          </w:tcPr>
          <w:p>
            <w:pPr/>
            <w:r>
              <w:t xml:space="preserve">3.08 % from cold</w:t>
            </w:r>
          </w:p>
        </w:tc>
        <w:tc>
          <w:tcPr>
            <w:tcW w:w="1351" w:type="dxa"/>
          </w:tcPr>
          <w:p>
            <w:pPr/>
            <w:r>
              <w:t xml:space="preserve">≤ 2 %</w:t>
            </w:r>
          </w:p>
        </w:tc>
        <w:tc>
          <w:tcPr>
            <w:tcW w:w="1698" w:type="dxa"/>
          </w:tcPr>
          <w:p>
            <w:pPr/>
            <w:r>
              <w:t xml:space="preserve">FAIL</w:t>
            </w:r>
          </w:p>
        </w:tc>
      </w:tr>
      <w:tr>
        <w:tc>
          <w:tcPr>
            <w:tcW w:w="3888" w:type="dxa"/>
          </w:tcPr>
          <w:p>
            <w:pPr/>
            <w:r>
              <w:t xml:space="preserve">Older convergence loop, 250 k cells</w:t>
            </w:r>
          </w:p>
        </w:tc>
        <w:tc>
          <w:tcPr>
            <w:tcW w:w="2423" w:type="dxa"/>
          </w:tcPr>
          <w:p>
            <w:pPr/>
            <w:r>
              <w:t xml:space="preserve">capped after 587,955 steps, 36.04 ± 1.043 ACH</w:t>
            </w:r>
          </w:p>
        </w:tc>
        <w:tc>
          <w:tcPr>
            <w:tcW w:w="1351" w:type="dxa"/>
          </w:tcPr>
          <w:p>
            <w:pPr/>
            <w:r>
              <w:t xml:space="preserve">converged</w:t>
            </w:r>
          </w:p>
        </w:tc>
        <w:tc>
          <w:tcPr>
            <w:tcW w:w="1698" w:type="dxa"/>
          </w:tcPr>
          <w:p>
            <w:pPr/>
            <w:r>
              <w:t xml:space="preserve">FAIL (retired)</w:t>
            </w:r>
          </w:p>
        </w:tc>
      </w:tr>
      <w:tr>
        <w:tc>
          <w:tcPr>
            <w:tcW w:w="3888" w:type="dxa"/>
          </w:tcPr>
          <w:p>
            <w:pPr/>
            <w:r>
              <w:t xml:space="preserve">Steps to converge, warm against cold</w:t>
            </w:r>
          </w:p>
        </w:tc>
        <w:tc>
          <w:tcPr>
            <w:tcW w:w="2423" w:type="dxa"/>
          </w:tcPr>
          <w:p>
            <w:pPr/>
            <w:r>
              <w:t xml:space="preserve">429,804 against 735,972</w:t>
            </w:r>
          </w:p>
        </w:tc>
        <w:tc>
          <w:tcPr>
            <w:tcW w:w="1351" w:type="dxa"/>
          </w:tcPr>
          <w:p>
            <w:pPr/>
            <w:r>
              <w:t xml:space="preserve">warm &lt; cold</w:t>
            </w:r>
          </w:p>
        </w:tc>
        <w:tc>
          <w:tcPr>
            <w:tcW w:w="1698" w:type="dxa"/>
          </w:tcPr>
          <w:p>
            <w:pPr/>
            <w:r>
              <w:t xml:space="preserve">PASS</w:t>
            </w:r>
          </w:p>
        </w:tc>
      </w:tr>
    </w:tbl>
    <w:p>
      <w:pPr/>
      <w:r>
        <w:t xml:space="preserve">The two start-up failures share one cause: the inflow drifts slowly (about 40k steps) and its steady state depends on the start. The gap between two starts is 0.47 % at 60k cells and 4.3 % at 400k cells (0.1 to 0.2 % with an equilibrium inflow). Nothing shipped calls the older loop. The device tests are mass and energy balances, not comparisons with measured devices.</w:t>
      </w:r>
    </w:p>
    <w:p>
      <w:pPr>
        <w:pStyle w:val="Heading3"/>
      </w:pPr>
      <w:r>
        <w:t xml:space="preserve">Room-ACH checks on the sample house</w:t>
      </w:r>
    </w:p>
    <w:tbl>
      <w:tblPr>
        <w:tblStyle w:val="TableGrid"/>
        <w:tblW w:w="0" w:type="auto"/>
        <w:tblLayout w:type="fixed"/>
        <w:tblLook w:val="04A0" w:firstRow="1" w:lastRow="0" w:firstColumn="0" w:lastColumn="0" w:noHBand="0" w:noVBand="1"/>
      </w:tblPr>
      <w:tblGrid>
        <w:gridCol w:w="2732"/>
        <w:gridCol w:w="2480"/>
        <w:gridCol w:w="2054"/>
        <w:gridCol w:w="2094"/>
      </w:tblGrid>
      <w:tr>
        <w:trPr>
          <w:tblHeader/>
        </w:trPr>
        <w:tc>
          <w:tcPr>
            <w:tcW w:w="2732" w:type="dxa"/>
            <w:shd w:val="clear" w:color="auto" w:fill="F3F0EA"/>
          </w:tcPr>
          <w:p>
            <w:pPr/>
            <w:r>
              <w:t xml:space="preserve">Check</w:t>
            </w:r>
          </w:p>
        </w:tc>
        <w:tc>
          <w:tcPr>
            <w:tcW w:w="2480" w:type="dxa"/>
            <w:shd w:val="clear" w:color="auto" w:fill="F3F0EA"/>
          </w:tcPr>
          <w:p>
            <w:pPr/>
            <w:r>
              <w:t xml:space="preserve">Result</w:t>
            </w:r>
          </w:p>
        </w:tc>
        <w:tc>
          <w:tcPr>
            <w:tcW w:w="2054" w:type="dxa"/>
            <w:shd w:val="clear" w:color="auto" w:fill="F3F0EA"/>
          </w:tcPr>
          <w:p>
            <w:pPr/>
            <w:r>
              <w:t xml:space="preserve">Band</w:t>
            </w:r>
          </w:p>
        </w:tc>
        <w:tc>
          <w:tcPr>
            <w:tcW w:w="2094" w:type="dxa"/>
            <w:shd w:val="clear" w:color="auto" w:fill="F3F0EA"/>
          </w:tcPr>
          <w:p>
            <w:pPr/>
            <w:r>
              <w:t xml:space="preserve">Status</w:t>
            </w:r>
          </w:p>
        </w:tc>
      </w:tr>
      <w:tr>
        <w:tc>
          <w:tcPr>
            <w:tcW w:w="2732" w:type="dxa"/>
          </w:tcPr>
          <w:p>
            <w:pPr/>
            <w:r>
              <w:t xml:space="preserve">Command line against app (Standard, 10 min, 5.09 M cells)</w:t>
            </w:r>
          </w:p>
        </w:tc>
        <w:tc>
          <w:tcPr>
            <w:tcW w:w="2480" w:type="dxa"/>
          </w:tcPr>
          <w:p>
            <w:pPr/>
            <w:r>
              <w:t xml:space="preserve">largest per-room fresh-air gap 6.7 % (Bedroom 2: 12.8 against 12.0)</w:t>
            </w:r>
          </w:p>
        </w:tc>
        <w:tc>
          <w:tcPr>
            <w:tcW w:w="2054" w:type="dxa"/>
          </w:tcPr>
          <w:p>
            <w:pPr/>
            <w:r>
              <w:t xml:space="preserve">≤ 10 % per room</w:t>
            </w:r>
          </w:p>
        </w:tc>
        <w:tc>
          <w:tcPr>
            <w:tcW w:w="2094" w:type="dxa"/>
          </w:tcPr>
          <w:p>
            <w:pPr/>
            <w:r>
              <w:t xml:space="preserve">PASS</w:t>
            </w:r>
          </w:p>
        </w:tc>
      </w:tr>
      <w:tr>
        <w:tc>
          <w:tcPr>
            <w:tcW w:w="2732" w:type="dxa"/>
          </w:tcPr>
          <w:p>
            <w:pPr/>
            <w:r>
              <w:t xml:space="preserve">Imported mesh against hand-drawn, fresh-air</w:t>
            </w:r>
          </w:p>
        </w:tc>
        <w:tc>
          <w:tcPr>
            <w:tcW w:w="2480" w:type="dxa"/>
          </w:tcPr>
          <w:p>
            <w:pPr/>
            <w:r>
              <w:t xml:space="preserve">4 of 7 rooms within 25 % (Kitchen +72.0, Bedroom 2 −27.6, Landing +55.9 %)</w:t>
            </w:r>
          </w:p>
        </w:tc>
        <w:tc>
          <w:tcPr>
            <w:tcW w:w="2054" w:type="dxa"/>
          </w:tcPr>
          <w:p>
            <w:pPr/>
            <w:r>
              <w:t xml:space="preserve">≤ 25 % per room</w:t>
            </w:r>
          </w:p>
        </w:tc>
        <w:tc>
          <w:tcPr>
            <w:tcW w:w="2094" w:type="dxa"/>
          </w:tcPr>
          <w:p>
            <w:pPr/>
            <w:r>
              <w:t xml:space="preserve">FAIL</w:t>
            </w:r>
          </w:p>
        </w:tc>
      </w:tr>
      <w:tr>
        <w:tc>
          <w:tcPr>
            <w:tcW w:w="2732" w:type="dxa"/>
          </w:tcPr>
          <w:p>
            <w:pPr/>
            <w:r>
              <w:t xml:space="preserve">Imported mesh against hand-drawn, total exchange</w:t>
            </w:r>
          </w:p>
        </w:tc>
        <w:tc>
          <w:tcPr>
            <w:tcW w:w="2480" w:type="dxa"/>
          </w:tcPr>
          <w:p>
            <w:pPr/>
            <w:r>
              <w:t xml:space="preserve">4 of 7 (Living +45.1, Kitchen +39.4, Bedroom 1 +37.2 %)</w:t>
            </w:r>
          </w:p>
        </w:tc>
        <w:tc>
          <w:tcPr>
            <w:tcW w:w="2054" w:type="dxa"/>
          </w:tcPr>
          <w:p>
            <w:pPr/>
            <w:r>
              <w:t xml:space="preserve">≤ 25 % per room</w:t>
            </w:r>
          </w:p>
        </w:tc>
        <w:tc>
          <w:tcPr>
            <w:tcW w:w="2094" w:type="dxa"/>
          </w:tcPr>
          <w:p>
            <w:pPr/>
            <w:r>
              <w:t xml:space="preserve">FAIL</w:t>
            </w:r>
          </w:p>
        </w:tc>
      </w:tr>
      <w:tr>
        <w:tc>
          <w:tcPr>
            <w:tcW w:w="2732" w:type="dxa"/>
          </w:tcPr>
          <w:p>
            <w:pPr/>
            <w:r>
              <w:t xml:space="preserve">Rotated model, steady wind (270° against 180°), total exchange</w:t>
            </w:r>
          </w:p>
        </w:tc>
        <w:tc>
          <w:tcPr>
            <w:tcW w:w="2480" w:type="dxa"/>
          </w:tcPr>
          <w:p>
            <w:pPr/>
            <w:r>
              <w:t xml:space="preserve">6 of 6 (largest 3.1 %)</w:t>
            </w:r>
          </w:p>
        </w:tc>
        <w:tc>
          <w:tcPr>
            <w:tcW w:w="2054" w:type="dxa"/>
          </w:tcPr>
          <w:p>
            <w:pPr/>
            <w:r>
              <w:t xml:space="preserve">≤ 8 % per room</w:t>
            </w:r>
          </w:p>
        </w:tc>
        <w:tc>
          <w:tcPr>
            <w:tcW w:w="2094" w:type="dxa"/>
          </w:tcPr>
          <w:p>
            <w:pPr/>
            <w:r>
              <w:t xml:space="preserve">PASS</w:t>
            </w:r>
          </w:p>
        </w:tc>
      </w:tr>
      <w:tr>
        <w:tc>
          <w:tcPr>
            <w:tcW w:w="2732" w:type="dxa"/>
          </w:tcPr>
          <w:p>
            <w:pPr/>
            <w:r>
              <w:t xml:space="preserve">Rotated model, High (gusty), total exchange</w:t>
            </w:r>
          </w:p>
        </w:tc>
        <w:tc>
          <w:tcPr>
            <w:tcW w:w="2480" w:type="dxa"/>
          </w:tcPr>
          <w:p>
            <w:pPr/>
            <w:r>
              <w:t xml:space="preserve">4 of 6 (Hall −10.0, Bedroom 2 −16.7 %)</w:t>
            </w:r>
          </w:p>
        </w:tc>
        <w:tc>
          <w:tcPr>
            <w:tcW w:w="2054" w:type="dxa"/>
          </w:tcPr>
          <w:p>
            <w:pPr/>
            <w:r>
              <w:t xml:space="preserve">≤ 8 % per room</w:t>
            </w:r>
          </w:p>
        </w:tc>
        <w:tc>
          <w:tcPr>
            <w:tcW w:w="2094" w:type="dxa"/>
          </w:tcPr>
          <w:p>
            <w:pPr/>
            <w:r>
              <w:t xml:space="preserve">FAIL (gust noise)</w:t>
            </w:r>
          </w:p>
        </w:tc>
      </w:tr>
      <w:tr>
        <w:tc>
          <w:tcPr>
            <w:tcW w:w="2732" w:type="dxa"/>
          </w:tcPr>
          <w:p>
            <w:pPr/>
            <w:r>
              <w:t xml:space="preserve">Compact against Full, total exchange</w:t>
            </w:r>
          </w:p>
        </w:tc>
        <w:tc>
          <w:tcPr>
            <w:tcW w:w="2480" w:type="dxa"/>
          </w:tcPr>
          <w:p>
            <w:pPr/>
            <w:r>
              <w:t xml:space="preserve">+11.0 to +13.9 % on 6 of 6</w:t>
            </w:r>
          </w:p>
        </w:tc>
        <w:tc>
          <w:tcPr>
            <w:tcW w:w="2054" w:type="dxa"/>
          </w:tcPr>
          <w:p>
            <w:pPr/>
            <w:r>
              <w:t xml:space="preserve">+7 to +16 %</w:t>
            </w:r>
          </w:p>
        </w:tc>
        <w:tc>
          <w:tcPr>
            <w:tcW w:w="2094" w:type="dxa"/>
          </w:tcPr>
          <w:p>
            <w:pPr/>
            <w:r>
              <w:t xml:space="preserve">PASS</w:t>
            </w:r>
          </w:p>
        </w:tc>
      </w:tr>
      <w:tr>
        <w:tc>
          <w:tcPr>
            <w:tcW w:w="2732" w:type="dxa"/>
          </w:tcPr>
          <w:p>
            <w:pPr/>
            <w:r>
              <w:t xml:space="preserve">Grid dependence, cell size ±2 %</w:t>
            </w:r>
          </w:p>
        </w:tc>
        <w:tc>
          <w:tcPr>
            <w:tcW w:w="2480" w:type="dxa"/>
          </w:tcPr>
          <w:p>
            <w:pPr/>
            <w:r>
              <w:t xml:space="preserve">chapter 11</w:t>
            </w:r>
          </w:p>
        </w:tc>
        <w:tc>
          <w:tcPr>
            <w:tcW w:w="2054" w:type="dxa"/>
          </w:tcPr>
          <w:p>
            <w:pPr/>
            <w:r>
              <w:t xml:space="preserve">design bounds</w:t>
            </w:r>
          </w:p>
        </w:tc>
        <w:tc>
          <w:tcPr>
            <w:tcW w:w="2094" w:type="dxa"/>
          </w:tcPr>
          <w:p>
            <w:pPr/>
            <w:r>
              <w:t xml:space="preserve">FAIL</w:t>
            </w:r>
          </w:p>
        </w:tc>
      </w:tr>
    </w:tbl>
    <w:p>
      <w:pPr>
        <w:pStyle w:val="Heading2"/>
      </w:pPr>
      <w:r>
        <w:t xml:space="preserve">11. Grid dependence</w:t>
      </w:r>
    </w:p>
    <w:p>
      <w:pPr/>
      <w:r>
        <w:t xml:space="preserve">Room ACH is not grid-converged. Across 2.4, 5.2 and 11.4 M cells only two of six rooms hold their fresh-air rate within 5 %, and a 0.6 % change in cell size can move a room by 20 % or more. Compare design options on one grid, and expect up to about 35 % for a single room and about 20 % for the building between grids.</w:t>
      </w:r>
    </w:p>
    <w:p>
      <w:pPr>
        <w:pStyle w:val="Heading3"/>
      </w:pPr>
      <w:r>
        <w:t xml:space="preserve">Grid series (October 2026)</w:t>
      </w:r>
    </w:p>
    <w:p>
      <w:pPr/>
      <w:r>
        <w:t xml:space="preserve">Standard run, steady wind, sample house, three cell budgets: 2.38 M cells at 220 mm, 5.19 M at 169 mm and 11.41 M at 130 mm (refinement ratio about 1.30). The first two converged; the finest hit its cap with 5 rooms not settled.</w:t>
      </w:r>
    </w:p>
    <w:p>
      <w:pPr/>
      <w:r>
        <w:t xml:space="preserve">↗ Figure 11 · WindFlow test records, grid series, October 2026</w:t>
      </w:r>
    </w:p>
    <w:p>
      <w:pPr/>
      <w:r>
        <w:t xml:space="preserve">Only Hall and Bedroom 1 stay inside ±5 % at both grids. The table below adds total exchange, which converges for none of the six rooms.</w:t>
      </w:r>
    </w:p>
    <w:tbl>
      <w:tblPr>
        <w:tblStyle w:val="TableGrid"/>
        <w:tblW w:w="0" w:type="auto"/>
        <w:tblLayout w:type="fixed"/>
        <w:tblLook w:val="04A0" w:firstRow="1" w:lastRow="0" w:firstColumn="0" w:lastColumn="0" w:noHBand="0" w:noVBand="1"/>
      </w:tblPr>
      <w:tblGrid>
        <w:gridCol w:w="1351"/>
        <w:gridCol w:w="2580"/>
        <w:gridCol w:w="1398"/>
        <w:gridCol w:w="2686"/>
        <w:gridCol w:w="1345"/>
      </w:tblGrid>
      <w:tr>
        <w:trPr>
          <w:tblHeader/>
        </w:trPr>
        <w:tc>
          <w:tcPr>
            <w:tcW w:w="1351" w:type="dxa"/>
            <w:shd w:val="clear" w:color="auto" w:fill="F3F0EA"/>
          </w:tcPr>
          <w:p>
            <w:pPr/>
            <w:r>
              <w:t xml:space="preserve">Room</w:t>
            </w:r>
          </w:p>
        </w:tc>
        <w:tc>
          <w:tcPr>
            <w:tcW w:w="2580" w:type="dxa"/>
            <w:shd w:val="clear" w:color="auto" w:fill="F3F0EA"/>
          </w:tcPr>
          <w:p>
            <w:pPr/>
            <w:r>
              <w:t xml:space="preserve">Fresh-air ACH, 220 / 169 / 130 mm</w:t>
            </w:r>
          </w:p>
        </w:tc>
        <w:tc>
          <w:tcPr>
            <w:tcW w:w="1398" w:type="dxa"/>
            <w:shd w:val="clear" w:color="auto" w:fill="F3F0EA"/>
          </w:tcPr>
          <w:p>
            <w:pPr/>
            <w:r>
              <w:t xml:space="preserve">Behaviour</w:t>
            </w:r>
          </w:p>
        </w:tc>
        <w:tc>
          <w:tcPr>
            <w:tcW w:w="2686" w:type="dxa"/>
            <w:shd w:val="clear" w:color="auto" w:fill="F3F0EA"/>
          </w:tcPr>
          <w:p>
            <w:pPr/>
            <w:r>
              <w:t xml:space="preserve">Total exchange, 220 / 169 / 130 mm</w:t>
            </w:r>
          </w:p>
        </w:tc>
        <w:tc>
          <w:tcPr>
            <w:tcW w:w="1345" w:type="dxa"/>
            <w:shd w:val="clear" w:color="auto" w:fill="F3F0EA"/>
          </w:tcPr>
          <w:p>
            <w:pPr/>
            <w:r>
              <w:t xml:space="preserve">Behaviour</w:t>
            </w:r>
          </w:p>
        </w:tc>
      </w:tr>
      <w:tr>
        <w:tc>
          <w:tcPr>
            <w:tcW w:w="1351" w:type="dxa"/>
          </w:tcPr>
          <w:p>
            <w:pPr/>
            <w:r>
              <w:t xml:space="preserve">Living</w:t>
            </w:r>
          </w:p>
        </w:tc>
        <w:tc>
          <w:tcPr>
            <w:tcW w:w="2580" w:type="dxa"/>
          </w:tcPr>
          <w:p>
            <w:pPr/>
            <w:r>
              <w:t xml:space="preserve">9.8 / 10.8 / 16.1</w:t>
            </w:r>
          </w:p>
        </w:tc>
        <w:tc>
          <w:tcPr>
            <w:tcW w:w="1398" w:type="dxa"/>
          </w:tcPr>
          <w:p>
            <w:pPr/>
            <w:r>
              <w:t xml:space="preserve">divergent</w:t>
            </w:r>
          </w:p>
        </w:tc>
        <w:tc>
          <w:tcPr>
            <w:tcW w:w="2686" w:type="dxa"/>
          </w:tcPr>
          <w:p>
            <w:pPr/>
            <w:r>
              <w:t xml:space="preserve">22.6 / 24.8 / 32.1</w:t>
            </w:r>
          </w:p>
        </w:tc>
        <w:tc>
          <w:tcPr>
            <w:tcW w:w="1345" w:type="dxa"/>
          </w:tcPr>
          <w:p>
            <w:pPr/>
            <w:r>
              <w:t xml:space="preserve">divergent</w:t>
            </w:r>
          </w:p>
        </w:tc>
      </w:tr>
      <w:tr>
        <w:tc>
          <w:tcPr>
            <w:tcW w:w="1351" w:type="dxa"/>
          </w:tcPr>
          <w:p>
            <w:pPr/>
            <w:r>
              <w:t xml:space="preserve">Kitchen</w:t>
            </w:r>
          </w:p>
        </w:tc>
        <w:tc>
          <w:tcPr>
            <w:tcW w:w="2580" w:type="dxa"/>
          </w:tcPr>
          <w:p>
            <w:pPr/>
            <w:r>
              <w:t xml:space="preserve">21.8 / 26.9 / 39.0</w:t>
            </w:r>
          </w:p>
        </w:tc>
        <w:tc>
          <w:tcPr>
            <w:tcW w:w="1398" w:type="dxa"/>
          </w:tcPr>
          <w:p>
            <w:pPr/>
            <w:r>
              <w:t xml:space="preserve">divergent</w:t>
            </w:r>
          </w:p>
        </w:tc>
        <w:tc>
          <w:tcPr>
            <w:tcW w:w="2686" w:type="dxa"/>
          </w:tcPr>
          <w:p>
            <w:pPr/>
            <w:r>
              <w:t xml:space="preserve">57.6 / 62.9 / 84.0</w:t>
            </w:r>
          </w:p>
        </w:tc>
        <w:tc>
          <w:tcPr>
            <w:tcW w:w="1345" w:type="dxa"/>
          </w:tcPr>
          <w:p>
            <w:pPr/>
            <w:r>
              <w:t xml:space="preserve">divergent</w:t>
            </w:r>
          </w:p>
        </w:tc>
      </w:tr>
      <w:tr>
        <w:tc>
          <w:tcPr>
            <w:tcW w:w="1351" w:type="dxa"/>
          </w:tcPr>
          <w:p>
            <w:pPr/>
            <w:r>
              <w:t xml:space="preserve">Hall</w:t>
            </w:r>
          </w:p>
        </w:tc>
        <w:tc>
          <w:tcPr>
            <w:tcW w:w="2580" w:type="dxa"/>
          </w:tcPr>
          <w:p>
            <w:pPr/>
            <w:r>
              <w:t xml:space="preserve">48.3 / 48.2 / 50.4</w:t>
            </w:r>
          </w:p>
        </w:tc>
        <w:tc>
          <w:tcPr>
            <w:tcW w:w="1398" w:type="dxa"/>
          </w:tcPr>
          <w:p>
            <w:pPr/>
            <w:r>
              <w:t xml:space="preserve">within 5 %</w:t>
            </w:r>
          </w:p>
        </w:tc>
        <w:tc>
          <w:tcPr>
            <w:tcW w:w="2686" w:type="dxa"/>
          </w:tcPr>
          <w:p>
            <w:pPr/>
            <w:r>
              <w:t xml:space="preserve">85.2 / 97.9 / 125.4</w:t>
            </w:r>
          </w:p>
        </w:tc>
        <w:tc>
          <w:tcPr>
            <w:tcW w:w="1345" w:type="dxa"/>
          </w:tcPr>
          <w:p>
            <w:pPr/>
            <w:r>
              <w:t xml:space="preserve">divergent</w:t>
            </w:r>
          </w:p>
        </w:tc>
      </w:tr>
      <w:tr>
        <w:tc>
          <w:tcPr>
            <w:tcW w:w="1351" w:type="dxa"/>
          </w:tcPr>
          <w:p>
            <w:pPr/>
            <w:r>
              <w:t xml:space="preserve">Bedroom 1</w:t>
            </w:r>
          </w:p>
        </w:tc>
        <w:tc>
          <w:tcPr>
            <w:tcW w:w="2580" w:type="dxa"/>
          </w:tcPr>
          <w:p>
            <w:pPr/>
            <w:r>
              <w:t xml:space="preserve">112.4 / 110.4 / 111.6</w:t>
            </w:r>
          </w:p>
        </w:tc>
        <w:tc>
          <w:tcPr>
            <w:tcW w:w="1398" w:type="dxa"/>
          </w:tcPr>
          <w:p>
            <w:pPr/>
            <w:r>
              <w:t xml:space="preserve">within 2 %</w:t>
            </w:r>
          </w:p>
        </w:tc>
        <w:tc>
          <w:tcPr>
            <w:tcW w:w="2686" w:type="dxa"/>
          </w:tcPr>
          <w:p>
            <w:pPr/>
            <w:r>
              <w:t xml:space="preserve">115.4 / 168.0 / 139.0</w:t>
            </w:r>
          </w:p>
        </w:tc>
        <w:tc>
          <w:tcPr>
            <w:tcW w:w="1345" w:type="dxa"/>
          </w:tcPr>
          <w:p>
            <w:pPr/>
            <w:r>
              <w:t xml:space="preserve">oscillatory</w:t>
            </w:r>
          </w:p>
        </w:tc>
      </w:tr>
      <w:tr>
        <w:tc>
          <w:tcPr>
            <w:tcW w:w="1351" w:type="dxa"/>
          </w:tcPr>
          <w:p>
            <w:pPr/>
            <w:r>
              <w:t xml:space="preserve">Bedroom 2</w:t>
            </w:r>
          </w:p>
        </w:tc>
        <w:tc>
          <w:tcPr>
            <w:tcW w:w="2580" w:type="dxa"/>
          </w:tcPr>
          <w:p>
            <w:pPr/>
            <w:r>
              <w:t xml:space="preserve">11.3 / 11.4 / 9.1</w:t>
            </w:r>
          </w:p>
        </w:tc>
        <w:tc>
          <w:tcPr>
            <w:tcW w:w="1398" w:type="dxa"/>
          </w:tcPr>
          <w:p>
            <w:pPr/>
            <w:r>
              <w:t xml:space="preserve">oscillatory</w:t>
            </w:r>
          </w:p>
        </w:tc>
        <w:tc>
          <w:tcPr>
            <w:tcW w:w="2686" w:type="dxa"/>
          </w:tcPr>
          <w:p>
            <w:pPr/>
            <w:r>
              <w:t xml:space="preserve">32.2 / 33.6 / 23.1</w:t>
            </w:r>
          </w:p>
        </w:tc>
        <w:tc>
          <w:tcPr>
            <w:tcW w:w="1345" w:type="dxa"/>
          </w:tcPr>
          <w:p>
            <w:pPr/>
            <w:r>
              <w:t xml:space="preserve">oscillatory</w:t>
            </w:r>
          </w:p>
        </w:tc>
      </w:tr>
      <w:tr>
        <w:tc>
          <w:tcPr>
            <w:tcW w:w="1351" w:type="dxa"/>
          </w:tcPr>
          <w:p>
            <w:pPr/>
            <w:r>
              <w:t xml:space="preserve">Landing</w:t>
            </w:r>
          </w:p>
        </w:tc>
        <w:tc>
          <w:tcPr>
            <w:tcW w:w="2580" w:type="dxa"/>
          </w:tcPr>
          <w:p>
            <w:pPr/>
            <w:r>
              <w:t xml:space="preserve">51.6 / 57.1 / 32.6</w:t>
            </w:r>
          </w:p>
        </w:tc>
        <w:tc>
          <w:tcPr>
            <w:tcW w:w="1398" w:type="dxa"/>
          </w:tcPr>
          <w:p>
            <w:pPr/>
            <w:r>
              <w:t xml:space="preserve">oscillatory</w:t>
            </w:r>
          </w:p>
        </w:tc>
        <w:tc>
          <w:tcPr>
            <w:tcW w:w="2686" w:type="dxa"/>
          </w:tcPr>
          <w:p>
            <w:pPr/>
            <w:r>
              <w:t xml:space="preserve">111.5 / 134.6 / 89.3</w:t>
            </w:r>
          </w:p>
        </w:tc>
        <w:tc>
          <w:tcPr>
            <w:tcW w:w="1345" w:type="dxa"/>
          </w:tcPr>
          <w:p>
            <w:pPr/>
            <w:r>
              <w:t xml:space="preserve">oscillatory</w:t>
            </w:r>
          </w:p>
        </w:tc>
      </w:tr>
    </w:tbl>
    <w:p>
      <w:pPr/>
      <w:r>
        <w:t xml:space="preserve">A grid-convergence index needs a monotone series; for a divergent or oscillatory one it cannot be computed. In the usual three-grid test (standard form), with φ the result on fine (1), medium (2) and coarse (3) grids:</w:t>
      </w:r>
    </w:p>
    <w:p>
      <w:pPr>
        <w:jc w:val="center"/>
      </w:pPr>
      <m:oMathPara>
        <m:oMath>
          <m:r>
            <m:t>R=</m:t>
          </m:r>
          <m:f>
            <m:fPr>
              <m:type m:val="bar"/>
            </m:fPr>
            <m:num>
              <m:sSub>
                <m:e>
                  <m:r>
                    <m:t>φ</m:t>
                  </m:r>
                </m:e>
                <m:sub>
                  <m:r>
                    <m:t>2</m:t>
                  </m:r>
                </m:sub>
              </m:sSub>
              <m:r>
                <m:t>−</m:t>
              </m:r>
              <m:sSub>
                <m:e>
                  <m:r>
                    <m:t>φ</m:t>
                  </m:r>
                </m:e>
                <m:sub>
                  <m:r>
                    <m:t>1</m:t>
                  </m:r>
                </m:sub>
              </m:sSub>
            </m:num>
            <m:den>
              <m:sSub>
                <m:e>
                  <m:r>
                    <m:t>φ</m:t>
                  </m:r>
                </m:e>
                <m:sub>
                  <m:r>
                    <m:t>3</m:t>
                  </m:r>
                </m:sub>
              </m:sSub>
              <m:r>
                <m:t>−</m:t>
              </m:r>
              <m:sSub>
                <m:e>
                  <m:r>
                    <m:t>φ</m:t>
                  </m:r>
                </m:e>
                <m:sub>
                  <m:r>
                    <m:t>2</m:t>
                  </m:r>
                </m:sub>
              </m:sSub>
            </m:den>
          </m:f>
          <m:r>
            <m:t>:</m:t>
          </m:r>
          <m:r>
            <m:rPr>
              <m:sty m:val="p"/>
            </m:rPr>
            <m:t xml:space="preserve"> </m:t>
          </m:r>
          <m:r>
            <m:t>0&lt;R&lt;1</m:t>
          </m:r>
          <m:r>
            <m:rPr>
              <m:nor/>
            </m:rPr>
            <m:t xml:space="preserve"> monotone convergence</m:t>
          </m:r>
          <m:r>
            <m:t>,</m:t>
          </m:r>
          <m:r>
            <m:rPr>
              <m:sty m:val="p"/>
            </m:rPr>
            <m:t xml:space="preserve"> </m:t>
          </m:r>
          <m:r>
            <m:t>R&lt;0</m:t>
          </m:r>
          <m:r>
            <m:rPr>
              <m:nor/>
            </m:rPr>
            <m:t xml:space="preserve"> oscillatory</m:t>
          </m:r>
          <m:r>
            <m:t>,</m:t>
          </m:r>
          <m:r>
            <m:rPr>
              <m:sty m:val="p"/>
            </m:rPr>
            <m:t xml:space="preserve"> </m:t>
          </m:r>
          <m:r>
            <m:t>R&gt;1</m:t>
          </m:r>
          <m:r>
            <m:rPr>
              <m:nor/>
            </m:rPr>
            <m:t xml:space="preserve"> divergence </m:t>
          </m:r>
        </m:oMath>
      </m:oMathPara>
    </w:p>
    <w:p>
      <w:pPr>
        <w:pStyle w:val="Heading3"/>
      </w:pPr>
      <w:r>
        <w:t xml:space="preserve">Cell-size jitter</w:t>
      </w:r>
    </w:p>
    <w:p>
      <w:pPr/>
      <w:r>
        <w:t xml:space="preserve">The same house and wind at 170.4 mm and at 169 mm (a 0.6 % change in cell size):</w:t>
      </w:r>
    </w:p>
    <w:tbl>
      <w:tblPr>
        <w:tblStyle w:val="TableGrid"/>
        <w:tblW w:w="0" w:type="auto"/>
        <w:tblLayout w:type="fixed"/>
        <w:tblLook w:val="04A0" w:firstRow="1" w:lastRow="0" w:firstColumn="0" w:lastColumn="0" w:noHBand="0" w:noVBand="1"/>
      </w:tblPr>
      <w:tblGrid>
        <w:gridCol w:w="1940"/>
        <w:gridCol w:w="2612"/>
        <w:gridCol w:w="1836"/>
        <w:gridCol w:w="1552"/>
        <w:gridCol w:w="1418"/>
      </w:tblGrid>
      <w:tr>
        <w:trPr>
          <w:tblHeader/>
        </w:trPr>
        <w:tc>
          <w:tcPr>
            <w:tcW w:w="1940" w:type="dxa"/>
            <w:shd w:val="clear" w:color="auto" w:fill="F3F0EA"/>
          </w:tcPr>
          <w:p>
            <w:pPr/>
            <w:r>
              <w:t xml:space="preserve">Room</w:t>
            </w:r>
          </w:p>
        </w:tc>
        <w:tc>
          <w:tcPr>
            <w:tcW w:w="2612" w:type="dxa"/>
            <w:shd w:val="clear" w:color="auto" w:fill="F3F0EA"/>
          </w:tcPr>
          <w:p>
            <w:pPr/>
            <w:r>
              <w:t xml:space="preserve">Metric</w:t>
            </w:r>
          </w:p>
        </w:tc>
        <w:tc>
          <w:tcPr>
            <w:tcW w:w="1836" w:type="dxa"/>
            <w:shd w:val="clear" w:color="auto" w:fill="F3F0EA"/>
          </w:tcPr>
          <w:p>
            <w:pPr/>
            <w:r>
              <w:t xml:space="preserve">170.4 mm</w:t>
            </w:r>
          </w:p>
        </w:tc>
        <w:tc>
          <w:tcPr>
            <w:tcW w:w="1552" w:type="dxa"/>
            <w:shd w:val="clear" w:color="auto" w:fill="F3F0EA"/>
          </w:tcPr>
          <w:p>
            <w:pPr/>
            <w:r>
              <w:t xml:space="preserve">169 mm</w:t>
            </w:r>
          </w:p>
        </w:tc>
        <w:tc>
          <w:tcPr>
            <w:tcW w:w="1418" w:type="dxa"/>
            <w:shd w:val="clear" w:color="auto" w:fill="F3F0EA"/>
          </w:tcPr>
          <w:p>
            <w:pPr/>
            <w:r>
              <w:t xml:space="preserve">Change</w:t>
            </w:r>
          </w:p>
        </w:tc>
      </w:tr>
      <w:tr>
        <w:tc>
          <w:tcPr>
            <w:tcW w:w="1940" w:type="dxa"/>
          </w:tcPr>
          <w:p>
            <w:pPr/>
            <w:r>
              <w:t xml:space="preserve">Living</w:t>
            </w:r>
          </w:p>
        </w:tc>
        <w:tc>
          <w:tcPr>
            <w:tcW w:w="2612" w:type="dxa"/>
          </w:tcPr>
          <w:p>
            <w:pPr/>
            <w:r>
              <w:t xml:space="preserve">Fresh-air ACH</w:t>
            </w:r>
          </w:p>
        </w:tc>
        <w:tc>
          <w:tcPr>
            <w:tcW w:w="1836" w:type="dxa"/>
          </w:tcPr>
          <w:p>
            <w:pPr/>
            <w:r>
              <w:t xml:space="preserve">12.3</w:t>
            </w:r>
          </w:p>
        </w:tc>
        <w:tc>
          <w:tcPr>
            <w:tcW w:w="1552" w:type="dxa"/>
          </w:tcPr>
          <w:p>
            <w:pPr/>
            <w:r>
              <w:t xml:space="preserve">10.8</w:t>
            </w:r>
          </w:p>
        </w:tc>
        <w:tc>
          <w:tcPr>
            <w:tcW w:w="1418" w:type="dxa"/>
          </w:tcPr>
          <w:p>
            <w:pPr/>
            <w:r>
              <w:t xml:space="preserve">−12 %</w:t>
            </w:r>
          </w:p>
        </w:tc>
      </w:tr>
      <w:tr>
        <w:tc>
          <w:tcPr>
            <w:tcW w:w="1940" w:type="dxa"/>
          </w:tcPr>
          <w:p>
            <w:pPr/>
            <w:r>
              <w:t xml:space="preserve">Kitchen</w:t>
            </w:r>
          </w:p>
        </w:tc>
        <w:tc>
          <w:tcPr>
            <w:tcW w:w="2612" w:type="dxa"/>
          </w:tcPr>
          <w:p>
            <w:pPr/>
            <w:r>
              <w:t xml:space="preserve">Fresh-air ACH</w:t>
            </w:r>
          </w:p>
        </w:tc>
        <w:tc>
          <w:tcPr>
            <w:tcW w:w="1836" w:type="dxa"/>
          </w:tcPr>
          <w:p>
            <w:pPr/>
            <w:r>
              <w:t xml:space="preserve">33.5</w:t>
            </w:r>
          </w:p>
        </w:tc>
        <w:tc>
          <w:tcPr>
            <w:tcW w:w="1552" w:type="dxa"/>
          </w:tcPr>
          <w:p>
            <w:pPr/>
            <w:r>
              <w:t xml:space="preserve">26.9</w:t>
            </w:r>
          </w:p>
        </w:tc>
        <w:tc>
          <w:tcPr>
            <w:tcW w:w="1418" w:type="dxa"/>
          </w:tcPr>
          <w:p>
            <w:pPr/>
            <w:r>
              <w:t xml:space="preserve">−20 %</w:t>
            </w:r>
          </w:p>
        </w:tc>
      </w:tr>
      <w:tr>
        <w:tc>
          <w:tcPr>
            <w:tcW w:w="1940" w:type="dxa"/>
          </w:tcPr>
          <w:p>
            <w:pPr/>
            <w:r>
              <w:t xml:space="preserve">Landing</w:t>
            </w:r>
          </w:p>
        </w:tc>
        <w:tc>
          <w:tcPr>
            <w:tcW w:w="2612" w:type="dxa"/>
          </w:tcPr>
          <w:p>
            <w:pPr/>
            <w:r>
              <w:t xml:space="preserve">Fresh-air ACH</w:t>
            </w:r>
          </w:p>
        </w:tc>
        <w:tc>
          <w:tcPr>
            <w:tcW w:w="1836" w:type="dxa"/>
          </w:tcPr>
          <w:p>
            <w:pPr/>
            <w:r>
              <w:t xml:space="preserve">46.0</w:t>
            </w:r>
          </w:p>
        </w:tc>
        <w:tc>
          <w:tcPr>
            <w:tcW w:w="1552" w:type="dxa"/>
          </w:tcPr>
          <w:p>
            <w:pPr/>
            <w:r>
              <w:t xml:space="preserve">57.1</w:t>
            </w:r>
          </w:p>
        </w:tc>
        <w:tc>
          <w:tcPr>
            <w:tcW w:w="1418" w:type="dxa"/>
          </w:tcPr>
          <w:p>
            <w:pPr/>
            <w:r>
              <w:t xml:space="preserve">+24 %</w:t>
            </w:r>
          </w:p>
        </w:tc>
      </w:tr>
      <w:tr>
        <w:tc>
          <w:tcPr>
            <w:tcW w:w="1940" w:type="dxa"/>
          </w:tcPr>
          <w:p>
            <w:pPr/>
            <w:r>
              <w:t xml:space="preserve">Bedroom 1</w:t>
            </w:r>
          </w:p>
        </w:tc>
        <w:tc>
          <w:tcPr>
            <w:tcW w:w="2612" w:type="dxa"/>
          </w:tcPr>
          <w:p>
            <w:pPr/>
            <w:r>
              <w:t xml:space="preserve">Total exchange</w:t>
            </w:r>
          </w:p>
        </w:tc>
        <w:tc>
          <w:tcPr>
            <w:tcW w:w="1836" w:type="dxa"/>
          </w:tcPr>
          <w:p>
            <w:pPr/>
            <w:r>
              <w:t xml:space="preserve">123.3</w:t>
            </w:r>
          </w:p>
        </w:tc>
        <w:tc>
          <w:tcPr>
            <w:tcW w:w="1552" w:type="dxa"/>
          </w:tcPr>
          <w:p>
            <w:pPr/>
            <w:r>
              <w:t xml:space="preserve">168.0</w:t>
            </w:r>
          </w:p>
        </w:tc>
        <w:tc>
          <w:tcPr>
            <w:tcW w:w="1418" w:type="dxa"/>
          </w:tcPr>
          <w:p>
            <w:pPr/>
            <w:r>
              <w:t xml:space="preserve">+36 %</w:t>
            </w:r>
          </w:p>
        </w:tc>
      </w:tr>
    </w:tbl>
    <w:p>
      <w:pPr/>
      <w:r>
        <w:t xml:space="preserve">Both runs had tight ranges, so this is not noise. Openings are only a few cells wide, so where the grid falls across a window changes its flow (chapter 4, placement scatter).</w:t>
      </w:r>
    </w:p>
    <w:p>
      <w:pPr>
        <w:pStyle w:val="Heading3"/>
      </w:pPr>
      <w:r>
        <w:t xml:space="preserve">Re-check after the age-of-air fix</w:t>
      </w:r>
    </w:p>
    <w:p>
      <w:pPr/>
      <w:r>
        <w:t xml:space="preserve">Nine runs on the same build, sample house, wind 4 m/s from 270°, about 5 M cells, all ending Converged.</w:t>
      </w:r>
    </w:p>
    <w:p>
      <w:pPr/>
      <w:r>
        <w:t xml:space="preserve">↗ Figure 12 · WindFlow test records, re-check after the age-of-air fix, October 2026</w:t>
      </w:r>
    </w:p>
    <w:p>
      <w:pPr/>
      <w:r>
        <w:t xml:space="preserve">Shifting the grid origin or rotating the model on the same cell size keeps the building rate in bound; changing the cell size does not. Red points fall outside the bound.</w:t>
      </w:r>
    </w:p>
    <w:tbl>
      <w:tblPr>
        <w:tblStyle w:val="TableGrid"/>
        <w:tblW w:w="0" w:type="auto"/>
        <w:tblLayout w:type="fixed"/>
        <w:tblLook w:val="04A0" w:firstRow="1" w:lastRow="0" w:firstColumn="0" w:lastColumn="0" w:noHBand="0" w:noVBand="1"/>
      </w:tblPr>
      <w:tblGrid>
        <w:gridCol w:w="3636"/>
        <w:gridCol w:w="5723"/>
      </w:tblGrid>
      <w:tr>
        <w:trPr>
          <w:tblHeader/>
        </w:trPr>
        <w:tc>
          <w:tcPr>
            <w:tcW w:w="3636" w:type="dxa"/>
            <w:shd w:val="clear" w:color="auto" w:fill="F3F0EA"/>
          </w:tcPr>
          <w:p>
            <w:pPr/>
            <w:r>
              <w:t xml:space="preserve">Test</w:t>
            </w:r>
          </w:p>
        </w:tc>
        <w:tc>
          <w:tcPr>
            <w:tcW w:w="5723" w:type="dxa"/>
            <w:shd w:val="clear" w:color="auto" w:fill="F3F0EA"/>
          </w:tcPr>
          <w:p>
            <w:pPr/>
            <w:r>
              <w:t xml:space="preserve">Result against the design bound</w:t>
            </w:r>
          </w:p>
        </w:tc>
      </w:tr>
      <w:tr>
        <w:tc>
          <w:tcPr>
            <w:tcW w:w="3636" w:type="dxa"/>
          </w:tcPr>
          <w:p>
            <w:pPr/>
            <w:r>
              <w:t xml:space="preserve">Same grid run twice</w:t>
            </w:r>
          </w:p>
        </w:tc>
        <w:tc>
          <w:tcPr>
            <w:tcW w:w="5723" w:type="dxa"/>
          </w:tcPr>
          <w:p>
            <w:pPr/>
            <w:r>
              <w:t xml:space="preserve">0.0 % on every metric: the spread is not run-to-run noise</w:t>
            </w:r>
          </w:p>
        </w:tc>
      </w:tr>
      <w:tr>
        <w:tc>
          <w:tcPr>
            <w:tcW w:w="3636" w:type="dxa"/>
          </w:tcPr>
          <w:p>
            <w:pPr/>
            <w:r>
              <w:t xml:space="preserve">Cell size ±2 %</w:t>
            </w:r>
          </w:p>
        </w:tc>
        <w:tc>
          <w:tcPr>
            <w:tcW w:w="5723" w:type="dxa"/>
          </w:tcPr>
          <w:p>
            <w:pPr/>
            <w:r>
              <w:t xml:space="preserve">Outside on 10 of 13 metrics; building fresh-air 18.8 % (bound 6 %); single rooms up to 33.9 % (Kitchen fresh-air)</w:t>
            </w:r>
          </w:p>
        </w:tc>
      </w:tr>
      <w:tr>
        <w:tc>
          <w:tcPr>
            <w:tcW w:w="3636" w:type="dxa"/>
          </w:tcPr>
          <w:p>
            <w:pPr/>
            <w:r>
              <w:t xml:space="preserve">Grid origin shifted 0.25 cell</w:t>
            </w:r>
          </w:p>
        </w:tc>
        <w:tc>
          <w:tcPr>
            <w:tcW w:w="5723" w:type="dxa"/>
          </w:tcPr>
          <w:p>
            <w:pPr/>
            <w:r>
              <w:t xml:space="preserve">Building fresh-air 4.2 %, within bound; Kitchen fresh-air 13.8 %, Bedroom 1 and 2 total 11.3 % and 14.3 % outside (bound 10 %)</w:t>
            </w:r>
          </w:p>
        </w:tc>
      </w:tr>
      <w:tr>
        <w:tc>
          <w:tcPr>
            <w:tcW w:w="3636" w:type="dxa"/>
          </w:tcPr>
          <w:p>
            <w:pPr/>
            <w:r>
              <w:t xml:space="preserve">Model and wind rotated</w:t>
            </w:r>
          </w:p>
        </w:tc>
        <w:tc>
          <w:tcPr>
            <w:tcW w:w="5723" w:type="dxa"/>
          </w:tcPr>
          <w:p>
            <w:pPr/>
            <w:r>
              <w:t xml:space="preserve">Within bound on all 13 metrics (building 3.6 %)</w:t>
            </w:r>
          </w:p>
        </w:tc>
      </w:tr>
    </w:tbl>
    <w:p>
      <w:pPr/>
      <w:r>
        <w:t xml:space="preserve">Verdict: FAIL (13 failing lines). The spread is in the flow itself, not the age calculation: total exchange moves as much as fresh air, which matches how walls and envelope land on the grid (openings 5 to 6 cells across, thin partitions about 1 cell).</w:t>
      </w:r>
    </w:p>
    <w:p>
      <w:pPr>
        <w:pStyle w:val="Heading3"/>
      </w:pPr>
      <w:r>
        <w:t xml:space="preserve">Paired comparison</w:t>
      </w:r>
    </w:p>
    <w:p>
      <w:pPr/>
      <w:r>
        <w:t xml:space="preserve">WindFlow can run two design options on the same set of K sub-cell grid offsets (2 to 8, default 4) and report, per room, the B − A difference: mean %, min to max over pairs, wins k of K, and better / worse / unclear. Two criteria were fixed in advance and tested at 4 offsets with 5-minute Standard runs:</w:t>
      </w:r>
    </w:p>
    <w:tbl>
      <w:tblPr>
        <w:tblStyle w:val="TableGrid"/>
        <w:tblW w:w="0" w:type="auto"/>
        <w:tblLayout w:type="fixed"/>
        <w:tblLook w:val="04A0" w:firstRow="1" w:lastRow="0" w:firstColumn="0" w:lastColumn="0" w:noHBand="0" w:noVBand="1"/>
      </w:tblPr>
      <w:tblGrid>
        <w:gridCol w:w="3700"/>
        <w:gridCol w:w="4750"/>
        <w:gridCol w:w="909"/>
      </w:tblGrid>
      <w:tr>
        <w:trPr>
          <w:tblHeader/>
        </w:trPr>
        <w:tc>
          <w:tcPr>
            <w:tcW w:w="3700" w:type="dxa"/>
            <w:shd w:val="clear" w:color="auto" w:fill="F3F0EA"/>
          </w:tcPr>
          <w:p>
            <w:pPr/>
            <w:r>
              <w:t xml:space="preserve">Criterion</w:t>
            </w:r>
          </w:p>
        </w:tc>
        <w:tc>
          <w:tcPr>
            <w:tcW w:w="4750" w:type="dxa"/>
            <w:shd w:val="clear" w:color="auto" w:fill="F3F0EA"/>
          </w:tcPr>
          <w:p>
            <w:pPr/>
            <w:r>
              <w:t xml:space="preserve">Result</w:t>
            </w:r>
          </w:p>
        </w:tc>
        <w:tc>
          <w:tcPr>
            <w:tcW w:w="909" w:type="dxa"/>
            <w:shd w:val="clear" w:color="auto" w:fill="F3F0EA"/>
          </w:tcPr>
          <w:p>
            <w:pPr/>
            <w:r>
              <w:t xml:space="preserve">Status</w:t>
            </w:r>
          </w:p>
        </w:tc>
      </w:tr>
      <w:tr>
        <w:tc>
          <w:tcPr>
            <w:tcW w:w="3700" w:type="dxa"/>
          </w:tcPr>
          <w:p>
            <w:pPr/>
            <w:r>
              <w:t xml:space="preserve">Sign stable in every pair where the mean difference exceeds 15 %</w:t>
            </w:r>
          </w:p>
        </w:tc>
        <w:tc>
          <w:tcPr>
            <w:tcW w:w="4750" w:type="dxa"/>
          </w:tcPr>
          <w:p>
            <w:pPr/>
            <w:r>
              <w:t xml:space="preserve">3 of 3 (Kitchen fresh-air −27 %, Living total −18 %, Kitchen total −16 %)</w:t>
            </w:r>
          </w:p>
        </w:tc>
        <w:tc>
          <w:tcPr>
            <w:tcW w:w="909" w:type="dxa"/>
          </w:tcPr>
          <w:p>
            <w:pPr/>
            <w:r>
              <w:t xml:space="preserve">PASS</w:t>
            </w:r>
          </w:p>
        </w:tc>
      </w:tr>
      <w:tr>
        <w:tc>
          <w:tcPr>
            <w:tcW w:w="3700" w:type="dxa"/>
          </w:tcPr>
          <w:p>
            <w:pPr/>
            <w:r>
              <w:t xml:space="preserve">Paired spread at most 50 % of unpaired</w:t>
            </w:r>
          </w:p>
        </w:tc>
        <w:tc>
          <w:tcPr>
            <w:tcW w:w="4750" w:type="dxa"/>
          </w:tcPr>
          <w:p>
            <w:pPr/>
            <w:r>
              <w:t xml:space="preserve">met in 5 of 13 rows; median ratio about 0.6; building fresh-air 0.74</w:t>
            </w:r>
          </w:p>
        </w:tc>
        <w:tc>
          <w:tcPr>
            <w:tcW w:w="909" w:type="dxa"/>
          </w:tcPr>
          <w:p>
            <w:pPr/>
            <w:r>
              <w:t xml:space="preserve">FAIL</w:t>
            </w:r>
          </w:p>
        </w:tc>
      </w:tr>
    </w:tbl>
    <w:p>
      <w:pPr/>
      <w:r>
        <w:t xml:space="preserve">The comparison stays; the claim that pairing “largely cancels” grid noise was corrected to “partly”.</w:t>
      </w:r>
    </w:p>
    <w:p>
      <w:pPr>
        <w:pStyle w:val="Heading3"/>
      </w:pPr>
      <w:r>
        <w:t xml:space="preserve">Experiments not merged</w:t>
      </w:r>
    </w:p>
    <w:p>
      <w:pPr>
        <w:pStyle w:val="ListParagraph"/>
        <w:numPr>
          <w:ilvl w:val="0"/>
          <w:numId w:val="11"/>
        </w:numPr>
      </w:pPr>
      <w:r>
        <w:rPr>
          <w:b/>
        </w:rPr>
        <w:t xml:space="preserve">Partial cells at wall edges (PSM).</w:t>
      </w:r>
      <w:r>
        <w:t xml:space="preserve"> Tested on six grids (5.40 / 5.23 / 5.09 / 4.96 / 4.82 M cells plus a shifted origin), aiming at a room total-exchange spread under 10 %. With PSM the spread was 16.5 to 38.7 % against 8.2 to 17.8 % without, worse in all six rooms; building fresh-air spread 43.7 % against 16.2 %; and the 40-cell cross-ventilation case fell to q 0.651 (FAIL, default 0.746). Coarse CPU tests that looked favourable did not carry over to the GPU grid. Not merged.</w:t>
      </w:r>
    </w:p>
    <w:p>
      <w:pPr>
        <w:pStyle w:val="ListParagraph"/>
        <w:numPr>
          <w:ilvl w:val="0"/>
          <w:numId w:val="11"/>
        </w:numPr>
      </w:pPr>
      <w:r>
        <w:rPr>
          <w:b/>
        </w:rPr>
        <w:t xml:space="preserve">Plume model.</w:t>
      </w:r>
      <w:r>
        <w:t xml:space="preserve"> Merged as an opt-in and disclosed (chapter 9).</w:t>
      </w:r>
    </w:p>
    <w:p>
      <w:pPr>
        <w:pStyle w:val="ListParagraph"/>
        <w:numPr>
          <w:ilvl w:val="0"/>
          <w:numId w:val="11"/>
        </w:numPr>
      </w:pPr>
      <w:r>
        <w:rPr>
          <w:b/>
        </w:rPr>
        <w:t xml:space="preserve">Online age in Standard.</w:t>
      </w:r>
      <w:r>
        <w:t xml:space="preserve"> Merged, per room, where settled.</w:t>
      </w:r>
    </w:p>
    <w:p>
      <w:pPr>
        <w:pStyle w:val="Heading2"/>
      </w:pPr>
      <w:r>
        <w:t xml:space="preserve">12. Known biases and limits</w:t>
      </w:r>
    </w:p>
    <w:p>
      <w:pPr/>
      <w:r>
        <w:t xml:space="preserve">Three limits matter most (October 2026): room numbers depend on the grid (up to about 35 % per room, 20 % per building); the default 10-minute Standard run settled in none of 7 test runs; and the wind inflow settles slowly, landing results about 1.5 to 3 % high. Every other limit is listed below with its measured size and what to do about it.</w:t>
      </w:r>
    </w:p>
    <w:tbl>
      <w:tblPr>
        <w:tblStyle w:val="TableGrid"/>
        <w:tblW w:w="0" w:type="auto"/>
        <w:tblLayout w:type="fixed"/>
        <w:tblLook w:val="04A0" w:firstRow="1" w:lastRow="0" w:firstColumn="0" w:lastColumn="0" w:noHBand="0" w:noVBand="1"/>
      </w:tblPr>
      <w:tblGrid>
        <w:gridCol w:w="720"/>
        <w:gridCol w:w="1940"/>
        <w:gridCol w:w="3228"/>
        <w:gridCol w:w="2445"/>
        <w:gridCol w:w="1027"/>
      </w:tblGrid>
      <w:tr>
        <w:trPr>
          <w:tblHeader/>
        </w:trPr>
        <w:tc>
          <w:tcPr>
            <w:tcW w:w="720" w:type="dxa"/>
            <w:shd w:val="clear" w:color="auto" w:fill="F3F0EA"/>
          </w:tcPr>
          <w:p>
            <w:pPr/>
            <w:r>
              <w:t xml:space="preserve">#</w:t>
            </w:r>
          </w:p>
        </w:tc>
        <w:tc>
          <w:tcPr>
            <w:tcW w:w="1940" w:type="dxa"/>
            <w:shd w:val="clear" w:color="auto" w:fill="F3F0EA"/>
          </w:tcPr>
          <w:p>
            <w:pPr/>
            <w:r>
              <w:t xml:space="preserve">Limit</w:t>
            </w:r>
          </w:p>
        </w:tc>
        <w:tc>
          <w:tcPr>
            <w:tcW w:w="3228" w:type="dxa"/>
            <w:shd w:val="clear" w:color="auto" w:fill="F3F0EA"/>
          </w:tcPr>
          <w:p>
            <w:pPr/>
            <w:r>
              <w:t xml:space="preserve">Measured size</w:t>
            </w:r>
          </w:p>
        </w:tc>
        <w:tc>
          <w:tcPr>
            <w:tcW w:w="2445" w:type="dxa"/>
            <w:shd w:val="clear" w:color="auto" w:fill="F3F0EA"/>
          </w:tcPr>
          <w:p>
            <w:pPr/>
            <w:r>
              <w:t xml:space="preserve">What to do</w:t>
            </w:r>
          </w:p>
        </w:tc>
        <w:tc>
          <w:tcPr>
            <w:tcW w:w="1027" w:type="dxa"/>
            <w:shd w:val="clear" w:color="auto" w:fill="F3F0EA"/>
          </w:tcPr>
          <w:p>
            <w:pPr/>
            <w:r>
              <w:t xml:space="preserve">Chapter</w:t>
            </w:r>
          </w:p>
        </w:tc>
      </w:tr>
      <w:tr>
        <w:tc>
          <w:tcPr>
            <w:tcW w:w="720" w:type="dxa"/>
          </w:tcPr>
          <w:p>
            <w:pPr/>
            <w:r>
              <w:t xml:space="preserve">1</w:t>
            </w:r>
          </w:p>
        </w:tc>
        <w:tc>
          <w:tcPr>
            <w:tcW w:w="1940" w:type="dxa"/>
          </w:tcPr>
          <w:p>
            <w:pPr/>
            <w:r>
              <w:t xml:space="preserve">Per-room results depend on the grid</w:t>
            </w:r>
          </w:p>
        </w:tc>
        <w:tc>
          <w:tcPr>
            <w:tcW w:w="3228" w:type="dxa"/>
          </w:tcPr>
          <w:p>
            <w:pPr/>
            <w:r>
              <w:t xml:space="preserve">up to ~35 % per room, ~20 % per building; no convergence across 2.4 / 5.2 / 11.4 M cells</w:t>
            </w:r>
          </w:p>
        </w:tc>
        <w:tc>
          <w:tcPr>
            <w:tcW w:w="2445" w:type="dxa"/>
          </w:tcPr>
          <w:p>
            <w:pPr/>
            <w:r>
              <w:t xml:space="preserve">Compare options on one grid; use paired offsets</w:t>
            </w:r>
          </w:p>
        </w:tc>
        <w:tc>
          <w:tcPr>
            <w:tcW w:w="1027" w:type="dxa"/>
          </w:tcPr>
          <w:p>
            <w:pPr/>
            <w:r>
              <w:t xml:space="preserve">11</w:t>
            </w:r>
          </w:p>
        </w:tc>
      </w:tr>
      <w:tr>
        <w:tc>
          <w:tcPr>
            <w:tcW w:w="720" w:type="dxa"/>
          </w:tcPr>
          <w:p>
            <w:pPr/>
            <w:r>
              <w:t xml:space="preserve">2</w:t>
            </w:r>
          </w:p>
        </w:tc>
        <w:tc>
          <w:tcPr>
            <w:tcW w:w="1940" w:type="dxa"/>
          </w:tcPr>
          <w:p>
            <w:pPr/>
            <w:r>
              <w:t xml:space="preserve">Standard run rarely settles in 10 min</w:t>
            </w:r>
          </w:p>
        </w:tc>
        <w:tc>
          <w:tcPr>
            <w:tcW w:w="3228" w:type="dxa"/>
          </w:tcPr>
          <w:p>
            <w:pPr/>
            <w:r>
              <w:t xml:space="preserve">0 of 7 runs settled</w:t>
            </w:r>
          </w:p>
        </w:tc>
        <w:tc>
          <w:tcPr>
            <w:tcW w:w="2445" w:type="dxa"/>
          </w:tcPr>
          <w:p>
            <w:pPr/>
            <w:r>
              <w:t xml:space="preserve">Read ranges; use High or a longer limit for a final check</w:t>
            </w:r>
          </w:p>
        </w:tc>
        <w:tc>
          <w:tcPr>
            <w:tcW w:w="1027" w:type="dxa"/>
          </w:tcPr>
          <w:p>
            <w:pPr/>
            <w:r>
              <w:t xml:space="preserve">7</w:t>
            </w:r>
          </w:p>
        </w:tc>
      </w:tr>
      <w:tr>
        <w:tc>
          <w:tcPr>
            <w:tcW w:w="720" w:type="dxa"/>
          </w:tcPr>
          <w:p>
            <w:pPr/>
            <w:r>
              <w:t xml:space="preserve">3</w:t>
            </w:r>
          </w:p>
        </w:tc>
        <w:tc>
          <w:tcPr>
            <w:tcW w:w="1940" w:type="dxa"/>
          </w:tcPr>
          <w:p>
            <w:pPr/>
            <w:r>
              <w:t xml:space="preserve">Inflow settles slowly, depends on start</w:t>
            </w:r>
          </w:p>
        </w:tc>
        <w:tc>
          <w:tcPr>
            <w:tcW w:w="3228" w:type="dxa"/>
          </w:tcPr>
          <w:p>
            <w:pPr/>
            <w:r>
              <w:t xml:space="preserve">+1.5 to 3 % in 10 min; starts 0.5 to 4 % apart</w:t>
            </w:r>
          </w:p>
        </w:tc>
        <w:tc>
          <w:tcPr>
            <w:tcW w:w="2445" w:type="dxa"/>
          </w:tcPr>
          <w:p>
            <w:pPr/>
            <w:r>
              <w:t xml:space="preserve">Keep runs alike when comparing</w:t>
            </w:r>
          </w:p>
        </w:tc>
        <w:tc>
          <w:tcPr>
            <w:tcW w:w="1027" w:type="dxa"/>
          </w:tcPr>
          <w:p>
            <w:pPr/>
            <w:r>
              <w:t xml:space="preserve">5</w:t>
            </w:r>
          </w:p>
        </w:tc>
      </w:tr>
      <w:tr>
        <w:tc>
          <w:tcPr>
            <w:tcW w:w="720" w:type="dxa"/>
          </w:tcPr>
          <w:p>
            <w:pPr/>
            <w:r>
              <w:t xml:space="preserve">4</w:t>
            </w:r>
          </w:p>
        </w:tc>
        <w:tc>
          <w:tcPr>
            <w:tcW w:w="1940" w:type="dxa"/>
          </w:tcPr>
          <w:p>
            <w:pPr/>
            <w:r>
              <w:t xml:space="preserve">Viscosity floor</w:t>
            </w:r>
          </w:p>
        </w:tc>
        <w:tc>
          <w:tcPr>
            <w:tcW w:w="3228" w:type="dxa"/>
          </w:tcPr>
          <w:p>
            <w:pPr/>
            <w:r>
              <w:t xml:space="preserve">air 150 to 850 × too viscous; jets laminar</w:t>
            </w:r>
          </w:p>
        </w:tc>
        <w:tc>
          <w:tcPr>
            <w:tcW w:w="2445" w:type="dxa"/>
          </w:tcPr>
          <w:p>
            <w:pPr/>
            <w:r>
              <w:t xml:space="preserve">Treat jet reach and absolute ACH as indicative</w:t>
            </w:r>
          </w:p>
        </w:tc>
        <w:tc>
          <w:tcPr>
            <w:tcW w:w="1027" w:type="dxa"/>
          </w:tcPr>
          <w:p>
            <w:pPr/>
            <w:r>
              <w:t xml:space="preserve">3</w:t>
            </w:r>
          </w:p>
        </w:tc>
      </w:tr>
      <w:tr>
        <w:tc>
          <w:tcPr>
            <w:tcW w:w="720" w:type="dxa"/>
          </w:tcPr>
          <w:p>
            <w:pPr/>
            <w:r>
              <w:t xml:space="preserve">5</w:t>
            </w:r>
          </w:p>
        </w:tc>
        <w:tc>
          <w:tcPr>
            <w:tcW w:w="1940" w:type="dxa"/>
          </w:tcPr>
          <w:p>
            <w:pPr/>
            <w:r>
              <w:t xml:space="preserve">Smooth ground</w:t>
            </w:r>
          </w:p>
        </w:tc>
        <w:tc>
          <w:tcPr>
            <w:tcW w:w="3228" w:type="dxa"/>
          </w:tcPr>
          <w:p>
            <w:pPr/>
            <w:r>
              <w:t xml:space="preserve">wind at 1 m ~54 % under EN profile; oblique drift 10.8 to 15.9 % at 2 m</w:t>
            </w:r>
          </w:p>
        </w:tc>
        <w:tc>
          <w:tcPr>
            <w:tcW w:w="2445" w:type="dxa"/>
          </w:tcPr>
          <w:p>
            <w:pPr/>
            <w:r>
              <w:t xml:space="preserve">Expect low near-ground speeds</w:t>
            </w:r>
          </w:p>
        </w:tc>
        <w:tc>
          <w:tcPr>
            <w:tcW w:w="1027" w:type="dxa"/>
          </w:tcPr>
          <w:p>
            <w:pPr/>
            <w:r>
              <w:t xml:space="preserve">5</w:t>
            </w:r>
          </w:p>
        </w:tc>
      </w:tr>
      <w:tr>
        <w:tc>
          <w:tcPr>
            <w:tcW w:w="720" w:type="dxa"/>
          </w:tcPr>
          <w:p>
            <w:pPr/>
            <w:r>
              <w:t xml:space="preserve">6</w:t>
            </w:r>
          </w:p>
        </w:tc>
        <w:tc>
          <w:tcPr>
            <w:tcW w:w="1940" w:type="dxa"/>
          </w:tcPr>
          <w:p>
            <w:pPr/>
            <w:r>
              <w:t xml:space="preserve">Compact domain blockage</w:t>
            </w:r>
          </w:p>
        </w:tc>
        <w:tc>
          <w:tcPr>
            <w:tcW w:w="3228" w:type="dxa"/>
          </w:tcPr>
          <w:p>
            <w:pPr/>
            <w:r>
              <w:t xml:space="preserve">10.5 %; flows likely about 11 to 14 % high per room against Full (newest run, after the age-of-air fix; an older run read 8 to 33 %)</w:t>
            </w:r>
          </w:p>
        </w:tc>
        <w:tc>
          <w:tcPr>
            <w:tcW w:w="2445" w:type="dxa"/>
          </w:tcPr>
          <w:p>
            <w:pPr/>
            <w:r>
              <w:t xml:space="preserve">Use Full for a final check</w:t>
            </w:r>
          </w:p>
        </w:tc>
        <w:tc>
          <w:tcPr>
            <w:tcW w:w="1027" w:type="dxa"/>
          </w:tcPr>
          <w:p>
            <w:pPr/>
            <w:r>
              <w:t xml:space="preserve">5</w:t>
            </w:r>
          </w:p>
        </w:tc>
      </w:tr>
      <w:tr>
        <w:tc>
          <w:tcPr>
            <w:tcW w:w="720" w:type="dxa"/>
          </w:tcPr>
          <w:p>
            <w:pPr/>
            <w:r>
              <w:t xml:space="preserve">7</w:t>
            </w:r>
          </w:p>
        </w:tc>
        <w:tc>
          <w:tcPr>
            <w:tcW w:w="1940" w:type="dxa"/>
          </w:tcPr>
          <w:p>
            <w:pPr/>
            <w:r>
              <w:t xml:space="preserve">Small openings</w:t>
            </w:r>
          </w:p>
        </w:tc>
        <w:tc>
          <w:tcPr>
            <w:tcW w:w="3228" w:type="dxa"/>
          </w:tcPr>
          <w:p>
            <w:pPr/>
            <w:r>
              <w:t xml:space="preserve">C_d 0.48 to 0.60 at 4 cells (flow 1 to 21 % low); placement scatter; rotated openings uncalibrated</w:t>
            </w:r>
          </w:p>
        </w:tc>
        <w:tc>
          <w:tcPr>
            <w:tcW w:w="2445" w:type="dxa"/>
          </w:tcPr>
          <w:p>
            <w:pPr/>
            <w:r>
              <w:t xml:space="preserve">Keep openings ≥ 8 cells across where it matters</w:t>
            </w:r>
          </w:p>
        </w:tc>
        <w:tc>
          <w:tcPr>
            <w:tcW w:w="1027" w:type="dxa"/>
          </w:tcPr>
          <w:p>
            <w:pPr/>
            <w:r>
              <w:t xml:space="preserve">4</w:t>
            </w:r>
          </w:p>
        </w:tc>
      </w:tr>
      <w:tr>
        <w:tc>
          <w:tcPr>
            <w:tcW w:w="720" w:type="dxa"/>
          </w:tcPr>
          <w:p>
            <w:pPr/>
            <w:r>
              <w:t xml:space="preserve">8</w:t>
            </w:r>
          </w:p>
        </w:tc>
        <w:tc>
          <w:tcPr>
            <w:tcW w:w="1940" w:type="dxa"/>
          </w:tcPr>
          <w:p>
            <w:pPr/>
            <w:r>
              <w:t xml:space="preserve">Adiabatic walls</w:t>
            </w:r>
          </w:p>
        </w:tc>
        <w:tc>
          <w:tcPr>
            <w:tcW w:w="3228" w:type="dxa"/>
          </w:tcPr>
          <w:p>
            <w:pPr/>
            <w:r>
              <w:t xml:space="preserve">no U-values, no wall heat loss</w:t>
            </w:r>
          </w:p>
        </w:tc>
        <w:tc>
          <w:tcPr>
            <w:tcW w:w="2445" w:type="dxa"/>
          </w:tcPr>
          <w:p>
            <w:pPr/>
            <w:r>
              <w:t xml:space="preserve">Model cold windows as Surface sources</w:t>
            </w:r>
          </w:p>
        </w:tc>
        <w:tc>
          <w:tcPr>
            <w:tcW w:w="1027" w:type="dxa"/>
          </w:tcPr>
          <w:p>
            <w:pPr/>
            <w:r>
              <w:t xml:space="preserve">9</w:t>
            </w:r>
          </w:p>
        </w:tc>
      </w:tr>
      <w:tr>
        <w:tc>
          <w:tcPr>
            <w:tcW w:w="720" w:type="dxa"/>
          </w:tcPr>
          <w:p>
            <w:pPr/>
            <w:r>
              <w:t xml:space="preserve">9</w:t>
            </w:r>
          </w:p>
        </w:tc>
        <w:tc>
          <w:tcPr>
            <w:tcW w:w="1940" w:type="dxa"/>
          </w:tcPr>
          <w:p>
            <w:pPr/>
            <w:r>
              <w:t xml:space="preserve">Small heat sources under-stratified</w:t>
            </w:r>
          </w:p>
        </w:tc>
        <w:tc>
          <w:tcPr>
            <w:tcW w:w="3228" w:type="dxa"/>
          </w:tcPr>
          <w:p>
            <w:pPr/>
            <w:r>
              <w:t xml:space="preserve">1.30 K against 1.8 to 8.6 K</w:t>
            </w:r>
          </w:p>
        </w:tc>
        <w:tc>
          <w:tcPr>
            <w:tcW w:w="2445" w:type="dxa"/>
          </w:tcPr>
          <w:p>
            <w:pPr/>
            <w:r>
              <w:t xml:space="preserve">Try the opt-in plume model; treat as indicative</w:t>
            </w:r>
          </w:p>
        </w:tc>
        <w:tc>
          <w:tcPr>
            <w:tcW w:w="1027" w:type="dxa"/>
          </w:tcPr>
          <w:p>
            <w:pPr/>
            <w:r>
              <w:t xml:space="preserve">9</w:t>
            </w:r>
          </w:p>
        </w:tc>
      </w:tr>
      <w:tr>
        <w:tc>
          <w:tcPr>
            <w:tcW w:w="720" w:type="dxa"/>
          </w:tcPr>
          <w:p>
            <w:pPr/>
            <w:r>
              <w:t xml:space="preserve">10</w:t>
            </w:r>
          </w:p>
        </w:tc>
        <w:tc>
          <w:tcPr>
            <w:tcW w:w="1940" w:type="dxa"/>
          </w:tcPr>
          <w:p>
            <w:pPr/>
            <w:r>
              <w:t xml:space="preserve">Outdoor air counts as fresh</w:t>
            </w:r>
          </w:p>
        </w:tc>
        <w:tc>
          <w:tcPr>
            <w:tcW w:w="3228" w:type="dxa"/>
          </w:tcPr>
          <w:p>
            <w:pPr/>
            <w:r>
              <w:t xml:space="preserve">façade re-entry untested</w:t>
            </w:r>
          </w:p>
        </w:tc>
        <w:tc>
          <w:tcPr>
            <w:tcW w:w="2445" w:type="dxa"/>
          </w:tcPr>
          <w:p>
            <w:pPr/>
            <w:r>
              <w:t xml:space="preserve">Watch rooms near exhausts</w:t>
            </w:r>
          </w:p>
        </w:tc>
        <w:tc>
          <w:tcPr>
            <w:tcW w:w="1027" w:type="dxa"/>
          </w:tcPr>
          <w:p>
            <w:pPr/>
            <w:r>
              <w:t xml:space="preserve">6</w:t>
            </w:r>
          </w:p>
        </w:tc>
      </w:tr>
      <w:tr>
        <w:tc>
          <w:tcPr>
            <w:tcW w:w="720" w:type="dxa"/>
          </w:tcPr>
          <w:p>
            <w:pPr/>
            <w:r>
              <w:t xml:space="preserve">11</w:t>
            </w:r>
          </w:p>
        </w:tc>
        <w:tc>
          <w:tcPr>
            <w:tcW w:w="1940" w:type="dxa"/>
          </w:tcPr>
          <w:p>
            <w:pPr/>
            <w:r>
              <w:t xml:space="preserve">Open-top box keeps older boundary ring</w:t>
            </w:r>
          </w:p>
        </w:tc>
        <w:tc>
          <w:tcPr>
            <w:tcW w:w="3228" w:type="dxa"/>
          </w:tcPr>
          <w:p>
            <w:pPr/>
            <w:r>
              <w:t xml:space="preserve">—</w:t>
            </w:r>
          </w:p>
        </w:tc>
        <w:tc>
          <w:tcPr>
            <w:tcW w:w="2445" w:type="dxa"/>
          </w:tcPr>
          <w:p>
            <w:pPr/>
            <w:r>
              <w:t xml:space="preserve">—</w:t>
            </w:r>
          </w:p>
        </w:tc>
        <w:tc>
          <w:tcPr>
            <w:tcW w:w="1027" w:type="dxa"/>
          </w:tcPr>
          <w:p>
            <w:pPr/>
            <w:r>
              <w:t xml:space="preserve">5</w:t>
            </w:r>
          </w:p>
        </w:tc>
      </w:tr>
      <w:tr>
        <w:tc>
          <w:tcPr>
            <w:tcW w:w="720" w:type="dxa"/>
          </w:tcPr>
          <w:p>
            <w:pPr/>
            <w:r>
              <w:t xml:space="preserve">12</w:t>
            </w:r>
          </w:p>
        </w:tc>
        <w:tc>
          <w:tcPr>
            <w:tcW w:w="1940" w:type="dxa"/>
          </w:tcPr>
          <w:p>
            <w:pPr/>
            <w:r>
              <w:t xml:space="preserve">Pressure noisier without gusts</w:t>
            </w:r>
          </w:p>
        </w:tc>
        <w:tc>
          <w:tcPr>
            <w:tcW w:w="3228" w:type="dxa"/>
          </w:tcPr>
          <w:p>
            <w:pPr/>
            <w:r>
              <w:t xml:space="preserve">density fluctuation 9.6e-5 against 6.3e-5 (1.5 ×)</w:t>
            </w:r>
          </w:p>
        </w:tc>
        <w:tc>
          <w:tcPr>
            <w:tcW w:w="2445" w:type="dxa"/>
          </w:tcPr>
          <w:p>
            <w:pPr/>
            <w:r>
              <w:t xml:space="preserve">—</w:t>
            </w:r>
          </w:p>
        </w:tc>
        <w:tc>
          <w:tcPr>
            <w:tcW w:w="1027" w:type="dxa"/>
          </w:tcPr>
          <w:p>
            <w:pPr/>
            <w:r>
              <w:t xml:space="preserve">5</w:t>
            </w:r>
          </w:p>
        </w:tc>
      </w:tr>
      <w:tr>
        <w:tc>
          <w:tcPr>
            <w:tcW w:w="720" w:type="dxa"/>
          </w:tcPr>
          <w:p>
            <w:pPr/>
            <w:r>
              <w:t xml:space="preserve">13</w:t>
            </w:r>
          </w:p>
        </w:tc>
        <w:tc>
          <w:tcPr>
            <w:tcW w:w="1940" w:type="dxa"/>
          </w:tcPr>
          <w:p>
            <w:pPr/>
            <w:r>
              <w:t xml:space="preserve">Supply turbulence tuned for 4 to 16-cell patches</w:t>
            </w:r>
          </w:p>
        </w:tc>
        <w:tc>
          <w:tcPr>
            <w:tcW w:w="3228" w:type="dxa"/>
          </w:tcPr>
          <w:p>
            <w:pPr/>
            <w:r>
              <w:t xml:space="preserve">factors 2.06 / 1.41 / 1.31 / 1.17 / 1.22 at 4 / 6 / 8 / 12 / 16 cells; a 3-cell patch delivers ~0.35 to 0.5 of the request</w:t>
            </w:r>
          </w:p>
        </w:tc>
        <w:tc>
          <w:tcPr>
            <w:tcW w:w="2445" w:type="dxa"/>
          </w:tcPr>
          <w:p>
            <w:pPr/>
            <w:r>
              <w:t xml:space="preserve">Keep supply patches ≥ 4 cells; Revit air terminals under High only</w:t>
            </w:r>
          </w:p>
        </w:tc>
        <w:tc>
          <w:tcPr>
            <w:tcW w:w="1027" w:type="dxa"/>
          </w:tcPr>
          <w:p>
            <w:pPr/>
            <w:r>
              <w:t xml:space="preserve">9</w:t>
            </w:r>
          </w:p>
        </w:tc>
      </w:tr>
      <w:tr>
        <w:tc>
          <w:tcPr>
            <w:tcW w:w="720" w:type="dxa"/>
          </w:tcPr>
          <w:p>
            <w:pPr/>
            <w:r>
              <w:t xml:space="preserve">14</w:t>
            </w:r>
          </w:p>
        </w:tc>
        <w:tc>
          <w:tcPr>
            <w:tcW w:w="1940" w:type="dxa"/>
          </w:tcPr>
          <w:p>
            <w:pPr/>
            <w:r>
              <w:t xml:space="preserve">Fine box is local view only</w:t>
            </w:r>
          </w:p>
        </w:tc>
        <w:tc>
          <w:tcPr>
            <w:tcW w:w="3228" w:type="dxa"/>
          </w:tcPr>
          <w:p>
            <w:pPr/>
            <w:r>
              <w:t xml:space="preserve">never supplies a room or opening number</w:t>
            </w:r>
          </w:p>
        </w:tc>
        <w:tc>
          <w:tcPr>
            <w:tcW w:w="2445" w:type="dxa"/>
          </w:tcPr>
          <w:p>
            <w:pPr/>
            <w:r>
              <w:t xml:space="preserve">Read ACH from the whole-building run</w:t>
            </w:r>
          </w:p>
        </w:tc>
        <w:tc>
          <w:tcPr>
            <w:tcW w:w="1027" w:type="dxa"/>
          </w:tcPr>
          <w:p>
            <w:pPr/>
            <w:r>
              <w:t xml:space="preserve">8</w:t>
            </w:r>
          </w:p>
        </w:tc>
      </w:tr>
      <w:tr>
        <w:tc>
          <w:tcPr>
            <w:tcW w:w="720" w:type="dxa"/>
          </w:tcPr>
          <w:p>
            <w:pPr/>
            <w:r>
              <w:t xml:space="preserve">15</w:t>
            </w:r>
          </w:p>
        </w:tc>
        <w:tc>
          <w:tcPr>
            <w:tcW w:w="1940" w:type="dxa"/>
          </w:tcPr>
          <w:p>
            <w:pPr/>
            <w:r>
              <w:t xml:space="preserve">Diffuser adds no fresh air</w:t>
            </w:r>
          </w:p>
        </w:tc>
        <w:tc>
          <w:tcPr>
            <w:tcW w:w="3228" w:type="dxa"/>
          </w:tcPr>
          <w:p>
            <w:pPr/>
            <w:r>
              <w:t xml:space="preserve">by construction</w:t>
            </w:r>
          </w:p>
        </w:tc>
        <w:tc>
          <w:tcPr>
            <w:tcW w:w="2445" w:type="dxa"/>
          </w:tcPr>
          <w:p>
            <w:pPr/>
            <w:r>
              <w:t xml:space="preserve">Model outdoor-air supply explicitly</w:t>
            </w:r>
          </w:p>
        </w:tc>
        <w:tc>
          <w:tcPr>
            <w:tcW w:w="1027" w:type="dxa"/>
          </w:tcPr>
          <w:p>
            <w:pPr/>
            <w:r>
              <w:t xml:space="preserve">9</w:t>
            </w:r>
          </w:p>
        </w:tc>
      </w:tr>
      <w:tr>
        <w:tc>
          <w:tcPr>
            <w:tcW w:w="720" w:type="dxa"/>
          </w:tcPr>
          <w:p>
            <w:pPr/>
            <w:r>
              <w:t xml:space="preserve">16</w:t>
            </w:r>
          </w:p>
        </w:tc>
        <w:tc>
          <w:tcPr>
            <w:tcW w:w="1940" w:type="dxa"/>
          </w:tcPr>
          <w:p>
            <w:pPr/>
            <w:r>
              <w:t xml:space="preserve">Age estimator</w:t>
            </w:r>
          </w:p>
        </w:tc>
        <w:tc>
          <w:tcPr>
            <w:tcW w:w="3228" w:type="dxa"/>
          </w:tcPr>
          <w:p>
            <w:pPr/>
            <w:r>
              <w:t xml:space="preserve">steady vs online ~30 % either way per room; High's steady age up to ~3 × lower</w:t>
            </w:r>
          </w:p>
        </w:tc>
        <w:tc>
          <w:tcPr>
            <w:tcW w:w="2445" w:type="dxa"/>
          </w:tcPr>
          <w:p>
            <w:pPr/>
            <w:r>
              <w:t xml:space="preserve">Read which age a result carries</w:t>
            </w:r>
          </w:p>
        </w:tc>
        <w:tc>
          <w:tcPr>
            <w:tcW w:w="1027" w:type="dxa"/>
          </w:tcPr>
          <w:p>
            <w:pPr/>
            <w:r>
              <w:t xml:space="preserve">6</w:t>
            </w:r>
          </w:p>
        </w:tc>
      </w:tr>
      <w:tr>
        <w:tc>
          <w:tcPr>
            <w:tcW w:w="720" w:type="dxa"/>
          </w:tcPr>
          <w:p>
            <w:pPr/>
            <w:r>
              <w:t xml:space="preserve">17</w:t>
            </w:r>
          </w:p>
        </w:tc>
        <w:tc>
          <w:tcPr>
            <w:tcW w:w="1940" w:type="dxa"/>
          </w:tcPr>
          <w:p>
            <w:pPr/>
            <w:r>
              <w:t xml:space="preserve">Glass removal is per material</w:t>
            </w:r>
          </w:p>
        </w:tc>
        <w:tc>
          <w:tcPr>
            <w:tcW w:w="3228" w:type="dxa"/>
          </w:tcPr>
          <w:p>
            <w:pPr/>
            <w:r>
              <w:t xml:space="preserve">shared material removed as a whole</w:t>
            </w:r>
          </w:p>
        </w:tc>
        <w:tc>
          <w:tcPr>
            <w:tcW w:w="2445" w:type="dxa"/>
          </w:tcPr>
          <w:p>
            <w:pPr/>
            <w:r>
              <w:t xml:space="preserve">Split glass materials before export</w:t>
            </w:r>
          </w:p>
        </w:tc>
        <w:tc>
          <w:tcPr>
            <w:tcW w:w="1027" w:type="dxa"/>
          </w:tcPr>
          <w:p>
            <w:pPr/>
            <w:r>
              <w:t xml:space="preserve">4</w:t>
            </w:r>
          </w:p>
        </w:tc>
      </w:tr>
      <w:tr>
        <w:tc>
          <w:tcPr>
            <w:tcW w:w="720" w:type="dxa"/>
          </w:tcPr>
          <w:p>
            <w:pPr/>
            <w:r>
              <w:t xml:space="preserve">18</w:t>
            </w:r>
          </w:p>
        </w:tc>
        <w:tc>
          <w:tcPr>
            <w:tcW w:w="1940" w:type="dxa"/>
          </w:tcPr>
          <w:p>
            <w:pPr/>
            <w:r>
              <w:t xml:space="preserve">Cross-ventilation flow reads high</w:t>
            </w:r>
          </w:p>
        </w:tc>
        <w:tc>
          <w:tcPr>
            <w:tcW w:w="3228" w:type="dxa"/>
          </w:tcPr>
          <w:p>
            <w:pPr/>
            <w:r>
              <w:t xml:space="preserve">1.6 to 2.2 × paper tracer; ~10 to 35 % above PIV/LES</w:t>
            </w:r>
          </w:p>
        </w:tc>
        <w:tc>
          <w:tcPr>
            <w:tcW w:w="2445" w:type="dxa"/>
          </w:tcPr>
          <w:p>
            <w:pPr/>
            <w:r>
              <w:t xml:space="preserve">Trust the ranking more than the number</w:t>
            </w:r>
          </w:p>
        </w:tc>
        <w:tc>
          <w:tcPr>
            <w:tcW w:w="1027" w:type="dxa"/>
          </w:tcPr>
          <w:p>
            <w:pPr/>
            <w:r>
              <w:t xml:space="preserve">10</w:t>
            </w:r>
          </w:p>
        </w:tc>
      </w:tr>
      <w:tr>
        <w:tc>
          <w:tcPr>
            <w:tcW w:w="720" w:type="dxa"/>
          </w:tcPr>
          <w:p>
            <w:pPr/>
            <w:r>
              <w:t xml:space="preserve">19</w:t>
            </w:r>
          </w:p>
        </w:tc>
        <w:tc>
          <w:tcPr>
            <w:tcW w:w="1940" w:type="dxa"/>
          </w:tcPr>
          <w:p>
            <w:pPr/>
            <w:r>
              <w:t xml:space="preserve">Imported rooms read high</w:t>
            </w:r>
          </w:p>
        </w:tc>
        <w:tc>
          <w:tcPr>
            <w:tcW w:w="3228" w:type="dxa"/>
          </w:tcPr>
          <w:p>
            <w:pPr/>
            <w:r>
              <w:t xml:space="preserve">total exchange 37 to 45 % above hand-drawn</w:t>
            </w:r>
          </w:p>
        </w:tc>
        <w:tc>
          <w:tcPr>
            <w:tcW w:w="2445" w:type="dxa"/>
          </w:tcPr>
          <w:p>
            <w:pPr/>
            <w:r>
              <w:t xml:space="preserve">Compare imported with imported</w:t>
            </w:r>
          </w:p>
        </w:tc>
        <w:tc>
          <w:tcPr>
            <w:tcW w:w="1027" w:type="dxa"/>
          </w:tcPr>
          <w:p>
            <w:pPr/>
            <w:r>
              <w:t xml:space="preserve">4</w:t>
            </w:r>
          </w:p>
        </w:tc>
      </w:tr>
    </w:tbl>
    <w:p>
      <w:pPr>
        <w:pStyle w:val="Heading3"/>
      </w:pPr>
      <w:r>
        <w:t xml:space="preserve">Other known limits</w:t>
      </w:r>
    </w:p>
    <w:p>
      <w:pPr>
        <w:pStyle w:val="ListParagraph"/>
        <w:numPr>
          <w:ilvl w:val="0"/>
          <w:numId w:val="12"/>
        </w:numPr>
      </w:pPr>
      <w:r>
        <w:t xml:space="preserve">Thermal is beta; the wall model is experimental; the nested box is isothermal only.</w:t>
      </w:r>
    </w:p>
    <w:p>
      <w:pPr>
        <w:pStyle w:val="ListParagraph"/>
        <w:numPr>
          <w:ilvl w:val="0"/>
          <w:numId w:val="12"/>
        </w:numPr>
      </w:pPr>
      <w:r>
        <w:t xml:space="preserve">The ± is statistical only (chapter 7).</w:t>
      </w:r>
    </w:p>
    <w:p>
      <w:pPr>
        <w:pStyle w:val="ListParagraph"/>
        <w:numPr>
          <w:ilvl w:val="0"/>
          <w:numId w:val="12"/>
        </w:numPr>
      </w:pPr>
      <w:r>
        <w:t xml:space="preserve">The mass-balance warning errs towards alarm: it compares inflow and outflow relative to the larger, so a building ventilated through one side can show red on a sound result:</w:t>
      </w:r>
    </w:p>
    <w:p>
      <w:pPr>
        <w:jc w:val="center"/>
      </w:pPr>
      <m:oMathPara>
        <m:oMath>
          <m:r>
            <m:t>r=</m:t>
          </m:r>
          <m:f>
            <m:fPr>
              <m:type m:val="bar"/>
            </m:fPr>
            <m:num>
              <m:d>
                <m:dPr>
                  <m:begChr m:val="|"/>
                  <m:sepChr m:val="−"/>
                  <m:endChr m:val="|"/>
                </m:dPr>
                <m:e>
                  <m:sSub>
                    <m:e>
                      <m:r>
                        <m:t>Q</m:t>
                      </m:r>
                    </m:e>
                    <m:sub>
                      <m:r>
                        <m:rPr>
                          <m:sty m:val="p"/>
                        </m:rPr>
                        <m:t>in</m:t>
                      </m:r>
                    </m:sub>
                  </m:sSub>
                </m:e>
                <m:e>
                  <m:sSub>
                    <m:e>
                      <m:r>
                        <m:t>Q</m:t>
                      </m:r>
                    </m:e>
                    <m:sub>
                      <m:r>
                        <m:rPr>
                          <m:sty m:val="p"/>
                        </m:rPr>
                        <m:t>out</m:t>
                      </m:r>
                    </m:sub>
                  </m:sSub>
                </m:e>
              </m:d>
            </m:num>
            <m:den>
              <m:r>
                <m:rPr>
                  <m:sty m:val="p"/>
                </m:rPr>
                <m:t>max</m:t>
              </m:r>
              <m:r>
                <m:t>(</m:t>
              </m:r>
              <m:sSub>
                <m:e>
                  <m:r>
                    <m:t>Q</m:t>
                  </m:r>
                </m:e>
                <m:sub>
                  <m:r>
                    <m:rPr>
                      <m:sty m:val="p"/>
                    </m:rPr>
                    <m:t>in</m:t>
                  </m:r>
                </m:sub>
              </m:sSub>
              <m:r>
                <m:t>,</m:t>
              </m:r>
              <m:sSub>
                <m:e>
                  <m:r>
                    <m:t>Q</m:t>
                  </m:r>
                </m:e>
                <m:sub>
                  <m:r>
                    <m:rPr>
                      <m:sty m:val="p"/>
                    </m:rPr>
                    <m:t>out</m:t>
                  </m:r>
                </m:sub>
              </m:sSub>
              <m:r>
                <m:t>)</m:t>
              </m:r>
            </m:den>
          </m:f>
        </m:oMath>
      </m:oMathPara>
    </w:p>
    <w:p>
      <w:pPr>
        <w:pStyle w:val="ListParagraph"/>
        <w:numPr>
          <w:ilvl w:val="0"/>
          <w:numId w:val="13"/>
        </w:numPr>
      </w:pPr>
      <w:r>
        <w:t xml:space="preserve">Stairs and double-height spaces can count a void's air in two rooms.</w:t>
      </w:r>
    </w:p>
    <w:p>
      <w:pPr>
        <w:pStyle w:val="ListParagraph"/>
        <w:numPr>
          <w:ilvl w:val="0"/>
          <w:numId w:val="13"/>
        </w:numPr>
      </w:pPr>
      <w:r>
        <w:t xml:space="preserve">The older convergence-loop test and the warm-start CPU test fail (chapter 10).</w:t>
      </w:r>
    </w:p>
    <w:p>
      <w:pPr>
        <w:pStyle w:val="ListParagraph"/>
        <w:numPr>
          <w:ilvl w:val="0"/>
          <w:numId w:val="13"/>
        </w:numPr>
      </w:pPr>
      <w:r>
        <w:t xml:space="preserve">The installer is not yet code-signed.</w:t>
      </w:r>
    </w:p>
    <w:p>
      <w:pPr>
        <w:pStyle w:val="Heading2"/>
      </w:pPr>
      <w:r>
        <w:t xml:space="preserve">13. How to read the report</w:t>
      </w:r>
    </w:p>
    <w:p>
      <w:pPr/>
      <w:r>
        <w:t xml:space="preserve">Read the result line first: it says whether the run settled or ran out of time, which grid and wind it used, and which age of air the numbers carry. Every room number below it inherits those conditions.</w:t>
      </w:r>
    </w:p>
    <w:p>
      <w:pPr>
        <w:pStyle w:val="Heading3"/>
      </w:pPr>
      <w:r>
        <w:t xml:space="preserve">Cover page</w:t>
      </w:r>
    </w:p>
    <w:p>
      <w:pPr>
        <w:pStyle w:val="ListParagraph"/>
        <w:numPr>
          <w:ilvl w:val="0"/>
          <w:numId w:val="14"/>
        </w:numPr>
      </w:pPr>
      <w:r>
        <w:rPr>
          <w:b/>
        </w:rPr>
        <w:t xml:space="preserve">Summary paragraph:</w:t>
      </w:r>
      <w:r>
        <w:t xml:space="preserve"> wind, openings open, building fresh-air rate, best and least ventilated room, rooms with no air path, the result's status.</w:t>
      </w:r>
    </w:p>
    <w:p>
      <w:pPr>
        <w:pStyle w:val="ListParagraph"/>
        <w:numPr>
          <w:ilvl w:val="0"/>
          <w:numId w:val="14"/>
        </w:numPr>
      </w:pPr>
      <w:r>
        <w:t xml:space="preserve">An optional 3-D view. A Preview result says so on the cover.</w:t>
      </w:r>
    </w:p>
    <w:p>
      <w:pPr>
        <w:pStyle w:val="ListParagraph"/>
        <w:numPr>
          <w:ilvl w:val="0"/>
          <w:numId w:val="14"/>
        </w:numPr>
      </w:pPr>
      <w:r>
        <w:rPr>
          <w:b/>
        </w:rPr>
        <w:t xml:space="preserve">Key numbers:</w:t>
      </w:r>
      <w:r>
        <w:t xml:space="preserve"> Result, Wind “… at 10 m height”, Quality / backend, Grid, Steps / solve time, Rooms analysed, Best ventilated, Least ventilated, Building fresh-air rate, Air age used, Total inflow.</w:t>
      </w:r>
    </w:p>
    <w:p>
      <w:pPr>
        <w:pStyle w:val="ListParagraph"/>
        <w:numPr>
          <w:ilvl w:val="0"/>
          <w:numId w:val="14"/>
        </w:numPr>
      </w:pPr>
      <w:r>
        <w:rPr>
          <w:b/>
        </w:rPr>
        <w:t xml:space="preserve">Mass-balance box:</w:t>
      </w:r>
      <w:r>
        <w:t xml:space="preserve"> green when the residual is physical, amber with the solver's notes when it is not.</w:t>
      </w:r>
    </w:p>
    <w:p>
      <w:pPr>
        <w:pStyle w:val="ListParagraph"/>
        <w:numPr>
          <w:ilvl w:val="0"/>
          <w:numId w:val="14"/>
        </w:numPr>
      </w:pPr>
      <w:r>
        <w:t xml:space="preserve">Notes come last, in dark ink, with repeats grouped into one line. There is no guidance page; definitions and reference values are in the separate “How WindFlow works” sheet.</w:t>
      </w:r>
    </w:p>
    <w:p>
      <w:pPr>
        <w:pStyle w:val="Heading3"/>
      </w:pPr>
      <w:r>
        <w:t xml:space="preserve">Result line</w:t>
      </w:r>
    </w:p>
    <w:tbl>
      <w:tblPr>
        <w:tblStyle w:val="TableGrid"/>
        <w:tblW w:w="0" w:type="auto"/>
        <w:tblLayout w:type="fixed"/>
        <w:tblLook w:val="04A0" w:firstRow="1" w:lastRow="0" w:firstColumn="0" w:lastColumn="0" w:noHBand="0" w:noVBand="1"/>
      </w:tblPr>
      <w:tblGrid>
        <w:gridCol w:w="5085"/>
        <w:gridCol w:w="4274"/>
      </w:tblGrid>
      <w:tr>
        <w:trPr>
          <w:tblHeader/>
        </w:trPr>
        <w:tc>
          <w:tcPr>
            <w:tcW w:w="5085" w:type="dxa"/>
            <w:shd w:val="clear" w:color="auto" w:fill="F3F0EA"/>
          </w:tcPr>
          <w:p>
            <w:pPr/>
            <w:r>
              <w:t xml:space="preserve">Result line reads</w:t>
            </w:r>
          </w:p>
        </w:tc>
        <w:tc>
          <w:tcPr>
            <w:tcW w:w="4274" w:type="dxa"/>
            <w:shd w:val="clear" w:color="auto" w:fill="F3F0EA"/>
          </w:tcPr>
          <w:p>
            <w:pPr/>
            <w:r>
              <w:t xml:space="preserve">Grid and wind</w:t>
            </w:r>
          </w:p>
        </w:tc>
      </w:tr>
      <w:tr>
        <w:tc>
          <w:tcPr>
            <w:tcW w:w="5085" w:type="dxa"/>
          </w:tcPr>
          <w:p>
            <w:pPr/>
            <w:r>
              <w:t xml:space="preserve">Preview</w:t>
            </w:r>
          </w:p>
        </w:tc>
        <w:tc>
          <w:tcPr>
            <w:tcW w:w="4274" w:type="dxa"/>
          </w:tcPr>
          <w:p>
            <w:pPr/>
            <w:r>
              <w:t xml:space="preserve">coarse grid, steady wind</w:t>
            </w:r>
          </w:p>
        </w:tc>
      </w:tr>
      <w:tr>
        <w:tc>
          <w:tcPr>
            <w:tcW w:w="5085" w:type="dxa"/>
          </w:tcPr>
          <w:p>
            <w:pPr/>
            <w:r>
              <w:t xml:space="preserve">Fine grid, steady wind (Standard)</w:t>
            </w:r>
          </w:p>
        </w:tc>
        <w:tc>
          <w:tcPr>
            <w:tcW w:w="4274" w:type="dxa"/>
          </w:tcPr>
          <w:p>
            <w:pPr/>
            <w:r>
              <w:t xml:space="preserve">Standard grid, steady wind</w:t>
            </w:r>
          </w:p>
        </w:tc>
      </w:tr>
      <w:tr>
        <w:tc>
          <w:tcPr>
            <w:tcW w:w="5085" w:type="dxa"/>
          </w:tcPr>
          <w:p>
            <w:pPr/>
            <w:r>
              <w:t xml:space="preserve">Fine grid, gusty wind (High)</w:t>
            </w:r>
          </w:p>
        </w:tc>
        <w:tc>
          <w:tcPr>
            <w:tcW w:w="4274" w:type="dxa"/>
          </w:tcPr>
          <w:p>
            <w:pPr/>
            <w:r>
              <w:t xml:space="preserve">fine grid, EN 1991-1-4 gusts</w:t>
            </w:r>
          </w:p>
        </w:tc>
      </w:tr>
    </w:tbl>
    <w:p>
      <w:pPr/>
      <w:r>
        <w:t xml:space="preserve">“Air age used” says whether the numbers carry the steady or the online age.</w:t>
      </w:r>
    </w:p>
    <w:p>
      <w:pPr>
        <w:pStyle w:val="Heading3"/>
      </w:pPr>
      <w:r>
        <w:t xml:space="preserve">Rooms table</w:t>
      </w:r>
    </w:p>
    <w:tbl>
      <w:tblPr>
        <w:tblStyle w:val="TableGrid"/>
        <w:tblW w:w="0" w:type="auto"/>
        <w:tblLayout w:type="fixed"/>
        <w:tblLook w:val="04A0" w:firstRow="1" w:lastRow="0" w:firstColumn="0" w:lastColumn="0" w:noHBand="0" w:noVBand="1"/>
      </w:tblPr>
      <w:tblGrid>
        <w:gridCol w:w="3827"/>
        <w:gridCol w:w="5532"/>
      </w:tblGrid>
      <w:tr>
        <w:trPr>
          <w:tblHeader/>
        </w:trPr>
        <w:tc>
          <w:tcPr>
            <w:tcW w:w="3827" w:type="dxa"/>
            <w:shd w:val="clear" w:color="auto" w:fill="F3F0EA"/>
          </w:tcPr>
          <w:p>
            <w:pPr/>
            <w:r>
              <w:t xml:space="preserve">Column</w:t>
            </w:r>
          </w:p>
        </w:tc>
        <w:tc>
          <w:tcPr>
            <w:tcW w:w="5532" w:type="dxa"/>
            <w:shd w:val="clear" w:color="auto" w:fill="F3F0EA"/>
          </w:tcPr>
          <w:p>
            <w:pPr/>
            <w:r>
              <w:t xml:space="preserve">Meaning</w:t>
            </w:r>
          </w:p>
        </w:tc>
      </w:tr>
      <w:tr>
        <w:tc>
          <w:tcPr>
            <w:tcW w:w="3827" w:type="dxa"/>
          </w:tcPr>
          <w:p>
            <w:pPr/>
            <w:r>
              <w:t xml:space="preserve">Level, Name</w:t>
            </w:r>
          </w:p>
        </w:tc>
        <w:tc>
          <w:tcPr>
            <w:tcW w:w="5532" w:type="dxa"/>
          </w:tcPr>
          <w:p>
            <w:pPr/>
            <w:r>
              <w:t xml:space="preserve">Storey and room name</w:t>
            </w:r>
          </w:p>
        </w:tc>
      </w:tr>
      <w:tr>
        <w:tc>
          <w:tcPr>
            <w:tcW w:w="3827" w:type="dxa"/>
          </w:tcPr>
          <w:p>
            <w:pPr/>
            <w:r>
              <w:t xml:space="preserve">Vol m³</w:t>
            </w:r>
          </w:p>
        </w:tc>
        <w:tc>
          <w:tcPr>
            <w:tcW w:w="5532" w:type="dxa"/>
          </w:tcPr>
          <w:p>
            <w:pPr/>
            <w:r>
              <w:t xml:space="preserve">Room volume used to turn flows into air changes</w:t>
            </w:r>
          </w:p>
        </w:tc>
      </w:tr>
      <w:tr>
        <w:tc>
          <w:tcPr>
            <w:tcW w:w="3827" w:type="dxa"/>
          </w:tcPr>
          <w:p>
            <w:pPr/>
            <w:r>
              <w:t xml:space="preserve">Voxel m³</w:t>
            </w:r>
          </w:p>
        </w:tc>
        <w:tc>
          <w:tcPr>
            <w:tcW w:w="5532" w:type="dxa"/>
          </w:tcPr>
          <w:p>
            <w:pPr/>
            <w:r>
              <w:t xml:space="preserve">Air-cell volume the solver actually counted in the room</w:t>
            </w:r>
          </w:p>
        </w:tc>
      </w:tr>
      <w:tr>
        <w:tc>
          <w:tcPr>
            <w:tcW w:w="3827" w:type="dxa"/>
          </w:tcPr>
          <w:p>
            <w:pPr/>
            <w:r>
              <w:t xml:space="preserve">Nominal</w:t>
            </w:r>
          </w:p>
        </w:tc>
        <w:tc>
          <w:tcPr>
            <w:tcW w:w="5532" w:type="dxa"/>
          </w:tcPr>
          <w:p>
            <w:pPr/>
            <w:r>
              <w:t xml:space="preserve">yes = the drawn volume was used for ACH</w:t>
            </w:r>
          </w:p>
        </w:tc>
      </w:tr>
      <w:tr>
        <w:tc>
          <w:tcPr>
            <w:tcW w:w="3827" w:type="dxa"/>
          </w:tcPr>
          <w:p>
            <w:pPr/>
            <w:r>
              <w:t xml:space="preserve">Fresh-air ACH</w:t>
            </w:r>
          </w:p>
        </w:tc>
        <w:tc>
          <w:tcPr>
            <w:tcW w:w="5532" w:type="dxa"/>
          </w:tcPr>
          <w:p>
            <w:pPr/>
            <w:r>
              <w:t xml:space="preserve">3600 ÷ mean age; “—” not solved, “sealed” no air path, “†” under 3 cells across, “(steady)” online age not settled, “(drifting)” batches not levelled</w:t>
            </w:r>
          </w:p>
        </w:tc>
      </w:tr>
      <w:tr>
        <w:tc>
          <w:tcPr>
            <w:tcW w:w="3827" w:type="dxa"/>
          </w:tcPr>
          <w:p>
            <w:pPr/>
            <w:r>
              <w:t xml:space="preserve">±</w:t>
            </w:r>
          </w:p>
        </w:tc>
        <w:tc>
          <w:tcPr>
            <w:tcW w:w="5532" w:type="dxa"/>
          </w:tcPr>
          <w:p>
            <w:pPr/>
            <w:r>
              <w:t xml:space="preserve">Spread of the per-batch time-averaged age as fresh-air ACH (95 %, or the 99 % width a settled room was tested at); model error not included</w:t>
            </w:r>
          </w:p>
        </w:tc>
      </w:tr>
      <w:tr>
        <w:tc>
          <w:tcPr>
            <w:tcW w:w="3827" w:type="dxa"/>
          </w:tcPr>
          <w:p>
            <w:pPr/>
            <w:r>
              <w:t xml:space="preserve">Total exch.</w:t>
            </w:r>
          </w:p>
        </w:tc>
        <w:tc>
          <w:tcPr>
            <w:tcW w:w="5532" w:type="dxa"/>
          </w:tcPr>
          <w:p>
            <w:pPr/>
            <w:r>
              <w:t xml:space="preserve">All air entering the room, including from other rooms</w:t>
            </w:r>
          </w:p>
        </w:tc>
      </w:tr>
      <w:tr>
        <w:tc>
          <w:tcPr>
            <w:tcW w:w="3827" w:type="dxa"/>
          </w:tcPr>
          <w:p>
            <w:pPr/>
            <w:r>
              <w:t xml:space="preserve">Thru open.</w:t>
            </w:r>
          </w:p>
        </w:tc>
        <w:tc>
          <w:tcPr>
            <w:tcW w:w="5532" w:type="dxa"/>
          </w:tcPr>
          <w:p>
            <w:pPr/>
            <w:r>
              <w:t xml:space="preserve">Air entering through the room's listed windows and doors</w:t>
            </w:r>
          </w:p>
        </w:tc>
      </w:tr>
      <w:tr>
        <w:tc>
          <w:tcPr>
            <w:tcW w:w="3827" w:type="dxa"/>
          </w:tcPr>
          <w:p>
            <w:pPr/>
            <w:r>
              <w:t xml:space="preserve">Speed m/s</w:t>
            </w:r>
          </w:p>
        </w:tc>
        <w:tc>
          <w:tcPr>
            <w:tcW w:w="5532" w:type="dxa"/>
          </w:tcPr>
          <w:p>
            <w:pPr/>
            <w:r>
              <w:t xml:space="preserve">Mean occupied-zone speed (0.1 to 1.8 m)</w:t>
            </w:r>
          </w:p>
        </w:tc>
      </w:tr>
      <w:tr>
        <w:tc>
          <w:tcPr>
            <w:tcW w:w="3827" w:type="dxa"/>
          </w:tcPr>
          <w:p>
            <w:pPr/>
            <w:r>
              <w:t xml:space="preserve">Stagnant %</w:t>
            </w:r>
          </w:p>
        </w:tc>
        <w:tc>
          <w:tcPr>
            <w:tcW w:w="5532" w:type="dxa"/>
          </w:tcPr>
          <w:p>
            <w:pPr/>
            <w:r>
              <w:t xml:space="preserve">Share of the occupied zone below 0.10 m/s</w:t>
            </w:r>
          </w:p>
        </w:tc>
      </w:tr>
      <w:tr>
        <w:tc>
          <w:tcPr>
            <w:tcW w:w="3827" w:type="dxa"/>
          </w:tcPr>
          <w:p>
            <w:pPr/>
            <w:r>
              <w:t xml:space="preserve">Temp °C, Duty W</w:t>
            </w:r>
          </w:p>
        </w:tc>
        <w:tc>
          <w:tcPr>
            <w:tcW w:w="5532" w:type="dxa"/>
          </w:tcPr>
          <w:p>
            <w:pPr/>
            <w:r>
              <w:t xml:space="preserve">Thermal: occupied-zone temperature; heater (+) or cooler (−) duty, “—” free-running</w:t>
            </w:r>
          </w:p>
        </w:tc>
      </w:tr>
      <w:tr>
        <w:tc>
          <w:tcPr>
            <w:tcW w:w="3827" w:type="dxa"/>
          </w:tcPr>
          <w:p>
            <w:pPr/>
            <w:r>
              <w:t xml:space="preserve">CO2 ppm</w:t>
            </w:r>
          </w:p>
        </w:tc>
        <w:tc>
          <w:tcPr>
            <w:tcW w:w="5532" w:type="dxa"/>
          </w:tcPr>
          <w:p>
            <w:pPr/>
            <w:r>
              <w:t xml:space="preserve">Occupied-zone CO2</w:t>
            </w:r>
          </w:p>
        </w:tc>
      </w:tr>
      <w:tr>
        <w:tc>
          <w:tcPr>
            <w:tcW w:w="3827" w:type="dxa"/>
          </w:tcPr>
          <w:p>
            <w:pPr/>
            <w:r>
              <w:t xml:space="preserve">Age occ. min</w:t>
            </w:r>
          </w:p>
        </w:tc>
        <w:tc>
          <w:tcPr>
            <w:tcW w:w="5532" w:type="dxa"/>
          </w:tcPr>
          <w:p>
            <w:pPr/>
            <w:r>
              <w:t xml:space="preserve">Mean age in the occupied zone, minutes (“sealed” at the cap)</w:t>
            </w:r>
          </w:p>
        </w:tc>
      </w:tr>
      <w:tr>
        <w:tc>
          <w:tcPr>
            <w:tcW w:w="3827" w:type="dxa"/>
          </w:tcPr>
          <w:p>
            <w:pPr/>
            <w:r>
              <w:t xml:space="preserve">Air-change eff.</w:t>
            </w:r>
          </w:p>
        </w:tc>
        <w:tc>
          <w:tcPr>
            <w:tcW w:w="5532" w:type="dxa"/>
          </w:tcPr>
          <w:p>
            <w:pPr/>
            <w:r>
              <w:t xml:space="preserve">Exhaust age ÷ (2 × mean age); 0.5 fully mixed; needs ≥ 90 % outdoor feed</w:t>
            </w:r>
          </w:p>
        </w:tc>
      </w:tr>
      <w:tr>
        <w:tc>
          <w:tcPr>
            <w:tcW w:w="3827" w:type="dxa"/>
          </w:tcPr>
          <w:p>
            <w:pPr/>
            <w:r>
              <w:t xml:space="preserve">Comfort %, Draught %</w:t>
            </w:r>
          </w:p>
        </w:tc>
        <w:tc>
          <w:tcPr>
            <w:tcW w:w="5532" w:type="dxa"/>
          </w:tcPr>
          <w:p>
            <w:pPr/>
            <w:r>
              <w:t xml:space="preserve">Share with PMV within ±0.5; share with draught rate above 20 %</w:t>
            </w:r>
          </w:p>
        </w:tc>
      </w:tr>
    </w:tbl>
    <w:p>
      <w:pPr/>
      <w:r>
        <w:rPr>
          <w:b/>
        </w:rPr>
        <w:t xml:space="preserve">Openings table:</w:t>
      </w:r>
      <w:r>
        <w:t xml:space="preserve"> name, level, kind, open or closed, flow in and out (m³/s). </w:t>
      </w:r>
      <w:r>
        <w:rPr>
          <w:b/>
        </w:rPr>
        <w:t xml:space="preserve">Sources table:</w:t>
      </w:r>
      <w:r>
        <w:t xml:space="preserve"> each device's set and measured flow (m³/h; “—” if off). </w:t>
      </w:r>
      <w:r>
        <w:rPr>
          <w:b/>
        </w:rPr>
        <w:t xml:space="preserve">Figures:</w:t>
      </w:r>
      <w:r>
        <w:t xml:space="preserve"> captioned plan and section images. </w:t>
      </w:r>
      <w:r>
        <w:rPr>
          <w:b/>
        </w:rPr>
        <w:t xml:space="preserve">Notes:</w:t>
      </w:r>
      <w:r>
        <w:t xml:space="preserve"> where the result is less certain; they do not mean it is wrong, and repeats are grouped into one line.</w:t>
      </w:r>
    </w:p>
    <w:p>
      <w:pPr>
        <w:pStyle w:val="Heading3"/>
      </w:pPr>
      <w:r>
        <w:t xml:space="preserve">Trust line and comfort words in the app</w:t>
      </w:r>
    </w:p>
    <w:p>
      <w:pPr/>
      <w:r>
        <w:t xml:space="preserve">The trust line under the panel shows the mass balance as a dot and a phrase, plus “N notes” that open to plain sentences.</w:t>
      </w:r>
    </w:p>
    <w:tbl>
      <w:tblPr>
        <w:tblStyle w:val="TableGrid"/>
        <w:tblW w:w="0" w:type="auto"/>
        <w:tblLayout w:type="fixed"/>
        <w:tblLook w:val="04A0" w:firstRow="1" w:lastRow="0" w:firstColumn="0" w:lastColumn="0" w:noHBand="0" w:noVBand="1"/>
      </w:tblPr>
      <w:tblGrid>
        <w:gridCol w:w="2625"/>
        <w:gridCol w:w="6734"/>
      </w:tblGrid>
      <w:tr>
        <w:trPr>
          <w:tblHeader/>
        </w:trPr>
        <w:tc>
          <w:tcPr>
            <w:tcW w:w="2625" w:type="dxa"/>
            <w:shd w:val="clear" w:color="auto" w:fill="F3F0EA"/>
          </w:tcPr>
          <w:p>
            <w:pPr/>
            <w:r>
              <w:t xml:space="preserve">Word on a room</w:t>
            </w:r>
          </w:p>
        </w:tc>
        <w:tc>
          <w:tcPr>
            <w:tcW w:w="6734" w:type="dxa"/>
            <w:shd w:val="clear" w:color="auto" w:fill="F3F0EA"/>
          </w:tcPr>
          <w:p>
            <w:pPr/>
            <w:r>
              <w:t xml:space="preserve">Trigger</w:t>
            </w:r>
          </w:p>
        </w:tc>
      </w:tr>
      <w:tr>
        <w:tc>
          <w:tcPr>
            <w:tcW w:w="2625" w:type="dxa"/>
          </w:tcPr>
          <w:p>
            <w:pPr/>
            <w:r>
              <w:t xml:space="preserve">stuffy</w:t>
            </w:r>
          </w:p>
        </w:tc>
        <w:tc>
          <w:tcPr>
            <w:tcW w:w="6734" w:type="dxa"/>
          </w:tcPr>
          <w:p>
            <w:pPr/>
            <w:r>
              <w:t xml:space="preserve">red fresh-air band</w:t>
            </w:r>
          </w:p>
        </w:tc>
      </w:tr>
      <w:tr>
        <w:tc>
          <w:tcPr>
            <w:tcW w:w="2625" w:type="dxa"/>
          </w:tcPr>
          <w:p>
            <w:pPr/>
            <w:r>
              <w:t xml:space="preserve">draughty</w:t>
            </w:r>
          </w:p>
        </w:tc>
        <w:tc>
          <w:tcPr>
            <w:tcW w:w="6734" w:type="dxa"/>
          </w:tcPr>
          <w:p>
            <w:pPr/>
            <w:r>
              <w:t xml:space="preserve">mean occupied-zone speed above 0.8 m/s</w:t>
            </w:r>
          </w:p>
        </w:tc>
      </w:tr>
      <w:tr>
        <w:tc>
          <w:tcPr>
            <w:tcW w:w="2625" w:type="dxa"/>
          </w:tcPr>
          <w:p>
            <w:pPr/>
            <w:r>
              <w:t xml:space="preserve">uneven</w:t>
            </w:r>
          </w:p>
        </w:tc>
        <w:tc>
          <w:tcPr>
            <w:tcW w:w="6734" w:type="dxa"/>
          </w:tcPr>
          <w:p>
            <w:pPr/>
            <w:r>
              <w:t xml:space="preserve">plenty of air but over 40 % of the room still</w:t>
            </w:r>
          </w:p>
        </w:tc>
      </w:tr>
      <w:tr>
        <w:tc>
          <w:tcPr>
            <w:tcW w:w="2625" w:type="dxa"/>
          </w:tcPr>
          <w:p>
            <w:pPr/>
            <w:r>
              <w:t xml:space="preserve">open air</w:t>
            </w:r>
          </w:p>
        </w:tc>
        <w:tc>
          <w:tcPr>
            <w:tcW w:w="6734" w:type="dxa"/>
          </w:tcPr>
          <w:p>
            <w:pPr/>
            <w:r>
              <w:t xml:space="preserve">room outline drawn through open air</w:t>
            </w:r>
          </w:p>
        </w:tc>
      </w:tr>
    </w:tbl>
    <w:p>
      <w:pPr>
        <w:pStyle w:val="Heading3"/>
      </w:pPr>
      <w:r>
        <w:t xml:space="preserve">The age wording on each variant</w:t>
      </w:r>
    </w:p>
    <w:p>
      <w:pPr>
        <w:pStyle w:val="ListParagraph"/>
        <w:numPr>
          <w:ilvl w:val="0"/>
          <w:numId w:val="15"/>
        </w:numPr>
      </w:pPr>
      <w:r>
        <w:rPr>
          <w:b/>
        </w:rPr>
        <w:t xml:space="preserve">Preview or a steady-age result:</w:t>
      </w:r>
      <w:r>
        <w:t xml:space="preserve"> fresh-air ACH comes from the steady age on the averaged flow; it can differ from the age followed through time by about 30 % either way per room, reading lower in slowly recirculating rooms and higher in fast-flushed ones.</w:t>
      </w:r>
    </w:p>
    <w:p>
      <w:pPr>
        <w:pStyle w:val="ListParagraph"/>
        <w:numPr>
          <w:ilvl w:val="0"/>
          <w:numId w:val="15"/>
        </w:numPr>
      </w:pPr>
      <w:r>
        <w:rPr>
          <w:b/>
        </w:rPr>
        <w:t xml:space="preserve">Standard on a fine grid:</w:t>
      </w:r>
      <w:r>
        <w:t xml:space="preserve"> fresh-air ACH is the age followed through time, with turbulent mixing, in each room whose age settled. A room marked “steady age” did not settle in time and uses the steady age, with no ±.</w:t>
      </w:r>
    </w:p>
    <w:p>
      <w:pPr>
        <w:pStyle w:val="ListParagraph"/>
        <w:numPr>
          <w:ilvl w:val="0"/>
          <w:numId w:val="15"/>
        </w:numPr>
      </w:pPr>
      <w:r>
        <w:rPr>
          <w:b/>
        </w:rPr>
        <w:t xml:space="preserve">High:</w:t>
      </w:r>
      <w:r>
        <w:t xml:space="preserve"> in gusty wind the headline is the age followed through the gusts. The steady-age value ignores gust mixing and usually reads lower, up to about 3 times, though not in every room.</w:t>
      </w:r>
    </w:p>
    <w:p>
      <w:pPr>
        <w:pStyle w:val="ListParagraph"/>
        <w:numPr>
          <w:ilvl w:val="0"/>
          <w:numId w:val="15"/>
        </w:numPr>
      </w:pPr>
      <w:r>
        <w:rPr>
          <w:b/>
        </w:rPr>
        <w:t xml:space="preserve">Every variant:</w:t>
      </w:r>
      <w:r>
        <w:t xml:space="preserve"> a small change of grid size can move one room by up to about 35 % and the building by about 20 %. Compare design options on the same grid.</w:t>
      </w:r>
    </w:p>
    <w:p>
      <w:pPr>
        <w:pStyle w:val="Heading2"/>
      </w:pPr>
      <w:r>
        <w:t xml:space="preserve">14. Reference values and references</w:t>
      </w:r>
    </w:p>
    <w:p>
      <w:pPr>
        <w:pStyle w:val="Heading3"/>
      </w:pPr>
      <w:r>
        <w:t xml:space="preserve">Reference values (design guidance, not compliance)</w:t>
      </w:r>
    </w:p>
    <w:tbl>
      <w:tblPr>
        <w:tblStyle w:val="TableGrid"/>
        <w:tblW w:w="0" w:type="auto"/>
        <w:tblLayout w:type="fixed"/>
        <w:tblLook w:val="04A0" w:firstRow="1" w:lastRow="0" w:firstColumn="0" w:lastColumn="0" w:noHBand="0" w:noVBand="1"/>
      </w:tblPr>
      <w:tblGrid>
        <w:gridCol w:w="2462"/>
        <w:gridCol w:w="4121"/>
        <w:gridCol w:w="2776"/>
      </w:tblGrid>
      <w:tr>
        <w:trPr>
          <w:tblHeader/>
        </w:trPr>
        <w:tc>
          <w:tcPr>
            <w:tcW w:w="2462" w:type="dxa"/>
            <w:shd w:val="clear" w:color="auto" w:fill="F3F0EA"/>
          </w:tcPr>
          <w:p>
            <w:pPr/>
            <w:r>
              <w:t xml:space="preserve">Quantity</w:t>
            </w:r>
          </w:p>
        </w:tc>
        <w:tc>
          <w:tcPr>
            <w:tcW w:w="4121" w:type="dxa"/>
            <w:shd w:val="clear" w:color="auto" w:fill="F3F0EA"/>
          </w:tcPr>
          <w:p>
            <w:pPr/>
            <w:r>
              <w:t xml:space="preserve">Guidance</w:t>
            </w:r>
          </w:p>
        </w:tc>
        <w:tc>
          <w:tcPr>
            <w:tcW w:w="2776" w:type="dxa"/>
            <w:shd w:val="clear" w:color="auto" w:fill="F3F0EA"/>
          </w:tcPr>
          <w:p>
            <w:pPr/>
            <w:r>
              <w:t xml:space="preserve">Source</w:t>
            </w:r>
          </w:p>
        </w:tc>
      </w:tr>
      <w:tr>
        <w:tc>
          <w:tcPr>
            <w:tcW w:w="2462" w:type="dxa"/>
          </w:tcPr>
          <w:p>
            <w:pPr/>
            <w:r>
              <w:t xml:space="preserve">Outdoor air, offices</w:t>
            </w:r>
          </w:p>
        </w:tc>
        <w:tc>
          <w:tcPr>
            <w:tcW w:w="4121" w:type="dxa"/>
          </w:tcPr>
          <w:p>
            <w:pPr/>
            <w:r>
              <w:t xml:space="preserve">about 2.5 L/s per person plus 0.3 L/s per m²</w:t>
            </w:r>
          </w:p>
        </w:tc>
        <w:tc>
          <w:tcPr>
            <w:tcW w:w="2776" w:type="dxa"/>
          </w:tcPr>
          <w:p>
            <w:pPr/>
            <w:r>
              <w:t xml:space="preserve">ASHRAE 62.1-2022, Table 6-1</w:t>
            </w:r>
          </w:p>
        </w:tc>
      </w:tr>
      <w:tr>
        <w:tc>
          <w:tcPr>
            <w:tcW w:w="2462" w:type="dxa"/>
          </w:tcPr>
          <w:p>
            <w:pPr/>
            <w:r>
              <w:t xml:space="preserve">Thermal comfort</w:t>
            </w:r>
          </w:p>
        </w:tc>
        <w:tc>
          <w:tcPr>
            <w:tcW w:w="4121" w:type="dxa"/>
          </w:tcPr>
          <w:p>
            <w:pPr/>
            <w:r>
              <w:t xml:space="preserve">|PMV| ≤ 0.5 and PPD ≤ 10 %</w:t>
            </w:r>
          </w:p>
        </w:tc>
        <w:tc>
          <w:tcPr>
            <w:tcW w:w="2776" w:type="dxa"/>
          </w:tcPr>
          <w:p>
            <w:pPr/>
            <w:r>
              <w:t xml:space="preserve">ASHRAE 55</w:t>
            </w:r>
          </w:p>
        </w:tc>
      </w:tr>
      <w:tr>
        <w:tc>
          <w:tcPr>
            <w:tcW w:w="2462" w:type="dxa"/>
          </w:tcPr>
          <w:p>
            <w:pPr/>
            <w:r>
              <w:t xml:space="preserve">Draught</w:t>
            </w:r>
          </w:p>
        </w:tc>
        <w:tc>
          <w:tcPr>
            <w:tcW w:w="4121" w:type="dxa"/>
          </w:tcPr>
          <w:p>
            <w:pPr/>
            <w:r>
              <w:t xml:space="preserve">draught rate DR below 20 %</w:t>
            </w:r>
          </w:p>
        </w:tc>
        <w:tc>
          <w:tcPr>
            <w:tcW w:w="2776" w:type="dxa"/>
          </w:tcPr>
          <w:p>
            <w:pPr/>
            <w:r>
              <w:t xml:space="preserve">ISO 7730 (not ASHRAE 55)</w:t>
            </w:r>
          </w:p>
        </w:tc>
      </w:tr>
      <w:tr>
        <w:tc>
          <w:tcPr>
            <w:tcW w:w="2462" w:type="dxa"/>
          </w:tcPr>
          <w:p>
            <w:pPr/>
            <w:r>
              <w:t xml:space="preserve">CO2 as a ventilation indicator</w:t>
            </w:r>
          </w:p>
        </w:tc>
        <w:tc>
          <w:tcPr>
            <w:tcW w:w="4121" w:type="dxa"/>
          </w:tcPr>
          <w:p>
            <w:pPr/>
            <w:r>
              <w:t xml:space="preserve">about 1,000 ppm often used</w:t>
            </w:r>
          </w:p>
        </w:tc>
        <w:tc>
          <w:tcPr>
            <w:tcW w:w="2776" w:type="dxa"/>
          </w:tcPr>
          <w:p>
            <w:pPr/>
            <w:r>
              <w:t xml:space="preserve">common practice</w:t>
            </w:r>
          </w:p>
        </w:tc>
      </w:tr>
    </w:tbl>
    <w:p>
      <w:pPr>
        <w:pStyle w:val="Heading3"/>
      </w:pPr>
      <w:r>
        <w:t xml:space="preserve">References</w:t>
      </w:r>
    </w:p>
    <w:p>
      <w:pPr>
        <w:pStyle w:val="ListParagraph"/>
        <w:numPr>
          <w:ilvl w:val="0"/>
          <w:numId w:val="16"/>
        </w:numPr>
      </w:pPr>
      <w:r>
        <w:rPr>
          <w:b/>
        </w:rPr>
        <w:t xml:space="preserve">Age of air and air-change efficiency:</w:t>
      </w:r>
      <w:r>
        <w:t xml:space="preserve"> Sandberg (1981); Sandberg &amp; Sjöberg (1983); ISO 16000-8; ASHRAE 129; Etheridge &amp; Sandberg (1996); ASHRAE Fundamentals, chapter 16; Hurraß (2026).</w:t>
      </w:r>
    </w:p>
    <w:p>
      <w:pPr>
        <w:pStyle w:val="ListParagraph"/>
        <w:numPr>
          <w:ilvl w:val="0"/>
          <w:numId w:val="16"/>
        </w:numPr>
      </w:pPr>
      <w:r>
        <w:rPr>
          <w:b/>
        </w:rPr>
        <w:t xml:space="preserve">Lattice Boltzmann and walls:</w:t>
      </w:r>
      <w:r>
        <w:t xml:space="preserve"> Bouzidi, Firdaouss &amp; Lallemand (2001), interpolated walls; Ladd, moving-wall bounce-back; Guo, body-force model; Werner &amp; Wengle, wall function; Smagorinsky, sub-grid model.</w:t>
      </w:r>
    </w:p>
    <w:p>
      <w:pPr>
        <w:pStyle w:val="ListParagraph"/>
        <w:numPr>
          <w:ilvl w:val="0"/>
          <w:numId w:val="16"/>
        </w:numPr>
      </w:pPr>
      <w:r>
        <w:rPr>
          <w:b/>
        </w:rPr>
        <w:t xml:space="preserve">Orifices:</w:t>
      </w:r>
      <w:r>
        <w:t xml:space="preserve"> Idelchik; ISO 5167.</w:t>
      </w:r>
    </w:p>
    <w:p>
      <w:pPr>
        <w:pStyle w:val="ListParagraph"/>
        <w:numPr>
          <w:ilvl w:val="0"/>
          <w:numId w:val="16"/>
        </w:numPr>
      </w:pPr>
      <w:r>
        <w:rPr>
          <w:b/>
        </w:rPr>
        <w:t xml:space="preserve">Measured rooms:</w:t>
      </w:r>
      <w:r>
        <w:t xml:space="preserve"> Nielsen (1990), IEA Annex 20; Restivo (1979) LDA data; Kuznik, Rusaouen &amp; Brau (2008), Build. Simul. 1:72–82; Gresse, Merlier &amp; Kuznik (2020), Data in Brief 29:105382.</w:t>
      </w:r>
    </w:p>
    <w:p>
      <w:pPr>
        <w:pStyle w:val="ListParagraph"/>
        <w:numPr>
          <w:ilvl w:val="0"/>
          <w:numId w:val="16"/>
        </w:numPr>
      </w:pPr>
      <w:r>
        <w:rPr>
          <w:b/>
        </w:rPr>
        <w:t xml:space="preserve">Cross-ventilation:</w:t>
      </w:r>
      <w:r>
        <w:t xml:space="preserve"> Tominaga &amp; Blocken (2015), Build. Environ. 92:452–461; Tominaga &amp; Blocken (2016), JWEIA 155; van Hooff, Blocken &amp; Tominaga (2017), Build. Environ. 114; Karava et al. (PIV); Hwang &amp; Gorlé (2022), LES; Costola et al. (2009); Ramponi &amp; Blocken (2012); Swami &amp; Chandra.</w:t>
      </w:r>
    </w:p>
    <w:p>
      <w:pPr>
        <w:pStyle w:val="ListParagraph"/>
        <w:numPr>
          <w:ilvl w:val="0"/>
          <w:numId w:val="16"/>
        </w:numPr>
      </w:pPr>
      <w:r>
        <w:rPr>
          <w:b/>
        </w:rPr>
        <w:t xml:space="preserve">Heated cavity:</w:t>
      </w:r>
      <w:r>
        <w:t xml:space="preserve"> de Vahl Davis (1983); Fusegi et al. (1991); Tric, Labrosse &amp; Betrouni (2000).</w:t>
      </w:r>
    </w:p>
    <w:p>
      <w:pPr>
        <w:pStyle w:val="ListParagraph"/>
        <w:numPr>
          <w:ilvl w:val="0"/>
          <w:numId w:val="16"/>
        </w:numPr>
      </w:pPr>
      <w:r>
        <w:rPr>
          <w:b/>
        </w:rPr>
        <w:t xml:space="preserve">Plumes and filling box:</w:t>
      </w:r>
      <w:r>
        <w:t xml:space="preserve"> Baines &amp; Turner (1969); Worster &amp; Huppert (1983); Morton, Taylor &amp; Turner; van den Bremer &amp; Hunt (2010), JFM 644:165; Alamdari &amp; Hammond, convection correlation.</w:t>
      </w:r>
    </w:p>
    <w:p>
      <w:pPr>
        <w:pStyle w:val="ListParagraph"/>
        <w:numPr>
          <w:ilvl w:val="0"/>
          <w:numId w:val="16"/>
        </w:numPr>
      </w:pPr>
      <w:r>
        <w:rPr>
          <w:b/>
        </w:rPr>
        <w:t xml:space="preserve">Model evaluation:</w:t>
      </w:r>
      <w:r>
        <w:t xml:space="preserve"> Chang &amp; Hanna (2004); Hanna &amp; Chang (2012); VDI 3783-9; COST 732; Law &amp; Kelton, batch means.</w:t>
      </w:r>
    </w:p>
    <w:p>
      <w:pPr>
        <w:pStyle w:val="ListParagraph"/>
        <w:numPr>
          <w:ilvl w:val="0"/>
          <w:numId w:val="16"/>
        </w:numPr>
      </w:pPr>
      <w:r>
        <w:rPr>
          <w:b/>
        </w:rPr>
        <w:t xml:space="preserve">Wind:</w:t>
      </w:r>
      <w:r>
        <w:t xml:space="preserve"> EN 1991-1-4; Smirnov, turbulence decorrelation.</w:t>
      </w:r>
    </w:p>
    <w:p>
      <w:pPr>
        <w:pStyle w:val="ListParagraph"/>
        <w:numPr>
          <w:ilvl w:val="0"/>
          <w:numId w:val="16"/>
        </w:numPr>
      </w:pPr>
      <w:r>
        <w:rPr>
          <w:b/>
        </w:rPr>
        <w:t xml:space="preserve">Guidance values:</w:t>
      </w:r>
      <w:r>
        <w:t xml:space="preserve"> ASHRAE 62.1-2022; ASHRAE 55; ISO 7730.</w:t>
      </w:r>
    </w:p>
    <w:p>
      <w:pPr/>
      <w:r>
        <w:t xml:space="preserve">For developers: WindFlow has a command-line mode, documented in the source repository (github.com/Bijaykars/Windflow) with the test suite; the validation results are summarised in VALIDATION.md there.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1"/>
    <w:lvlOverride w:ilvl="0">
      <w:startOverride w:val="1"/>
    </w:lvlOverride>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bering>
</file>

<file path=word/styles.xml><?xml version="1.0" encoding="utf-8"?>
<w:styles xmlns:w="http://schemas.openxmlformats.org/wordprocessingml/2006/main">
  <w:docDefaults>
    <w:rPrDefault>
      <w:rPr>
        <w:rFonts w:ascii="Segoe UI" w:hAnsi="Segoe UI" w:eastAsia="Segoe UI" w:cs="Segoe UI"/>
        <w:color w:val="2B2B2B"/>
        <w:sz w:val="21"/>
        <w:szCs w:val="21"/>
        <w:lang w:val="en-US"/>
      </w:rPr>
    </w:rPrDefault>
    <w:pPrDefault>
      <w:pPr>
        <w:spacing w:after="120" w:line="300"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rFonts w:ascii="Georgia" w:hAnsi="Georgia" w:eastAsia="Georgia" w:cs="Georgia"/>
      <w:b w:val="0"/>
      <w:bCs w:val="0"/>
      <w:color w:val="1F1F1F"/>
      <w:sz w:val="36"/>
      <w:szCs w:val="36"/>
    </w:rPr>
  </w:style>
  <w:style w:type="paragraph" w:styleId="Heading2">
    <w:name w:val="heading 2"/>
    <w:basedOn w:val="Normal"/>
    <w:next w:val="Normal"/>
    <w:qFormat/>
    <w:pPr>
      <w:keepNext/>
      <w:spacing w:before="280" w:after="120"/>
      <w:outlineLvl w:val="1"/>
    </w:pPr>
    <w:rPr>
      <w:rFonts w:ascii="Georgia" w:hAnsi="Georgia" w:eastAsia="Georgia" w:cs="Georgia"/>
      <w:b w:val="0"/>
      <w:bCs w:val="0"/>
      <w:color w:val="1F1F1F"/>
      <w:sz w:val="28"/>
      <w:szCs w:val="28"/>
    </w:rPr>
  </w:style>
  <w:style w:type="paragraph" w:styleId="Heading3">
    <w:name w:val="heading 3"/>
    <w:basedOn w:val="Normal"/>
    <w:next w:val="Normal"/>
    <w:qFormat/>
    <w:pPr>
      <w:keepNext/>
      <w:spacing w:before="200" w:after="120"/>
      <w:outlineLvl w:val="2"/>
    </w:pPr>
    <w:rPr>
      <w:rFonts w:ascii="Georgia" w:hAnsi="Georgia" w:eastAsia="Georgia" w:cs="Georgia"/>
      <w:b w:val="0"/>
      <w:bCs w:val="0"/>
      <w:color w:val="1F1F1F"/>
      <w:sz w:val="24"/>
      <w:szCs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120"/>
      <w:contextualSpacing/>
    </w:pPr>
    <w:rPr>
      <w:rFonts w:ascii="Georgia" w:hAnsi="Georgia" w:eastAsia="Georgia" w:cs="Georgia"/>
      <w:b w:val="0"/>
      <w:bCs w:val="0"/>
      <w:color w:val="1F1F1F"/>
      <w:sz w:val="52"/>
      <w:szCs w:val="52"/>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pPr>
      <w:spacing w:before="40" w:after="40" w:line="264" w:lineRule="auto"/>
    </w:pPr>
    <w:rPr>
      <w:rFonts w:ascii="Segoe UI" w:hAnsi="Segoe UI" w:eastAsia="Segoe UI" w:cs="Segoe UI"/>
      <w:sz w:val="19"/>
      <w:szCs w:val="19"/>
    </w:rPr>
    <w:tblPr>
      <w:tblBorders>
        <w:top w:val="single" w:sz="4" w:space="0" w:color="D9D5CC"/>
        <w:left w:val="single" w:sz="4" w:space="0" w:color="D9D5CC"/>
        <w:bottom w:val="single" w:sz="4" w:space="0" w:color="D9D5CC"/>
        <w:right w:val="single" w:sz="4" w:space="0" w:color="D9D5CC"/>
        <w:insideH w:val="single" w:sz="4" w:space="0" w:color="D9D5CC"/>
        <w:insideV w:val="single" w:sz="4" w:space="0" w:color="D9D5CC"/>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WindFlow — Technical Reference</dc:title>
  <dc:description>Claude Docs node/d091dc6a-4f6c@30 docx-w7</dc:description>
  <cp:revision>30</cp:revision>
</cp:coreProperties>
</file>