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Confessionalisering en het tijdperk van de Verlichting in het vorstbisdom Münster</w:t>
      </w:r>
    </w:p>
    <w:p w:rsidR="00000000" w:rsidDel="00000000" w:rsidP="00000000" w:rsidRDefault="00000000" w:rsidRPr="00000000" w14:paraId="00000002">
      <w:pPr>
        <w:spacing w:after="240" w:before="240" w:lineRule="auto"/>
        <w:rPr/>
      </w:pPr>
      <w:r w:rsidDel="00000000" w:rsidR="00000000" w:rsidRPr="00000000">
        <w:rPr>
          <w:rtl w:val="0"/>
        </w:rPr>
        <w:t xml:space="preserve">Vanaf 1585 voltrok zich in het vorstbisdom Münster over een periode van bijna honderd jaar een proces waarin, binnen de pluriformiteit van religieuze levensvormen die zich sinds de Reformatie hadden ontwikkeld, werd gestreefd naar een confessioneel homogeen territorium²⁸⁴. In dit proces van </w:t>
      </w:r>
      <w:r w:rsidDel="00000000" w:rsidR="00000000" w:rsidRPr="00000000">
        <w:rPr>
          <w:b w:val="1"/>
          <w:bCs w:val="1"/>
          <w:rtl w:val="0"/>
        </w:rPr>
        <w:t xml:space="preserve">confessionalisering</w:t>
      </w:r>
      <w:r w:rsidDel="00000000" w:rsidR="00000000" w:rsidRPr="00000000">
        <w:rPr>
          <w:rtl w:val="0"/>
        </w:rPr>
        <w:t xml:space="preserve"> werd de vorming van een nieuwe, traditioneel gekleurde katholieke kerkstructuur verbonden met een nieuwe staatsvorm – het absolutisme –, al week dit slechts beperkt af van de middeleeuwse structuren van de geestelijke territoria, en voltrok zich vooral binnen een confessioneel eigen kader.</w:t>
      </w:r>
    </w:p>
    <w:p w:rsidR="00000000" w:rsidDel="00000000" w:rsidP="00000000" w:rsidRDefault="00000000" w:rsidRPr="00000000" w14:paraId="00000003">
      <w:pPr>
        <w:spacing w:after="240" w:before="240" w:lineRule="auto"/>
        <w:rPr/>
      </w:pPr>
      <w:r w:rsidDel="00000000" w:rsidR="00000000" w:rsidRPr="00000000">
        <w:rPr>
          <w:rtl w:val="0"/>
        </w:rPr>
        <w:t xml:space="preserve">Deze periode valt grotendeels samen met het bestuur van de bisschoppen </w:t>
      </w:r>
      <w:r w:rsidDel="00000000" w:rsidR="00000000" w:rsidRPr="00000000">
        <w:rPr>
          <w:b w:val="1"/>
          <w:bCs w:val="1"/>
          <w:rtl w:val="0"/>
        </w:rPr>
        <w:t xml:space="preserve">Ernst van Beieren (1585–1612)</w:t>
      </w:r>
      <w:r w:rsidDel="00000000" w:rsidR="00000000" w:rsidRPr="00000000">
        <w:rPr>
          <w:rtl w:val="0"/>
        </w:rPr>
        <w:t xml:space="preserve">, </w:t>
      </w:r>
      <w:r w:rsidDel="00000000" w:rsidR="00000000" w:rsidRPr="00000000">
        <w:rPr>
          <w:b w:val="1"/>
          <w:bCs w:val="1"/>
          <w:rtl w:val="0"/>
        </w:rPr>
        <w:t xml:space="preserve">Ferdinand van Beieren (1612–1650)</w:t>
      </w:r>
      <w:r w:rsidDel="00000000" w:rsidR="00000000" w:rsidRPr="00000000">
        <w:rPr>
          <w:rtl w:val="0"/>
        </w:rPr>
        <w:t xml:space="preserve"> en </w:t>
      </w:r>
      <w:r w:rsidDel="00000000" w:rsidR="00000000" w:rsidRPr="00000000">
        <w:rPr>
          <w:b w:val="1"/>
          <w:bCs w:val="1"/>
          <w:rtl w:val="0"/>
        </w:rPr>
        <w:t xml:space="preserve">Christoph Bernhard von Galen (1606–1678)</w:t>
      </w:r>
      <w:r w:rsidDel="00000000" w:rsidR="00000000" w:rsidRPr="00000000">
        <w:rPr>
          <w:rtl w:val="0"/>
        </w:rPr>
        <w:t xml:space="preserve">, en komt daarmee overeen met het tijdvak van de **Dertigjarige Oorlog (1618–1648)**²⁸⁵.</w:t>
      </w:r>
    </w:p>
    <w:p w:rsidR="00000000" w:rsidDel="00000000" w:rsidP="00000000" w:rsidRDefault="00000000" w:rsidRPr="00000000" w14:paraId="00000004">
      <w:pPr>
        <w:spacing w:after="240" w:before="240" w:lineRule="auto"/>
        <w:rPr/>
      </w:pPr>
      <w:r w:rsidDel="00000000" w:rsidR="00000000" w:rsidRPr="00000000">
        <w:rPr>
          <w:rtl w:val="0"/>
        </w:rPr>
        <w:t xml:space="preserve">De toegenomen heerserschapsaanspraken van vorstbisschoppen binnen een zich vormende staat kwamen tot uiting in het feit dat het concilie grotendeels de besluiten van de bisschop bevestigde, die een uitvoerende hervormingsmacht naar zich toetrok. Deze macht werd versterkt via het </w:t>
      </w:r>
      <w:r w:rsidDel="00000000" w:rsidR="00000000" w:rsidRPr="00000000">
        <w:rPr>
          <w:b w:val="1"/>
          <w:bCs w:val="1"/>
          <w:rtl w:val="0"/>
        </w:rPr>
        <w:t xml:space="preserve">officium episcopale</w:t>
      </w:r>
      <w:r w:rsidDel="00000000" w:rsidR="00000000" w:rsidRPr="00000000">
        <w:rPr>
          <w:rtl w:val="0"/>
        </w:rPr>
        <w:t xml:space="preserve">, dat werd hervormd met het oog op een centralere staatsstructuur en tegelijkertijd als bestuurscentrum van het bisdom fungeerde. Daarbij verloor het domkapittel steeds meer terrein aan de bisschop²⁸⁶.</w:t>
      </w:r>
    </w:p>
    <w:p w:rsidR="00000000" w:rsidDel="00000000" w:rsidP="00000000" w:rsidRDefault="00000000" w:rsidRPr="00000000" w14:paraId="00000005">
      <w:pPr>
        <w:spacing w:after="240" w:before="240" w:lineRule="auto"/>
        <w:rPr/>
      </w:pPr>
      <w:r w:rsidDel="00000000" w:rsidR="00000000" w:rsidRPr="00000000">
        <w:rPr>
          <w:rtl w:val="0"/>
        </w:rPr>
        <w:t xml:space="preserve">Evenzo mislukte de protestantse hervorming van het bisdom onder Franz von Waldeck doordat deze werd gezien als een inbreuk op de machtsstructuren van de bisschop²⁸⁷.</w:t>
      </w:r>
    </w:p>
    <w:p w:rsidR="00000000" w:rsidDel="00000000" w:rsidP="00000000" w:rsidRDefault="00000000" w:rsidRPr="00000000" w14:paraId="00000006">
      <w:pPr>
        <w:spacing w:after="240" w:before="240" w:lineRule="auto"/>
        <w:rPr/>
      </w:pPr>
      <w:r w:rsidDel="00000000" w:rsidR="00000000" w:rsidRPr="00000000">
        <w:rPr>
          <w:rtl w:val="0"/>
        </w:rPr>
        <w:t xml:space="preserve">Vanaf 1601 werd naar Beiers voorbeeld een </w:t>
      </w:r>
      <w:r w:rsidDel="00000000" w:rsidR="00000000" w:rsidRPr="00000000">
        <w:rPr>
          <w:b w:val="1"/>
          <w:bCs w:val="1"/>
          <w:rtl w:val="0"/>
        </w:rPr>
        <w:t xml:space="preserve">‘geestelijke raad’</w:t>
      </w:r>
      <w:r w:rsidDel="00000000" w:rsidR="00000000" w:rsidRPr="00000000">
        <w:rPr>
          <w:rtl w:val="0"/>
        </w:rPr>
        <w:t xml:space="preserve"> ingesteld, die als tegenmacht moest optreden tegen dreigende hervormingsmaatregelen. Daarbij ging het met name om het verhinderen van hervormingen als de beoordeling van de leer en levenswandel van geestelijken, die tot conflicten met de </w:t>
      </w:r>
      <w:r w:rsidDel="00000000" w:rsidR="00000000" w:rsidRPr="00000000">
        <w:rPr>
          <w:b w:val="1"/>
          <w:bCs w:val="1"/>
          <w:rtl w:val="0"/>
        </w:rPr>
        <w:t xml:space="preserve">aartsdiaconaten</w:t>
      </w:r>
      <w:r w:rsidDel="00000000" w:rsidR="00000000" w:rsidRPr="00000000">
        <w:rPr>
          <w:rtl w:val="0"/>
        </w:rPr>
        <w:t xml:space="preserve"> leidden. Deze raakten hun bevoegdheden gedeeltelijk kwijt²⁸⁸.</w:t>
      </w:r>
    </w:p>
    <w:p w:rsidR="00000000" w:rsidDel="00000000" w:rsidP="00000000" w:rsidRDefault="00000000" w:rsidRPr="00000000" w14:paraId="00000007">
      <w:pPr>
        <w:spacing w:after="240" w:before="240" w:lineRule="auto"/>
        <w:rPr/>
      </w:pPr>
      <w:r w:rsidDel="00000000" w:rsidR="00000000" w:rsidRPr="00000000">
        <w:rPr>
          <w:rtl w:val="0"/>
        </w:rPr>
        <w:t xml:space="preserve">In reactie hierop werd in 1621 het ambt van generaal-vicaris, dat eerder aan de bisschop was verbonden, overgedragen aan de aartsdiakenen. Zij kregen de hoogste gezagsfunctie binnen het aartsdiaconaat toegewezen²⁸⁹. Opvallend is dat de generaal-vicaris meestal een lager geplaatste geestelijke was die geen parochiale binding had. Daardoor ontstond er spanning tussen de generaal-vicaris en het domkapittel, dat zijn positie probeerde te versterken als tegenmacht tegen de bisschop²⁹⁰.</w:t>
      </w:r>
    </w:p>
    <w:p w:rsidR="00000000" w:rsidDel="00000000" w:rsidP="00000000" w:rsidRDefault="00000000" w:rsidRPr="00000000" w14:paraId="00000008">
      <w:pPr>
        <w:spacing w:after="240" w:before="240" w:lineRule="auto"/>
        <w:rPr/>
      </w:pPr>
      <w:r w:rsidDel="00000000" w:rsidR="00000000" w:rsidRPr="00000000">
        <w:rPr>
          <w:rtl w:val="0"/>
        </w:rPr>
        <w:t xml:space="preserve">Een beslissende betekenis voor de katholieke hervorming was het streven van de geestelijkheid naar het verkrijgen van maatschappelijke status en invloed. Om deze status te verwerven, werd sterk ingezet op </w:t>
      </w:r>
      <w:r w:rsidDel="00000000" w:rsidR="00000000" w:rsidRPr="00000000">
        <w:rPr>
          <w:b w:val="1"/>
          <w:bCs w:val="1"/>
          <w:rtl w:val="0"/>
        </w:rPr>
        <w:t xml:space="preserve">religieuze vorming</w:t>
      </w:r>
      <w:r w:rsidDel="00000000" w:rsidR="00000000" w:rsidRPr="00000000">
        <w:rPr>
          <w:rtl w:val="0"/>
        </w:rPr>
        <w:t xml:space="preserve"> en een voorbeeldige (en vooral celibataire) levenswandel van de geestelijkheid. Deze strategie vereiste enerzijds een bewuste overtuiging van de geestelijken zelf, en anderzijds een scholing die aansloot bij de idealen van het </w:t>
      </w:r>
      <w:r w:rsidDel="00000000" w:rsidR="00000000" w:rsidRPr="00000000">
        <w:rPr>
          <w:b w:val="1"/>
          <w:bCs w:val="1"/>
          <w:rtl w:val="0"/>
        </w:rPr>
        <w:t xml:space="preserve">Concilie van Trente</w:t>
      </w:r>
      <w:r w:rsidDel="00000000" w:rsidR="00000000" w:rsidRPr="00000000">
        <w:rPr>
          <w:rtl w:val="0"/>
        </w:rPr>
        <w:t xml:space="preserve">, dat eiste dat onwetende, onbekwame of moreel verwerpelijke geestelijken óf hervormd óf vervangen moesten worden²⁹¹. Tijdens de visitatieperioden tussen 1571–73, 1613–16 en 1654–62 werd zichtbaar dat dit ideaal slechts langzaam werd bereikt. Een merkbare stap was echter het </w:t>
      </w:r>
      <w:r w:rsidDel="00000000" w:rsidR="00000000" w:rsidRPr="00000000">
        <w:rPr>
          <w:b w:val="1"/>
          <w:bCs w:val="1"/>
          <w:rtl w:val="0"/>
        </w:rPr>
        <w:t xml:space="preserve">verdwijnen van het concubinaat onder geestelijken</w:t>
      </w:r>
      <w:r w:rsidDel="00000000" w:rsidR="00000000" w:rsidRPr="00000000">
        <w:rPr>
          <w:rtl w:val="0"/>
        </w:rPr>
        <w:t xml:space="preserve">, dat rond 1600 vrijwel volledig was uitgebannen²⁹².</w:t>
      </w:r>
    </w:p>
    <w:p w:rsidR="00000000" w:rsidDel="00000000" w:rsidP="00000000" w:rsidRDefault="00000000" w:rsidRPr="00000000" w14:paraId="00000009">
      <w:pPr>
        <w:spacing w:after="240" w:before="240" w:lineRule="auto"/>
        <w:rPr/>
      </w:pPr>
      <w:r w:rsidDel="00000000" w:rsidR="00000000" w:rsidRPr="00000000">
        <w:rPr>
          <w:rtl w:val="0"/>
        </w:rPr>
        <w:t xml:space="preserve">Op de lange termijn bleek niet de uiterlijke tucht of straf doorslaggevend te zijn, maar vooral het belang van vorming binnen een </w:t>
      </w:r>
      <w:r w:rsidDel="00000000" w:rsidR="00000000" w:rsidRPr="00000000">
        <w:rPr>
          <w:b w:val="1"/>
          <w:bCs w:val="1"/>
          <w:rtl w:val="0"/>
        </w:rPr>
        <w:t xml:space="preserve">intern kerkschoolse structuur</w:t>
      </w:r>
      <w:r w:rsidDel="00000000" w:rsidR="00000000" w:rsidRPr="00000000">
        <w:rPr>
          <w:rtl w:val="0"/>
        </w:rPr>
        <w:t xml:space="preserve">. In tegenstelling tot de eisen van het Concilie werd er geen afzonderlijk priesterseminarie opgericht, maar werd de </w:t>
      </w:r>
      <w:r w:rsidDel="00000000" w:rsidR="00000000" w:rsidRPr="00000000">
        <w:rPr>
          <w:b w:val="1"/>
          <w:bCs w:val="1"/>
          <w:rtl w:val="0"/>
        </w:rPr>
        <w:t xml:space="preserve">opleiding van geestelijken toevertrouwd aan de jezuïeten</w:t>
      </w:r>
      <w:r w:rsidDel="00000000" w:rsidR="00000000" w:rsidRPr="00000000">
        <w:rPr>
          <w:rtl w:val="0"/>
        </w:rPr>
        <w:t xml:space="preserve">, onder wie het </w:t>
      </w:r>
      <w:r w:rsidDel="00000000" w:rsidR="00000000" w:rsidRPr="00000000">
        <w:rPr>
          <w:b w:val="1"/>
          <w:bCs w:val="1"/>
          <w:rtl w:val="0"/>
        </w:rPr>
        <w:t xml:space="preserve">gymnasium Paulinum in Münster</w:t>
      </w:r>
      <w:r w:rsidDel="00000000" w:rsidR="00000000" w:rsidRPr="00000000">
        <w:rPr>
          <w:rtl w:val="0"/>
        </w:rPr>
        <w:t xml:space="preserve"> viel. Zij verzorgden het onderwijs aan jongens die priester wilden worden en richtten speciale geestelijke gemeenschappen op voor dat doel²⁹³.</w:t>
      </w:r>
    </w:p>
    <w:p w:rsidR="00000000" w:rsidDel="00000000" w:rsidP="00000000" w:rsidRDefault="00000000" w:rsidRPr="00000000" w14:paraId="0000000A">
      <w:pPr>
        <w:spacing w:after="240" w:before="240" w:lineRule="auto"/>
        <w:rPr/>
      </w:pPr>
      <w:r w:rsidDel="00000000" w:rsidR="00000000" w:rsidRPr="00000000">
        <w:rPr>
          <w:rtl w:val="0"/>
        </w:rPr>
        <w:t xml:space="preserve">Het doel was het vormen van een nieuwe generatie katholieken die vanuit een duidelijke, innerlijk beleefde </w:t>
      </w:r>
      <w:r w:rsidDel="00000000" w:rsidR="00000000" w:rsidRPr="00000000">
        <w:rPr>
          <w:b w:val="1"/>
          <w:bCs w:val="1"/>
          <w:rtl w:val="0"/>
        </w:rPr>
        <w:t xml:space="preserve">geloofsovertuiging</w:t>
      </w:r>
      <w:r w:rsidDel="00000000" w:rsidR="00000000" w:rsidRPr="00000000">
        <w:rPr>
          <w:rtl w:val="0"/>
        </w:rPr>
        <w:t xml:space="preserve"> zou leven. Idealiter kwam deze overtuiging niet uit sociale druk van ouders voort, maar uit een </w:t>
      </w:r>
      <w:r w:rsidDel="00000000" w:rsidR="00000000" w:rsidRPr="00000000">
        <w:rPr>
          <w:b w:val="1"/>
          <w:bCs w:val="1"/>
          <w:rtl w:val="0"/>
        </w:rPr>
        <w:t xml:space="preserve">persoonlijk motief tot het uitoefenen van religieuze en leidinggevende functies</w:t>
      </w:r>
      <w:r w:rsidDel="00000000" w:rsidR="00000000" w:rsidRPr="00000000">
        <w:rPr>
          <w:rtl w:val="0"/>
        </w:rPr>
        <w:t xml:space="preserve">²⁹⁴.</w:t>
      </w:r>
    </w:p>
    <w:p w:rsidR="00000000" w:rsidDel="00000000" w:rsidP="00000000" w:rsidRDefault="00000000" w:rsidRPr="00000000" w14:paraId="0000000B">
      <w:pPr>
        <w:spacing w:after="240" w:before="240" w:lineRule="auto"/>
        <w:rPr/>
      </w:pPr>
      <w:r w:rsidDel="00000000" w:rsidR="00000000" w:rsidRPr="00000000">
        <w:rPr>
          <w:rtl w:val="0"/>
        </w:rPr>
        <w:t xml:space="preserve">Bijzonder invloedrijk was het model van religieuze oefening dat </w:t>
      </w:r>
      <w:r w:rsidDel="00000000" w:rsidR="00000000" w:rsidRPr="00000000">
        <w:rPr>
          <w:b w:val="1"/>
          <w:bCs w:val="1"/>
          <w:rtl w:val="0"/>
        </w:rPr>
        <w:t xml:space="preserve">Ignatius van Loyola</w:t>
      </w:r>
      <w:r w:rsidDel="00000000" w:rsidR="00000000" w:rsidRPr="00000000">
        <w:rPr>
          <w:rtl w:val="0"/>
        </w:rPr>
        <w:t xml:space="preserve"> met zijn orde had ingesteld. Daarin stond een subjectieve gerichtheid op God centraal, ondersteund door een streng geestelijk leven en een </w:t>
      </w:r>
      <w:r w:rsidDel="00000000" w:rsidR="00000000" w:rsidRPr="00000000">
        <w:rPr>
          <w:b w:val="1"/>
          <w:bCs w:val="1"/>
          <w:rtl w:val="0"/>
        </w:rPr>
        <w:t xml:space="preserve">gemeenschapsstructuur</w:t>
      </w:r>
      <w:r w:rsidDel="00000000" w:rsidR="00000000" w:rsidRPr="00000000">
        <w:rPr>
          <w:rtl w:val="0"/>
        </w:rPr>
        <w:t xml:space="preserve">, zoals die ook vorm kreeg binnen </w:t>
      </w:r>
      <w:r w:rsidDel="00000000" w:rsidR="00000000" w:rsidRPr="00000000">
        <w:rPr>
          <w:b w:val="1"/>
          <w:bCs w:val="1"/>
          <w:rtl w:val="0"/>
        </w:rPr>
        <w:t xml:space="preserve">jeugdbewegingen</w:t>
      </w:r>
      <w:r w:rsidDel="00000000" w:rsidR="00000000" w:rsidRPr="00000000">
        <w:rPr>
          <w:rtl w:val="0"/>
        </w:rPr>
        <w:t xml:space="preserve"> en broederschappen aan het eind van de 16e eeuw. Daarbij hoorden ook leken die belangrijke posities bekleedden²⁹⁵.</w:t>
      </w:r>
    </w:p>
    <w:p w:rsidR="00000000" w:rsidDel="00000000" w:rsidP="00000000" w:rsidRDefault="00000000" w:rsidRPr="00000000" w14:paraId="0000000C">
      <w:pPr>
        <w:spacing w:after="240" w:before="240" w:lineRule="auto"/>
        <w:rPr/>
      </w:pPr>
      <w:r w:rsidDel="00000000" w:rsidR="00000000" w:rsidRPr="00000000">
        <w:rPr>
          <w:rtl w:val="0"/>
        </w:rPr>
        <w:t xml:space="preserve">Binnen deze bewegingen ontwikkelden zich ook nieuwe onderwijsmodellen: het idee van een </w:t>
      </w:r>
      <w:r w:rsidDel="00000000" w:rsidR="00000000" w:rsidRPr="00000000">
        <w:rPr>
          <w:b w:val="1"/>
          <w:bCs w:val="1"/>
          <w:rtl w:val="0"/>
        </w:rPr>
        <w:t xml:space="preserve">‘jeugdbeweging in de kerk’</w:t>
      </w:r>
      <w:r w:rsidDel="00000000" w:rsidR="00000000" w:rsidRPr="00000000">
        <w:rPr>
          <w:rtl w:val="0"/>
        </w:rPr>
        <w:t xml:space="preserve">, waarbij jongeren uit katholieke (of zelfs protestantse) gezinnen werden opgeleid voor toekomstig leiderschap. Deze vorm van scholing beperkte zich niet tot de lagere school, maar werd uitgebreid tot </w:t>
      </w:r>
      <w:r w:rsidDel="00000000" w:rsidR="00000000" w:rsidRPr="00000000">
        <w:rPr>
          <w:b w:val="1"/>
          <w:bCs w:val="1"/>
          <w:rtl w:val="0"/>
        </w:rPr>
        <w:t xml:space="preserve">latere pastorale functies</w:t>
      </w:r>
      <w:r w:rsidDel="00000000" w:rsidR="00000000" w:rsidRPr="00000000">
        <w:rPr>
          <w:rtl w:val="0"/>
        </w:rPr>
        <w:t xml:space="preserve">, inclusief </w:t>
      </w:r>
      <w:r w:rsidDel="00000000" w:rsidR="00000000" w:rsidRPr="00000000">
        <w:rPr>
          <w:b w:val="1"/>
          <w:bCs w:val="1"/>
          <w:rtl w:val="0"/>
        </w:rPr>
        <w:t xml:space="preserve">catechismusonderwijs op basis van de Romeinse Catechismus</w:t>
      </w:r>
      <w:r w:rsidDel="00000000" w:rsidR="00000000" w:rsidRPr="00000000">
        <w:rPr>
          <w:rtl w:val="0"/>
        </w:rPr>
        <w:t xml:space="preserve"> die sinds 1600 in Münster verplicht werd²⁹⁶.</w:t>
      </w:r>
    </w:p>
    <w:p w:rsidR="00000000" w:rsidDel="00000000" w:rsidP="00000000" w:rsidRDefault="00000000" w:rsidRPr="00000000" w14:paraId="0000000D">
      <w:pPr>
        <w:spacing w:after="240" w:before="240" w:lineRule="auto"/>
        <w:rPr/>
      </w:pPr>
      <w:r w:rsidDel="00000000" w:rsidR="00000000" w:rsidRPr="00000000">
        <w:rPr>
          <w:rtl w:val="0"/>
        </w:rPr>
        <w:t xml:space="preserve">Een bijzondere uitingsvorm hiervan was het </w:t>
      </w:r>
      <w:r w:rsidDel="00000000" w:rsidR="00000000" w:rsidRPr="00000000">
        <w:rPr>
          <w:b w:val="1"/>
          <w:bCs w:val="1"/>
          <w:rtl w:val="0"/>
        </w:rPr>
        <w:t xml:space="preserve">Tridentijnse vormingsideaal</w:t>
      </w:r>
      <w:r w:rsidDel="00000000" w:rsidR="00000000" w:rsidRPr="00000000">
        <w:rPr>
          <w:rtl w:val="0"/>
        </w:rPr>
        <w:t xml:space="preserve">: een sobere, geestelijke levenshouding waarin traditie en gehoorzaamheid centraal stonden, maar altijd gekoppeld aan een subjectieve, innerlijke geloofsbeleving. Deze stond in dienst van het </w:t>
      </w:r>
      <w:r w:rsidDel="00000000" w:rsidR="00000000" w:rsidRPr="00000000">
        <w:rPr>
          <w:b w:val="1"/>
          <w:bCs w:val="1"/>
          <w:rtl w:val="0"/>
        </w:rPr>
        <w:t xml:space="preserve">doorbreken van automatisme</w:t>
      </w:r>
      <w:r w:rsidDel="00000000" w:rsidR="00000000" w:rsidRPr="00000000">
        <w:rPr>
          <w:rtl w:val="0"/>
        </w:rPr>
        <w:t xml:space="preserve"> en het stimuleren van </w:t>
      </w:r>
      <w:r w:rsidDel="00000000" w:rsidR="00000000" w:rsidRPr="00000000">
        <w:rPr>
          <w:b w:val="1"/>
          <w:bCs w:val="1"/>
          <w:rtl w:val="0"/>
        </w:rPr>
        <w:t xml:space="preserve">bewuste geloofsgroei</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weerstand boden – het “moeilijke probleem van de contrareformatie”²⁹³. De motieven waren zowel religieus als politiek van aard. In de kleinere landsteden was rond 1600 niet alleen de bestuurlijke bovenlaag, maar ook het grootste deel van de bevolking protestants ingesteld²⁹⁴ en deze verdedigde met hun geloofsovertuiging tegelijkertijd de traditionele politieke autonomie van de stedelijke zelfbestuursorganen tegenover de aanspraken op heerschappij van de absoluut regerende vorsten. Zelfs in het overwegend katholiek ingestelde Münster, het duidelijkste voorbeeld, was de overwegende weerstand tegen het episcopaat van de stad Münster vooral om die reden niet groter, omdat men de verordeningen van de bisschop opvolgde. Maar de overgrote meerderheid van katholieke raadsleden wilde het vreedzame samenleven van de geloofsovertuigingen in de stad niet in gevaar brengen, ongeacht de aanwezigheid van overtuigd protestantse burgers. Dit “coalitiemodel” kwam echter toenemend onder druk van een steeds sterkere groep burgers die, beïnvloed door de felle haat van de jezuïeten tegenover religieuze verdeeldheid, naar confessionele polarisatie streefden en aandrongen op een uitwisseling van de protestantse stadsadviseurs. Bij toenemende spanningen loste men alle verordeningen van het bisschoppelijk gezag op, met uitzondering van het verbod op protestantse begrafenissen op kerkelijke begraafplaatsen. Na 1605/06 werd tijdens de dertigjarige oorlog in juni 1618 uiteindelijk ook in Münster de neutraliteitspolitiek verlaten, mede door de verkiezing van Christoph Bernhard von Galen tot coadjutor, profeet en aandeelhouder, waarbij slechts weinig verbindingen overbleven met het zuidelijk rijk en de beide kerkelijke vorstendommen.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 militaire positie van het bisdom was bij het uitbreken van de dertigjarige oorlog gunstig. Ferdinand v. Bayern, keurvorst en bisschop, riep in 1623 Spaanse troepen naar het bisdom om ze in de steden, met name in Münster, te stationeren. Hiervoor werd een speciale regeling getroffen, aangezien het stedelijk protestantse burgerdom zich hiertegen verzette. De elite stelde als voorwaarde dat de garnizoenen niet in de stadswijken ingekwartierd mochten worden, tenzij in buitengewone gevallen. Bij gegeven omstandigheden werd slechts de inzet van jezuïeten toegestaan. In werkelijkheid bleef deze regeling echter afhankelijk van het politiek-militaire verloop van de oorlog; zo vertrokken in 1633 bijvoorbeeld enkele troepen ondanks bezwaar uit Münster en lieten ze de stad opnieuw verlaten.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Het bisdom Münster werd net als andere episcopale vorstendommen niet gespaard door de gevolgen van de dertigjarige oorlog, die niet alleen oorlogsschade, maar ook ernstige ontvolking bracht. Met de Vrede van Westfalen in 1648 was de positie van het bisdom als katholiek gebied uiteindelijk verzekerd.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 situatie in het prinsbisdom Münster werd aanzienlijk verslechterd door de langdurige afwezigheid van vorstbisschop Christoph Bernhard von Galen, die zich, vanwege zijn connecties met Europese machthebbers, geregeld buiten het Münsterland ophield om in internationale avonturen verwikkeld te raken. Er was echter geen sprake van een volledige chaos. De bestuurlijke kern wist meestal de orde te handhaven en zelfs onder moeilijke omstandigheden het openbaar gezag overeind te houden²⁹⁵.</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color w:val="000000"/>
          <w:sz w:val="33"/>
          <w:szCs w:val="33"/>
        </w:rPr>
      </w:pPr>
      <w:bookmarkStart w:colFirst="0" w:colLast="0" w:name="_tu9cpqe9mrxw" w:id="0"/>
      <w:bookmarkEnd w:id="0"/>
      <w:r w:rsidDel="00000000" w:rsidR="00000000" w:rsidRPr="00000000">
        <w:rPr>
          <w:rFonts w:ascii="Roboto" w:cs="Roboto" w:eastAsia="Roboto" w:hAnsi="Roboto"/>
          <w:b w:val="1"/>
          <w:bCs w:val="1"/>
          <w:color w:val="000000"/>
          <w:sz w:val="33"/>
          <w:szCs w:val="33"/>
          <w:rtl w:val="0"/>
        </w:rPr>
        <w:t xml:space="preserve">Confessionalisering en de tijd van de Verlichting</w:t>
      </w:r>
    </w:p>
    <w:p w:rsidR="00000000" w:rsidDel="00000000" w:rsidP="00000000" w:rsidRDefault="00000000" w:rsidRPr="00000000" w14:paraId="00000017">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Vanaf 1585 vond in het vorstbisdom Münster een proces plaats dat zich over ongeveer een eeuw uitstrekte. Dit proces kan worden begrepen als een periode van toenemende diversiteit in religieuze levensvormen, die door de reformatie was ingezet en uiteindelijk leidde tot de oprichting van confessioneel-georganiseerde territoria.¹⁴⁶ Het proces van confessionalisering werd gekenmerkt door de ontwikkeling van nieuwe, meer traditionele structuren binnen de katholieke kerk. Deze structuren waren verbonden met de vorming van een nieuwe staatsstructuur, het absolutisme. Hoewel de delen van het middeleeuws overgeleverde kerkelijke territorium in principe maar een ondergeschikte vormverandering ondergingen, kreeg deze periode toch een eigen karakter.¹⁴⁷</w:t>
      </w:r>
    </w:p>
    <w:p w:rsidR="00000000" w:rsidDel="00000000" w:rsidP="00000000" w:rsidRDefault="00000000" w:rsidRPr="00000000" w14:paraId="00000018">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De confessionalisering in Münster viel samen met de regeringsperiodes van bisschoppen zoals Ernst van Beieren (1585-1612), Ferdinand van Beieren (1612-1650) en Christoph Bernhard van Galen (1606-1678).¹⁴⁷ Dit tijdvak overlapt tevens met de periode van de Dertigjarige Oorlog (1618-1648).¹⁴⁸</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color w:val="000000"/>
          <w:sz w:val="33"/>
          <w:szCs w:val="33"/>
        </w:rPr>
      </w:pPr>
      <w:bookmarkStart w:colFirst="0" w:colLast="0" w:name="_kn30w59o1ni4" w:id="1"/>
      <w:bookmarkEnd w:id="1"/>
      <w:r w:rsidDel="00000000" w:rsidR="00000000" w:rsidRPr="00000000">
        <w:rPr>
          <w:rFonts w:ascii="Roboto" w:cs="Roboto" w:eastAsia="Roboto" w:hAnsi="Roboto"/>
          <w:b w:val="1"/>
          <w:bCs w:val="1"/>
          <w:color w:val="000000"/>
          <w:sz w:val="33"/>
          <w:szCs w:val="33"/>
          <w:rtl w:val="0"/>
        </w:rPr>
        <w:t xml:space="preserve">Staatsstructuren en kerkelijke hervormingen</w:t>
      </w:r>
    </w:p>
    <w:p w:rsidR="00000000" w:rsidDel="00000000" w:rsidP="00000000" w:rsidRDefault="00000000" w:rsidRPr="00000000" w14:paraId="0000001A">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De toenemende centralisatie van geregeerde territoria binnen het vorstbisdom Münster weerspiegelde de tendensen van absolutistische staatsvormen. De bisschop kreeg door dit proces steeds meer bestuurlijke macht over kerkelijke aangelegenheden.¹⁴⁸ Tegelijkertijd vonden er diepgaande hervormingen plaats binnen de organisatie van het bisdom, gericht op het versterken van kerkelijke structuren.¹⁴⁹</w:t>
      </w:r>
    </w:p>
    <w:p w:rsidR="00000000" w:rsidDel="00000000" w:rsidP="00000000" w:rsidRDefault="00000000" w:rsidRPr="00000000" w14:paraId="0000001B">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Vanaf 1601 begon men, vooral in Beieren, het principe van "geestelijke raden" te implementeren. Deze raden kregen uitgebreide bevoegdheden, zoals het toezicht op opleidingen van geestelijken (specifiek leraren en priesters), en waren verantwoordelijk voor de doorvoering van kerkelijke hervormingen.¹⁴⁹ Dit proces leidde tot de scheiding tussen de macht van kerkelijke instellingen en die van bisdommen, maar gaf wel aanleiding tot conflictsituaties met aartsdiocesane instellingen, vooral wanneer nieuwe bevoegdheden van deze laatsten direct naar bisschoppelijk toezicht werden overgeheveld.¹⁵⁰</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color w:val="000000"/>
          <w:sz w:val="33"/>
          <w:szCs w:val="33"/>
        </w:rPr>
      </w:pPr>
      <w:bookmarkStart w:colFirst="0" w:colLast="0" w:name="_q386j195peeu" w:id="2"/>
      <w:bookmarkEnd w:id="2"/>
      <w:r w:rsidDel="00000000" w:rsidR="00000000" w:rsidRPr="00000000">
        <w:rPr>
          <w:rFonts w:ascii="Roboto" w:cs="Roboto" w:eastAsia="Roboto" w:hAnsi="Roboto"/>
          <w:b w:val="1"/>
          <w:bCs w:val="1"/>
          <w:color w:val="000000"/>
          <w:sz w:val="33"/>
          <w:szCs w:val="33"/>
          <w:rtl w:val="0"/>
        </w:rPr>
        <w:t xml:space="preserve">Reformatische spanningen en territoriale onafhankelijkheid</w:t>
      </w:r>
    </w:p>
    <w:p w:rsidR="00000000" w:rsidDel="00000000" w:rsidP="00000000" w:rsidRDefault="00000000" w:rsidRPr="00000000" w14:paraId="0000001D">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Een bijzonder conflict dat in deze periode de hervormingen bemoeilijkte, was het spanningsveld tussen het vorstelijke bisdom Münster en andere gereformeerde territoria, zoals het protestantse bisdom onder Franz von Waldeck. De hervormingen binnen deze gebieden werden gekenmerkt door grote conflicten met de traditionele gereformeerde structuur. De reorganisatie van territoria en kerkelijke macht gaf aanleiding tot talrijke spanningen en was deels verantwoordelijk voor het gebrek aan religieuze uniformiteit in de regio.¹⁵¹</w:t>
      </w:r>
    </w:p>
    <w:p w:rsidR="00000000" w:rsidDel="00000000" w:rsidP="00000000" w:rsidRDefault="00000000" w:rsidRPr="00000000" w14:paraId="0000001E">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In 1621 kreeg de bisschop van Münster de macht om de generale supervisie uit te oefenen over alle kerkelijke aangelegenheden die zich onder de jurisdictie van het bisdom bevonden.¹⁵² Binnen deze rol moest de bisschop nauwe samenwerking aangaan, niet alleen met geestelijken, maar ook met institutionele raden om de hervormingen door te voeren. Vooral het mandaat van de bisschop als hoogste kerkelijk bestuursorgaan werd toen expliciet verbonden aan de functie van "domkapitularis".¹⁵² Reorganisatie en de vorming van centrale bestuursstructuren bleven tot het einde van de zeventiende eeuw een kernpunt van het voortgaande proces van confessionalisering.¹⁵³</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Confessionalisering en tijdperk van verlichting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de context van religieuze hervormingen speelde het katholieke streven naar hernieuwing en versterking van de geloofsbeleving een essentiële rol. Het doel van deze hervormingen was om de katholieke kerk nieuwe leden te laten winnen en hun een hogere status te bieden, voornamelijk door middel van een uitgebreide religieuze opleiding en een voorbeeldig moreel leven.1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Tijdens deze periode werden strategieën ontwikkeld om deze doelstellingen te bereiken. Enerzijds richtte men zich specifiek op de geestelijkheid: er werd gestreefd naar overtuiging en begeleiding die aansloten bij de idealen van het Tridentijns concilie. Vooral voor toekomstige priesters werd een solide scholing opgezet, bedoeld om hun te helpen de waarden van de kerk in hun gedrag en overtuigingen te verinnerlijken.2 Gedurende visitaties tussen 1571-73, 1613-16 en 1654-57 werd waargenomen dat deze vooruitgang langzaam werd gemaakt, maar vanaf 1600 waren er aanwijzingen dat de gestelde doelen steeds beter werden bereikt.3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Een belangrijk aspect van deze disciplinaire focus was niet alleen het opleggen van sancties bij overtredingen, maar ook het intensief benadrukken van geestelijke ontwikkeling binnen een kader van strikte richtlijnen.4 Tegen het einde van de zestiende eeuw ontstonden instituten die zich primair richtten op jongeren, met specifieke aandacht voor hun religieuze scholing en loyaliteit aan de kerk. Een cruciaal model hiervoor was het gedachtegoed van Ignatius van Loyola, dat naast religieuze plichten ook een intensieve gemeenschapsvorming benadrukte in nauwe verbondenheid met God.5</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 scholen die toekomstige geestelijken opleidden, stonden ook bekend om hun nadruk op catechismusonderwijs, vaak op basis van de geschriften van bekende geestelijken. In plaatsen zoals Münster werden leerlingen niet alleen onderwezen in Latijn, maar werd ook populaire zang ingezet als hulpmiddel om religieuze ideeën op een begrijpelijke manier over te brengen.6 De focus lag op het stimuleren van processen van zelfreflectie en bewustwording.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 activiteiten van de katholieke bezieling omvatten tevens de identificatie en verbetering van de status van geestelijken. Het werk van de jezuïeten had een belangrijke rol in de intensiveren van religieuze scholing en versterking van de autonomie binnen de katholieke structuren.7</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Door al deze inspanningen werden niet alleen de idealen van het katholieke geloof benadrukt, maar ook getracht om een langdurige loyaliteit en actieve deelname aan religieuze en sociale verplichtingen veilig te stellen.8</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color w:val="000000"/>
          <w:sz w:val="33"/>
          <w:szCs w:val="33"/>
        </w:rPr>
      </w:pPr>
      <w:bookmarkStart w:colFirst="0" w:colLast="0" w:name="_cjksv5y9kzvh" w:id="3"/>
      <w:bookmarkEnd w:id="3"/>
      <w:r w:rsidDel="00000000" w:rsidR="00000000" w:rsidRPr="00000000">
        <w:rPr>
          <w:rFonts w:ascii="Roboto" w:cs="Roboto" w:eastAsia="Roboto" w:hAnsi="Roboto"/>
          <w:b w:val="1"/>
          <w:bCs w:val="1"/>
          <w:color w:val="000000"/>
          <w:sz w:val="33"/>
          <w:szCs w:val="33"/>
          <w:rtl w:val="0"/>
        </w:rPr>
        <w:t xml:space="preserve">Het probleem van de contrareformatie en de sociale conflicten in Münster tijdens de Dertigjarige Oorlog</w:t>
      </w:r>
    </w:p>
    <w:p w:rsidR="00000000" w:rsidDel="00000000" w:rsidP="00000000" w:rsidRDefault="00000000" w:rsidRPr="00000000" w14:paraId="0000002F">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Tijdens de contrareformatie stond het bestuur in kleine Duitse stadstaten onder druk vanwege religieuze en politieke spanningen. De leiding van Münster, bijvoorbeeld, bestond in 1600 niet enkel uit adel, maar ook uit een aanzienlijk protestantse bevolking die zichzelf als autonoom beschouwde. Deze autonomiewens stond lijnrecht tegenover de centraliserende macht van katholieke vorsten.¹</w:t>
      </w:r>
    </w:p>
    <w:p w:rsidR="00000000" w:rsidDel="00000000" w:rsidP="00000000" w:rsidRDefault="00000000" w:rsidRPr="00000000" w14:paraId="00000030">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Hoewel Münster overwegend katholiek was, bleef het stadsbestuur op afstand van het bisdom en diens regelgevende autoriteit. Het bestuur besloot zich niet strikt te houden aan bisschoppelijke verordeningen, tenzij deze juridisch of sociaal niet verder konden worden genegeerd. Dit was deels te danken aan de invloed van een gematigde katholieke meerderheid in het stadsbestuur, die erop gericht was vreedzaam samen te leven met protestanten, en deels door druk van een coalitie van burgers van beide religieuze stromingen. Deze balans bevorderde sociale stabiliteit, ondanks pogingen van de jezuïeten om meer nadruk te leggen op confessionele zuivering.²</w:t>
      </w:r>
    </w:p>
    <w:p w:rsidR="00000000" w:rsidDel="00000000" w:rsidP="00000000" w:rsidRDefault="00000000" w:rsidRPr="00000000" w14:paraId="00000031">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Vanaf 1656 werd de invloed van de jezuïeten steeds zichtbaarder. Zij stelden maatregelen voor om religieuze polarisatie te versnellen, zoals het verbod op protestantse begrafenissen volgens hun eigen tradities.³</w:t>
      </w:r>
    </w:p>
    <w:p w:rsidR="00000000" w:rsidDel="00000000" w:rsidP="00000000" w:rsidRDefault="00000000" w:rsidRPr="00000000" w14:paraId="00000032">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De politieke situatie rondom Münster veranderde drastisch met het uitbreken van de Dertigjarige Oorlog. Ferdinand II van Bayern, leider van de katholieke troepen, gaf Spaanse soldaten de opdracht Münster in 1623 te bezetten.⁴ Hoewel deze bezetting militair strategisch belangrijk was, leidde het ook tot intensieve sociale spanningen. Veel inwoners waren financieel en sociaal afhankelijk van conflicten tussen katholieken en protestanten.⁵</w:t>
      </w:r>
    </w:p>
    <w:p w:rsidR="00000000" w:rsidDel="00000000" w:rsidP="00000000" w:rsidRDefault="00000000" w:rsidRPr="00000000" w14:paraId="00000033">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De politieke en religieuze spanningen bleven voortduren in Münster, zelfs na de Vrede van Westfalen in 1648, waarin de oorlog officieel eindigde. Het vredesverdrag verzekerde enige religieuze tolerantie, maar de stad bleef een plaats waar sociale en politieke spanningen doorwerkten, deels als gevolg van de onopgeloste kwesties omtrent confessionele autonomie en bisschoppelijke controle.⁶</w:t>
      </w:r>
    </w:p>
    <w:p w:rsidR="00000000" w:rsidDel="00000000" w:rsidP="00000000" w:rsidRDefault="00000000" w:rsidRPr="00000000" w14:paraId="00000034">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Andika" w:cs="Andika" w:eastAsia="Andika" w:hAnsi="Andika"/>
          <w:color w:val="4e4e4e"/>
          <w:sz w:val="24"/>
          <w:szCs w:val="24"/>
          <w:rtl w:val="0"/>
        </w:rPr>
        <w:t xml:space="preserve">De impact van deze gebeurtenissen heeft Münster blijvend beïnvloed. De stad diende als voorbeeld van de moeizame sociale en religieuze verhoudingen in het Heilige Roomse Rijk tijdens de Dertigjarige Oorlog. Uiteindelijk werd Münster een symbolisch centrum van onderhandelingen en religieuze ijver, met conflicten die diep verweven waren met de bredere historische ontwikkelingen van Europa.⁷</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**Confessionalisering en het tijdperk van de verlichting**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Het proces van confessionalisering, dat in de vroegmoderne periode plaatsvond, had een diepgaande invloed op de sociale, politieke en religieuze structuren van Europese staten. In de late 17e eeuw vertoonde het vorstbisdom Münster een transformatie die was gebaseerd op de ontwikkeling van een gesloten leefruimte. Dit volgde geheel vanuit het katholieke geloof en leidde tot een sterke mate van sociale cohesie binnen de katholieke gemeenschap. Dit proces zorgde ervoor dat het religieuze en wereldlijke gezag steeds meer gecentraliseerd werd in de handen van de bisschop van Osnabrück. In zekere zin was er een heropleving van het middeleeuwse corpus christianum, zij het beperkt tot een regionale en confessioneel gedefinieerde context.¹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Uitdagingen bij katholieke hervormingen en confessionele consolidatie</w:t>
      </w:r>
    </w:p>
    <w:p w:rsidR="00000000" w:rsidDel="00000000" w:rsidP="00000000" w:rsidRDefault="00000000" w:rsidRPr="00000000" w14:paraId="0000003B">
      <w:pPr>
        <w:rPr/>
      </w:pPr>
      <w:r w:rsidDel="00000000" w:rsidR="00000000" w:rsidRPr="00000000">
        <w:rPr>
          <w:rtl w:val="0"/>
        </w:rPr>
        <w:t xml:space="preserve">Centraal in de katholieke hervormingsbeweging stond het model van het Concilie van Trente, dat zich verzette tegen protestantse bewegingen en tegelijkertijd een strategisch streven naar consolidatie onder katholieke leiders stimuleerde. Binnen het vorstbisdom Münster kreeg dit proces een politieke dimensie, waarbij de bisschop zich steeds meer positioneerde als een dominante figuur met zowel religieuze als wereldlijke macht. Het was mede de dood van bisschop Bernhard von Galen in 1678 die dit proces een nieuwe koers gaf: zijn opvolger Willem van Oranje moest zich richten op het versterken van zijn militaire organisaties en het beveiligen van de grenzen die het vorstbisdom afbakenden.²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Na 1668 was de versterking van de Domkapittel macht een belangrijk onderdeel in de confessionele consolidatie. Het Domkapittel, sterk gesteund door de territoriale macht van het vorstbisdom Münster, speelde een centrale rol in het stabiliseren van de katholieke religieuze autoriteit. Als sleutelpersoon binnen deze religieuze hervormingen nam Christoph Bernhard von Galen (de zogenaamde "kanonnenbisschop") een belangrijke positie in. Hij benadrukte militaire versterking en territoriale consolidatie als essentiële aspecten van zijn beleid.³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Militaire ontwikkelingen en territoriale verdediging</w:t>
      </w:r>
    </w:p>
    <w:p w:rsidR="00000000" w:rsidDel="00000000" w:rsidP="00000000" w:rsidRDefault="00000000" w:rsidRPr="00000000" w14:paraId="00000040">
      <w:pPr>
        <w:rPr/>
      </w:pPr>
      <w:r w:rsidDel="00000000" w:rsidR="00000000" w:rsidRPr="00000000">
        <w:rPr>
          <w:rtl w:val="0"/>
        </w:rPr>
        <w:t xml:space="preserve">Het vorstbisdom Münster stond bekend om zijn gehechtheid aan militaire macht, onder meer door het gebruik van versterkingen zoals de Ludgerus-Festung bij Coesfeld. Na het langdurige conflict in de regio, vooral tegen de protestantse krachten, verkreeg het vorstbisdom een aanzienlijke militaire sterkte. Toen Christoph Bernhard von Galen in 1668 namens Münster een vredesverdrag sloot, werd vanaf dat moment bij militaire geschillen een groot belang gehecht aan de handhaving van stabiliteit binnen het vorstenland. Tot het uiteindelijke belang van Münster binnen de bredere Europese conflicten behoorde ook het oproepen van een omvangrijk leger dat naar schatting zo’n 20.000 man omvatte.⁴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Religieuze en sociale hervormingen</w:t>
      </w:r>
    </w:p>
    <w:p w:rsidR="00000000" w:rsidDel="00000000" w:rsidP="00000000" w:rsidRDefault="00000000" w:rsidRPr="00000000" w14:paraId="00000043">
      <w:pPr>
        <w:rPr/>
      </w:pPr>
      <w:r w:rsidDel="00000000" w:rsidR="00000000" w:rsidRPr="00000000">
        <w:rPr>
          <w:rtl w:val="0"/>
        </w:rPr>
        <w:t xml:space="preserve">De confessionele hervormingen gaven de katholieke kerk binnen het vorstbisdom Münster een nieuwe, herkenbare sociale dimensie. Religieuze autoriteit kwam in toenemende mate samen met wereldlijke macht en investeringen in militaire infrastructuur zorgden voor stabiliteit in een tijdperk dat gekenmerkt werd door interne en externe conflicten. Tegen de achtergrond van deze consolidatie heeft het vorstbisdom Münster zich niet alleen als religieus, maar ook als politiek en militair machtscentrum weten te positioneren.⁵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 ontwikkelingen binnen het vorstbisdom Münster in de late 17e eeuw vertegenwoordigen een voorbeeld van hoe confessionalisering zich kon aanpassen aan politieke en militaire realiteiten. Hoewel er een sterke focus lag op katholieke eenheid, gingen deze hervormingen vaak gepaard met conflicten waarmee de identiteit van het vorstbisdom Münster werd vormgegeven in een periode die zich kenmerkte door voortdurende politieke instabiliteit en religieuze transformatie.⁶</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**geschiedenis van geestelijke staten in de 18e eeuw**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de loop van de 18e eeuw verloren veel geestelijke staten hun politieke autonomie en militaire betekenis. in vergelijking met andere staten, zoals pruisen, waren de geestelijke gebieden vaak opgedeeld in zogenaamde "gedemilitariseerde zones". deze zones waren weliswaar vrij van gewapende conflicten, maar dienden soms als strategische gebieden voor transport en bevoorrading tijdens militaire campagnes.¹⁰⁰</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 bestaansreden van een geestelijke staat lag niet zozeer in militaire macht, maar in een bepaalde spirituele en symbolische continuïteit, gebaseerd op oude tradities en het recht op heerserschap.¹⁰⁰⁹ deze tradities werden voornamelijk in stand gehouden door religieuze en politieke factoren in de late 18e eeuw.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een belangrijk keerpunt in de geschiedenis van geestelijke staten in het heilige roomse rijk was de spanning tussen het oostenrijks-pruisische conflict en de pogingen om het institutionele systeem van het rijk te veranderen. dit conflict leidde tot brede maatschappelijke discussies over de principes van sociale ordening, verlichtingsdenken en individuele rechten. dit zorgde voor een verandering in de manier waarop de werkelijkheid werd ervaren, voornamelijk geleid door natuurwetenschappelijke kennis.¹⁰ʰ</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kritisch denken kreeg steeds meer invloed op zowel de autoriteit van de katholieke kerk als op de dialoog tussen theologie en wetenschap. de relatie tussen de katholieke kerk en het protestantisme leidde met name in münster tot het ontstaan van een gemengde sociale en religieuze cultuur, waarin debat en tolerantie een rol speelden. deze cultuur stimuleerde intellectuele en sociale vooruitgang, maar zorgde ook voor blijvende spanningen tussen kerkelijke en wereldlijke macht.¹⁰⁴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*verlichte denkers in münster*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 situatie in het prinsbisdom münster biedt een interessant voorbeeld van de invloed van verlichte ideeën tijdens de 18e eeuw. in bibliotheken van de regio was er vanaf 1750 een groeiende interesse in verlichte literatuur, waaronder werken over wetenschap, geschiedenis en sociale rechtvaardigheid.¹³⁰ de verspreiding van verlichtingsdenken ging gepaard met de opkomst van een kritischer houding ten opzichte van barokke religieuze tradities en de gevestigde kerkelijke structuren.¹³¹</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vreemde elementen werden niet altijd direct geaccepteerd. bijvoorbeeld, het proces van secularisatie in münster verliep traag en stuitte op weerstand vanuit de katholieke gemeenschap. uit onderzoek blijkt dat de katholieke bevolking in münster terughoudend reageerde op ideeën die verbonden waren aan de verlichtingsfilosofie en het afstand nemen van territoriumgebonden religieuze autoriteit.¹⁰⁴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*veranderingen binnen het prinsbisdom*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voor het prinsbisdom münster speelde de balans tussen religieuze tradities en verlichtingsdenken een belangrijke rol. het was een periode waarin intensieve pogingen werden gedaan om een integratie te bereiken tussen traditionele religieuze waarden en rationele vernieuwingen. geloof en rede moesten elkaar aanvullen in het streven naar sociale en intellectuele harmonie. deze gedachtegang werd belichaamd in hervormingsprogramma’s die zowel religieus als sociaal van aard waren.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 1763 introduceerde bisschop maximilian freiherr von fürstenberg concrete hervormingen die erop gericht waren om het interne bestuur van het bisdom te moderniseren. hoewel deze op verlichte ideeën waren geïnspireerd, streefden de maatregelen vooral een praktische verbetering na van sociale welvaart en economische omstandigheden binnen münster.¹°² bovendien schoven deze hervormingen het bisdom enigszins in de richting van protestants-christelijke bestuursmethoden.¹³¹</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**Confessionalisering en Verlichting**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Het streven van vorsten om hun staten te verbeteren door middel van hervormingen omvatte diverse gebieden, zoals het gerechtelijke systeem, belastingheffing en het verminderen van schulden. Voorbeelden hiervan zijn maatregelen die gericht waren op het afschaffen van privileges van adel en geestelijkheid, het bevorderen van economische groei via edicten, en het verhogen van de productiecapaciteit door het afschaffen van kerkelijke feestdagen. Ook legden deze hervormingen nadruk op de verbetering van het onderwijs- en gezondheidssysteem. De poging van vorsten om hun staten te hervormen tot een 'moderne staat' stuitte echter vaak op weerstand van de traditionele landadel en spirituele leiders binnen hun gebieden. Deze weerstand tegen de zogenaamde 'moderne staat' was vooral merkbaar in het prinsbisdom Münster, waar het concept van een gecentraliseerde, staatsgerichte structuur impopulair bleef, deels vanwege militaire ambities en religieuze tradities. Het prinsbisdom stond bekend als een 'kanonikale hoef'[13], die een conservatieve houding innam. Een voorbeeld hiervan is de conservatieve reactie op hervormingen die door minister Franz Friedrich Wilhelm von Fürstenberg werden geïnitieerd vanaf 1780[14]. Zijn hervormingen vonden uiteindelijk beperkte acceptatie, zelfs binnen het onderwijs- en schoolbeleid.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 hervormingspogingen in Münster richtten zich op het verbinden van rationaliteit en geloof, wat een meer universele aantrekkingskracht had[15]. Hoewel bepaalde maatregelen over de grenzen van het bisdom heen invloed hadden, kon het werk van Fürstenberg alleen binnen een beperkte context effectief zijn. Een voorbeeld hiervan is zijn uitnodiging in 1776 aan de priester Bernhard Overberg, die een belangrijke rol speelde in de oprichting van de "normaalscholen"[16].</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deze context bleven conflicten tussen diverse confessionele en religieuze aanhangers bestaan. Daarbij speelde tolerantie een belangrijke rol, wat resulteerde in een streven naar communicatie en samenwerking tussen groepen die normaal gesproken gescheiden waren door confessionele barrières[19]. Dit leidde tot de oprichting van een verzamelpunt van katholieken, waar een syncretische benadering tussen religieuze en politieke stromingen bevochten werd. Toch bleef het bisdom Münster een ruimte van polariteit en tegenstelling, waarin confrontaties tussen rationalistische hervormingen en romantische tradities duidelijk waren.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 Vrede van Münster in 1803 wordt beschouwd als een historische epochenscheiding[20]. De beëindiging van de secularisatie markeerde een duidelijk punt van transitie in het bisdom, met significante gevolgen voor de interne politieke en confessionele structuren. Tegelijkertijd betekende dit een scherpe breuk in de verbinding tussen vorstelijke macht en geestelijke autoriteit binnen Münster.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Münster speelde een sleutelrol in de politieke geschiedenis door zijn pogingen om confessionele en standenstructuren te overbruggen. Toch bleven hervormingen vaak afhankelijk van de steun van conservatieve krachten of buitenlandse actoren. Het einde van de 18e eeuw markeerde een periode van intens diplomatiek handelen. Een belangrijk moment was de politieke overeenkomst tussen het Heilige Roomse Rijk en Frankrijk, waarbij grotere delen van het prinsbisdom Münster werden overgedragen aan andere politieke machten[20]. De afsluiting hiervan volgde op de inname door Pruisische troepen in augustus 1802[22].</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Bronnen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Herzsch, E.**  </w:t>
      </w:r>
    </w:p>
    <w:p w:rsidR="00000000" w:rsidDel="00000000" w:rsidP="00000000" w:rsidRDefault="00000000" w:rsidRPr="00000000" w14:paraId="0000006D">
      <w:pPr>
        <w:rPr/>
      </w:pPr>
      <w:r w:rsidDel="00000000" w:rsidR="00000000" w:rsidRPr="00000000">
        <w:rPr>
          <w:rtl w:val="0"/>
        </w:rPr>
        <w:t xml:space="preserve">*"Modernisierungsprozesse der Krummstabländer"*  </w:t>
      </w:r>
    </w:p>
    <w:p w:rsidR="00000000" w:rsidDel="00000000" w:rsidP="00000000" w:rsidRDefault="00000000" w:rsidRPr="00000000" w14:paraId="0000006E">
      <w:pPr>
        <w:rPr/>
      </w:pPr>
      <w:r w:rsidDel="00000000" w:rsidR="00000000" w:rsidRPr="00000000">
        <w:rPr>
          <w:rtl w:val="0"/>
        </w:rPr>
        <w:t xml:space="preserve">Dit werk beschrijft de moderniseringsprocessen in de gebieden van het "krumme Stab", waarbij wordt benadrukt dat deze processen weinig aansluiting vonden bij protestantse prestatiemaatschappijen en gekenmerkt werden door een versterking van de landadel. Herzsch wijst erop dat de traditionele verknoping tussen recht en religie bleef bestaan, met uitdrukkelijke verwijzingen naar katholieke tradities.  </w:t>
      </w:r>
    </w:p>
    <w:p w:rsidR="00000000" w:rsidDel="00000000" w:rsidP="00000000" w:rsidRDefault="00000000" w:rsidRPr="00000000" w14:paraId="0000006F">
      <w:pPr>
        <w:rPr/>
      </w:pPr>
      <w:r w:rsidDel="00000000" w:rsidR="00000000" w:rsidRPr="00000000">
        <w:rPr>
          <w:rtl w:val="0"/>
        </w:rPr>
        <w:t xml:space="preserve">In: J. Hamm, _Entwicklung des politischen Bewußtseins_, 1978, S. 88–96.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 Freitag, S.**  </w:t>
      </w:r>
    </w:p>
    <w:p w:rsidR="00000000" w:rsidDel="00000000" w:rsidP="00000000" w:rsidRDefault="00000000" w:rsidRPr="00000000" w14:paraId="00000072">
      <w:pPr>
        <w:rPr/>
      </w:pPr>
      <w:r w:rsidDel="00000000" w:rsidR="00000000" w:rsidRPr="00000000">
        <w:rPr>
          <w:rtl w:val="0"/>
        </w:rPr>
        <w:t xml:space="preserve">*"Volks- und Elitenfrömmigkeit"*  </w:t>
      </w:r>
    </w:p>
    <w:p w:rsidR="00000000" w:rsidDel="00000000" w:rsidP="00000000" w:rsidRDefault="00000000" w:rsidRPr="00000000" w14:paraId="00000073">
      <w:pPr>
        <w:rPr/>
      </w:pPr>
      <w:r w:rsidDel="00000000" w:rsidR="00000000" w:rsidRPr="00000000">
        <w:rPr>
          <w:rtl w:val="0"/>
        </w:rPr>
        <w:t xml:space="preserve">In dit hoofdstuk wordt de rol van religieuze elitevorming en volksopvoeding in het Fürstbistum Münster besproken. Het onderzoekt hoe religieuze structuren als instrument werden ingezet om sociale cohesie en stabiliteit te waarborgen.  </w:t>
      </w:r>
    </w:p>
    <w:p w:rsidR="00000000" w:rsidDel="00000000" w:rsidP="00000000" w:rsidRDefault="00000000" w:rsidRPr="00000000" w14:paraId="00000074">
      <w:pPr>
        <w:rPr/>
      </w:pPr>
      <w:r w:rsidDel="00000000" w:rsidR="00000000" w:rsidRPr="00000000">
        <w:rPr>
          <w:rtl w:val="0"/>
        </w:rPr>
        <w:t xml:space="preserve">In: _Volksaufklärung im Fürstbistum Münster_, 1980, S. 317–327.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Hanschmidt, A.**  </w:t>
      </w:r>
    </w:p>
    <w:p w:rsidR="00000000" w:rsidDel="00000000" w:rsidP="00000000" w:rsidRDefault="00000000" w:rsidRPr="00000000" w14:paraId="00000077">
      <w:pPr>
        <w:rPr/>
      </w:pPr>
      <w:r w:rsidDel="00000000" w:rsidR="00000000" w:rsidRPr="00000000">
        <w:rPr>
          <w:rtl w:val="0"/>
        </w:rPr>
        <w:t xml:space="preserve">*"Franz von Fürstenberg als Staatsmann"*  </w:t>
      </w:r>
    </w:p>
    <w:p w:rsidR="00000000" w:rsidDel="00000000" w:rsidP="00000000" w:rsidRDefault="00000000" w:rsidRPr="00000000" w14:paraId="00000078">
      <w:pPr>
        <w:rPr/>
      </w:pPr>
      <w:r w:rsidDel="00000000" w:rsidR="00000000" w:rsidRPr="00000000">
        <w:rPr>
          <w:rtl w:val="0"/>
        </w:rPr>
        <w:t xml:space="preserve">Een diepgaande analyse van Franz von Fürstenberg, minister in het Fürstbistum Münster (1762–1780), met aandacht voor zijn bestuurlijke vaardigheden, hervormingen en de complexiteit van zijn rol binnen een kerkelijke staat.  </w:t>
      </w:r>
    </w:p>
    <w:p w:rsidR="00000000" w:rsidDel="00000000" w:rsidP="00000000" w:rsidRDefault="00000000" w:rsidRPr="00000000" w14:paraId="00000079">
      <w:pPr>
        <w:rPr/>
      </w:pPr>
      <w:r w:rsidDel="00000000" w:rsidR="00000000" w:rsidRPr="00000000">
        <w:rPr>
          <w:rtl w:val="0"/>
        </w:rPr>
        <w:t xml:space="preserve">In: F. Keinemann, _Westfälische Biographien Bd. XVIII_, Münster 1990, S. 64–90.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 Hanschmidt, A.**  </w:t>
      </w:r>
    </w:p>
    <w:p w:rsidR="00000000" w:rsidDel="00000000" w:rsidP="00000000" w:rsidRDefault="00000000" w:rsidRPr="00000000" w14:paraId="0000007C">
      <w:pPr>
        <w:rPr/>
      </w:pPr>
      <w:r w:rsidDel="00000000" w:rsidR="00000000" w:rsidRPr="00000000">
        <w:rPr>
          <w:rtl w:val="0"/>
        </w:rPr>
        <w:t xml:space="preserve">*"Fürstenberg"*  </w:t>
      </w:r>
    </w:p>
    <w:p w:rsidR="00000000" w:rsidDel="00000000" w:rsidP="00000000" w:rsidRDefault="00000000" w:rsidRPr="00000000" w14:paraId="0000007D">
      <w:pPr>
        <w:rPr/>
      </w:pPr>
      <w:r w:rsidDel="00000000" w:rsidR="00000000" w:rsidRPr="00000000">
        <w:rPr>
          <w:rtl w:val="0"/>
        </w:rPr>
        <w:t xml:space="preserve">Analyseert de uitdagingen van Fürstenbergs ambt, waarbij ook de sociale en politieke spanningen van zijn tijd worden meegenomen.  </w:t>
      </w:r>
    </w:p>
    <w:p w:rsidR="00000000" w:rsidDel="00000000" w:rsidP="00000000" w:rsidRDefault="00000000" w:rsidRPr="00000000" w14:paraId="0000007E">
      <w:pPr>
        <w:rPr/>
      </w:pPr>
      <w:r w:rsidDel="00000000" w:rsidR="00000000" w:rsidRPr="00000000">
        <w:rPr>
          <w:rtl w:val="0"/>
        </w:rPr>
        <w:t xml:space="preserve">Zie ook: F. Keinemann, _Fürstenberg_. Beide werken geven een beeld van de sterke invloed van Fürstenberg op lokale en regionale bestuurssystemen.  </w:t>
      </w:r>
    </w:p>
    <w:p w:rsidR="00000000" w:rsidDel="00000000" w:rsidP="00000000" w:rsidRDefault="00000000" w:rsidRPr="00000000" w14:paraId="0000007F">
      <w:pPr>
        <w:rPr/>
      </w:pPr>
      <w:r w:rsidDel="00000000" w:rsidR="00000000" w:rsidRPr="00000000">
        <w:rPr>
          <w:rtl w:val="0"/>
        </w:rPr>
        <w:t xml:space="preserve">S. 80–82.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 Schulte-Uebbing, T.**  </w:t>
      </w:r>
    </w:p>
    <w:p w:rsidR="00000000" w:rsidDel="00000000" w:rsidP="00000000" w:rsidRDefault="00000000" w:rsidRPr="00000000" w14:paraId="00000082">
      <w:pPr>
        <w:rPr/>
      </w:pPr>
      <w:r w:rsidDel="00000000" w:rsidR="00000000" w:rsidRPr="00000000">
        <w:rPr>
          <w:rtl w:val="0"/>
        </w:rPr>
        <w:t xml:space="preserve">*"Profession und Charisma: Herkunft und Ausbildung der Klerus im Bistum Münster (1776–1940)"*  </w:t>
      </w:r>
    </w:p>
    <w:p w:rsidR="00000000" w:rsidDel="00000000" w:rsidP="00000000" w:rsidRDefault="00000000" w:rsidRPr="00000000" w14:paraId="00000083">
      <w:pPr>
        <w:rPr/>
      </w:pPr>
      <w:r w:rsidDel="00000000" w:rsidR="00000000" w:rsidRPr="00000000">
        <w:rPr>
          <w:rtl w:val="0"/>
        </w:rPr>
        <w:t xml:space="preserve">Bestudeert de herkomst en opleiding van de clerus in Münster en schetst zowel de sociale achtergrond als de opleiding die nodig was voor het bekleden van kerkelijke posities in een tijd van grote maatschappelijke verandering.  </w:t>
      </w:r>
    </w:p>
    <w:p w:rsidR="00000000" w:rsidDel="00000000" w:rsidP="00000000" w:rsidRDefault="00000000" w:rsidRPr="00000000" w14:paraId="00000084">
      <w:pPr>
        <w:rPr/>
      </w:pPr>
      <w:r w:rsidDel="00000000" w:rsidR="00000000" w:rsidRPr="00000000">
        <w:rPr>
          <w:rtl w:val="0"/>
        </w:rPr>
        <w:t xml:space="preserve">In: _Veröffentlichungen der Kommission für Zeitgeschichte Reihe B_, 1990, Bd. 85, S. 82.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 Steinhuac, H.**  </w:t>
      </w:r>
    </w:p>
    <w:p w:rsidR="00000000" w:rsidDel="00000000" w:rsidP="00000000" w:rsidRDefault="00000000" w:rsidRPr="00000000" w14:paraId="00000087">
      <w:pPr>
        <w:rPr/>
      </w:pPr>
      <w:r w:rsidDel="00000000" w:rsidR="00000000" w:rsidRPr="00000000">
        <w:rPr>
          <w:rtl w:val="0"/>
        </w:rPr>
        <w:t xml:space="preserve">*"Bernard Overbergs Einfluss auf Bildung und Schulreformen"*  </w:t>
      </w:r>
    </w:p>
    <w:p w:rsidR="00000000" w:rsidDel="00000000" w:rsidP="00000000" w:rsidRDefault="00000000" w:rsidRPr="00000000" w14:paraId="00000088">
      <w:pPr>
        <w:rPr/>
      </w:pPr>
      <w:r w:rsidDel="00000000" w:rsidR="00000000" w:rsidRPr="00000000">
        <w:rPr>
          <w:rtl w:val="0"/>
        </w:rPr>
        <w:t xml:space="preserve">Analyseert de invloed van Overberg op de hervormingen binnen het onderwijs en zijn rol in het bevorderen van confessionele scholing als middel voor religieuze vorming.  </w:t>
      </w:r>
    </w:p>
    <w:p w:rsidR="00000000" w:rsidDel="00000000" w:rsidP="00000000" w:rsidRDefault="00000000" w:rsidRPr="00000000" w14:paraId="00000089">
      <w:pPr>
        <w:rPr/>
      </w:pPr>
      <w:r w:rsidDel="00000000" w:rsidR="00000000" w:rsidRPr="00000000">
        <w:rPr>
          <w:rtl w:val="0"/>
        </w:rPr>
        <w:t xml:space="preserve">In: _Westfälische Zeitschrift_, 1977, S. 89–126.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**7. Sudhof, S.**  </w:t>
      </w:r>
    </w:p>
    <w:p w:rsidR="00000000" w:rsidDel="00000000" w:rsidP="00000000" w:rsidRDefault="00000000" w:rsidRPr="00000000" w14:paraId="0000008C">
      <w:pPr>
        <w:rPr/>
      </w:pPr>
      <w:r w:rsidDel="00000000" w:rsidR="00000000" w:rsidRPr="00000000">
        <w:rPr>
          <w:rtl w:val="0"/>
        </w:rPr>
        <w:t xml:space="preserve">*"Von der Aufklärung zur Romantik"*  </w:t>
      </w:r>
    </w:p>
    <w:p w:rsidR="00000000" w:rsidDel="00000000" w:rsidP="00000000" w:rsidRDefault="00000000" w:rsidRPr="00000000" w14:paraId="0000008D">
      <w:pPr>
        <w:rPr/>
      </w:pPr>
      <w:r w:rsidDel="00000000" w:rsidR="00000000" w:rsidRPr="00000000">
        <w:rPr>
          <w:rtl w:val="0"/>
        </w:rPr>
        <w:t xml:space="preserve">Sudhof verkent de overgang van de verlichting naar de romantiek, waarbij religieuze sentimenten, filosofische reflecties en esthetische verkenningen centraal staan.  </w:t>
      </w:r>
    </w:p>
    <w:p w:rsidR="00000000" w:rsidDel="00000000" w:rsidP="00000000" w:rsidRDefault="00000000" w:rsidRPr="00000000" w14:paraId="0000008E">
      <w:pPr>
        <w:rPr/>
      </w:pPr>
      <w:r w:rsidDel="00000000" w:rsidR="00000000" w:rsidRPr="00000000">
        <w:rPr>
          <w:rtl w:val="0"/>
        </w:rPr>
        <w:t xml:space="preserve">Berlin, 1973, S. 150–151.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**8. Loos, W.**  </w:t>
      </w:r>
    </w:p>
    <w:p w:rsidR="00000000" w:rsidDel="00000000" w:rsidP="00000000" w:rsidRDefault="00000000" w:rsidRPr="00000000" w14:paraId="00000091">
      <w:pPr>
        <w:rPr/>
      </w:pPr>
      <w:r w:rsidDel="00000000" w:rsidR="00000000" w:rsidRPr="00000000">
        <w:rPr>
          <w:rtl w:val="0"/>
        </w:rPr>
        <w:t xml:space="preserve">*"Die Adelige Amalia von Gallitzin (1748–1806)"*  </w:t>
      </w:r>
    </w:p>
    <w:p w:rsidR="00000000" w:rsidDel="00000000" w:rsidP="00000000" w:rsidRDefault="00000000" w:rsidRPr="00000000" w14:paraId="00000092">
      <w:pPr>
        <w:rPr/>
      </w:pPr>
      <w:r w:rsidDel="00000000" w:rsidR="00000000" w:rsidRPr="00000000">
        <w:rPr>
          <w:rtl w:val="0"/>
        </w:rPr>
        <w:t xml:space="preserve">Beschrijft het leven van Amalia von Gallitzin, een figuur die bekendstond om haar bijdragen aan de katholieke culturele beweging en haar persoonlijke filosofische reflecties.  </w:t>
      </w:r>
    </w:p>
    <w:p w:rsidR="00000000" w:rsidDel="00000000" w:rsidP="00000000" w:rsidRDefault="00000000" w:rsidRPr="00000000" w14:paraId="00000093">
      <w:pPr>
        <w:rPr/>
      </w:pPr>
      <w:r w:rsidDel="00000000" w:rsidR="00000000" w:rsidRPr="00000000">
        <w:rPr>
          <w:rtl w:val="0"/>
        </w:rPr>
        <w:t xml:space="preserve">In: R. Stupperich, _Westfälische Lebensbilder Bd. XII_, Münster, 1979, S. 42–67.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**9. Baumer, R.**  </w:t>
      </w:r>
    </w:p>
    <w:p w:rsidR="00000000" w:rsidDel="00000000" w:rsidP="00000000" w:rsidRDefault="00000000" w:rsidRPr="00000000" w14:paraId="00000096">
      <w:pPr>
        <w:rPr/>
      </w:pPr>
      <w:r w:rsidDel="00000000" w:rsidR="00000000" w:rsidRPr="00000000">
        <w:rPr>
          <w:rtl w:val="0"/>
        </w:rPr>
        <w:t xml:space="preserve">*"Reformation und Kirchenrecht im Münsterland"*  </w:t>
      </w:r>
    </w:p>
    <w:p w:rsidR="00000000" w:rsidDel="00000000" w:rsidP="00000000" w:rsidRDefault="00000000" w:rsidRPr="00000000" w14:paraId="00000097">
      <w:pPr>
        <w:rPr/>
      </w:pPr>
      <w:r w:rsidDel="00000000" w:rsidR="00000000" w:rsidRPr="00000000">
        <w:rPr>
          <w:rtl w:val="0"/>
        </w:rPr>
        <w:t xml:space="preserve">Onderzoekt hoe kerkelijk recht en reformatie in het Münsterland bijdroegen aan het tot stand komen van een religieus homogeen gebied.  </w:t>
      </w:r>
    </w:p>
    <w:p w:rsidR="00000000" w:rsidDel="00000000" w:rsidP="00000000" w:rsidRDefault="00000000" w:rsidRPr="00000000" w14:paraId="00000098">
      <w:pPr>
        <w:rPr/>
      </w:pPr>
      <w:r w:rsidDel="00000000" w:rsidR="00000000" w:rsidRPr="00000000">
        <w:rPr>
          <w:rtl w:val="0"/>
        </w:rPr>
        <w:t xml:space="preserve">Paderborn, 1989, S. 727–749.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**10. Schröder, A.**  </w:t>
      </w:r>
    </w:p>
    <w:p w:rsidR="00000000" w:rsidDel="00000000" w:rsidP="00000000" w:rsidRDefault="00000000" w:rsidRPr="00000000" w14:paraId="0000009B">
      <w:pPr>
        <w:rPr/>
      </w:pPr>
      <w:r w:rsidDel="00000000" w:rsidR="00000000" w:rsidRPr="00000000">
        <w:rPr>
          <w:rtl w:val="0"/>
        </w:rPr>
        <w:t xml:space="preserve">*"Die Kirche in Westfalen im Zeitalter der Erneuerung (1585–1648)"*  </w:t>
      </w:r>
    </w:p>
    <w:p w:rsidR="00000000" w:rsidDel="00000000" w:rsidP="00000000" w:rsidRDefault="00000000" w:rsidRPr="00000000" w14:paraId="0000009C">
      <w:pPr>
        <w:rPr/>
      </w:pPr>
      <w:r w:rsidDel="00000000" w:rsidR="00000000" w:rsidRPr="00000000">
        <w:rPr>
          <w:rtl w:val="0"/>
        </w:rPr>
        <w:t xml:space="preserve">Behandelt de vernieuwingen binnen de Westfaalse kerk in de overgangsperiode van katholicisme naar confessionalisering.  </w:t>
      </w:r>
    </w:p>
    <w:p w:rsidR="00000000" w:rsidDel="00000000" w:rsidP="00000000" w:rsidRDefault="00000000" w:rsidRPr="00000000" w14:paraId="0000009D">
      <w:pPr>
        <w:rPr/>
      </w:pPr>
      <w:r w:rsidDel="00000000" w:rsidR="00000000" w:rsidRPr="00000000">
        <w:rPr>
          <w:rtl w:val="0"/>
        </w:rPr>
        <w:t xml:space="preserve">In: _Erneuerung_, Münster, 1987, Bd. 2, S. 100–103.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**11. Freitag, S.**  </w:t>
      </w:r>
    </w:p>
    <w:p w:rsidR="00000000" w:rsidDel="00000000" w:rsidP="00000000" w:rsidRDefault="00000000" w:rsidRPr="00000000" w14:paraId="000000A0">
      <w:pPr>
        <w:rPr/>
      </w:pPr>
      <w:r w:rsidDel="00000000" w:rsidR="00000000" w:rsidRPr="00000000">
        <w:rPr>
          <w:rtl w:val="0"/>
        </w:rPr>
        <w:t xml:space="preserve">*"Konfessionelle Kulturen und Verwaltung im Übergang zur Moderne"*  </w:t>
      </w:r>
    </w:p>
    <w:p w:rsidR="00000000" w:rsidDel="00000000" w:rsidP="00000000" w:rsidRDefault="00000000" w:rsidRPr="00000000" w14:paraId="000000A1">
      <w:pPr>
        <w:rPr/>
      </w:pPr>
      <w:r w:rsidDel="00000000" w:rsidR="00000000" w:rsidRPr="00000000">
        <w:rPr>
          <w:rtl w:val="0"/>
        </w:rPr>
        <w:t xml:space="preserve">Analyseert hoe religieuze culturen en confessionele structuren invloed hadden op de sociale en politieke administratie van Westfalen in een periode die leidde naar de modernisering.  </w:t>
      </w:r>
    </w:p>
    <w:p w:rsidR="00000000" w:rsidDel="00000000" w:rsidP="00000000" w:rsidRDefault="00000000" w:rsidRPr="00000000" w14:paraId="000000A2">
      <w:pPr>
        <w:rPr/>
      </w:pPr>
      <w:r w:rsidDel="00000000" w:rsidR="00000000" w:rsidRPr="00000000">
        <w:rPr>
          <w:rtl w:val="0"/>
        </w:rPr>
        <w:t xml:space="preserve">In: _Erneuerung_, Münster, 1990, Bd. 3, S. 341–367.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**12. Hia-Po-Hsia, F.**  </w:t>
      </w:r>
    </w:p>
    <w:p w:rsidR="00000000" w:rsidDel="00000000" w:rsidP="00000000" w:rsidRDefault="00000000" w:rsidRPr="00000000" w14:paraId="000000A5">
      <w:pPr>
        <w:rPr/>
      </w:pPr>
      <w:r w:rsidDel="00000000" w:rsidR="00000000" w:rsidRPr="00000000">
        <w:rPr>
          <w:rtl w:val="0"/>
        </w:rPr>
        <w:t xml:space="preserve">*"Erstes Kapitel: Innerliche Kirchlichkeit bij de Jesuiten"*  </w:t>
      </w:r>
    </w:p>
    <w:p w:rsidR="00000000" w:rsidDel="00000000" w:rsidP="00000000" w:rsidRDefault="00000000" w:rsidRPr="00000000" w14:paraId="000000A6">
      <w:pPr>
        <w:rPr/>
      </w:pPr>
      <w:r w:rsidDel="00000000" w:rsidR="00000000" w:rsidRPr="00000000">
        <w:rPr>
          <w:rtl w:val="0"/>
        </w:rPr>
        <w:t xml:space="preserve">Dit werk richt zich op de interne strategieën van de Jezuïeten en hun religieuze methodologie voor het vormen van katholieke identiteiten.  </w:t>
      </w:r>
    </w:p>
    <w:p w:rsidR="00000000" w:rsidDel="00000000" w:rsidP="00000000" w:rsidRDefault="00000000" w:rsidRPr="00000000" w14:paraId="000000A7">
      <w:pPr>
        <w:rPr/>
      </w:pPr>
      <w:r w:rsidDel="00000000" w:rsidR="00000000" w:rsidRPr="00000000">
        <w:rPr>
          <w:rtl w:val="0"/>
        </w:rPr>
        <w:t xml:space="preserve">Freiburg, 1978, S. 64–72.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**13. Schmidt, H.**  </w:t>
      </w:r>
    </w:p>
    <w:p w:rsidR="00000000" w:rsidDel="00000000" w:rsidP="00000000" w:rsidRDefault="00000000" w:rsidRPr="00000000" w14:paraId="000000AA">
      <w:pPr>
        <w:rPr/>
      </w:pPr>
      <w:r w:rsidDel="00000000" w:rsidR="00000000" w:rsidRPr="00000000">
        <w:rPr>
          <w:rtl w:val="0"/>
        </w:rPr>
        <w:t xml:space="preserve">*"Konfessionalisierung im 16. Jahrhundert"*  </w:t>
      </w:r>
    </w:p>
    <w:p w:rsidR="00000000" w:rsidDel="00000000" w:rsidP="00000000" w:rsidRDefault="00000000" w:rsidRPr="00000000" w14:paraId="000000AB">
      <w:pPr>
        <w:rPr/>
      </w:pPr>
      <w:r w:rsidDel="00000000" w:rsidR="00000000" w:rsidRPr="00000000">
        <w:rPr>
          <w:rtl w:val="0"/>
        </w:rPr>
        <w:t xml:space="preserve">Bespreekt de langdurige processen van confessionalisering in Duitsland, met specifieke nadruk op katholieke territoria en hun institutionele effecten.  </w:t>
      </w:r>
    </w:p>
    <w:p w:rsidR="00000000" w:rsidDel="00000000" w:rsidP="00000000" w:rsidRDefault="00000000" w:rsidRPr="00000000" w14:paraId="000000AC">
      <w:pPr>
        <w:rPr/>
      </w:pPr>
      <w:r w:rsidDel="00000000" w:rsidR="00000000" w:rsidRPr="00000000">
        <w:rPr>
          <w:rtl w:val="0"/>
        </w:rPr>
        <w:t xml:space="preserve">In: Enzyklopädie deutscher Geschichte, Bd. 12, München, 1992, S. 35–41.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**14. Kohl, W.**  </w:t>
      </w:r>
    </w:p>
    <w:p w:rsidR="00000000" w:rsidDel="00000000" w:rsidP="00000000" w:rsidRDefault="00000000" w:rsidRPr="00000000" w14:paraId="000000AF">
      <w:pPr>
        <w:rPr/>
      </w:pPr>
      <w:r w:rsidDel="00000000" w:rsidR="00000000" w:rsidRPr="00000000">
        <w:rPr>
          <w:rtl w:val="0"/>
        </w:rPr>
        <w:t xml:space="preserve">*"Christoph Bernhard von Galen und der Aufbau des Fürstbistums Münster (1650–1678)"*  </w:t>
      </w:r>
    </w:p>
    <w:p w:rsidR="00000000" w:rsidDel="00000000" w:rsidP="00000000" w:rsidRDefault="00000000" w:rsidRPr="00000000" w14:paraId="000000B0">
      <w:pPr>
        <w:rPr/>
      </w:pPr>
      <w:r w:rsidDel="00000000" w:rsidR="00000000" w:rsidRPr="00000000">
        <w:rPr>
          <w:rtl w:val="0"/>
        </w:rPr>
        <w:t xml:space="preserve">Analyseert de rol van Christoph Bernhard von Galen in de opbouw van het Fürstbistum Münster tijdens een periode van religieuze en politieke vernieuwingen.  </w:t>
      </w:r>
    </w:p>
    <w:p w:rsidR="00000000" w:rsidDel="00000000" w:rsidP="00000000" w:rsidRDefault="00000000" w:rsidRPr="00000000" w14:paraId="000000B1">
      <w:pPr>
        <w:rPr/>
      </w:pPr>
      <w:r w:rsidDel="00000000" w:rsidR="00000000" w:rsidRPr="00000000">
        <w:rPr>
          <w:rtl w:val="0"/>
        </w:rPr>
        <w:t xml:space="preserve">In: _Westfälische Biographien Bd. XVIII_, Münster, 1964.  </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