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1C200" w14:textId="14801902" w:rsidR="00AB775B" w:rsidRDefault="00AB775B" w:rsidP="00AB775B">
      <w:r>
        <w:t xml:space="preserve">This Agreement is made and entered into, as of 30-Oct-2023(“Effective Date”), by and between Affine Inc, Location based corporation (hereinafter referred to as “Affine”), having a principal place of business at Address and Bellevue, Washington (2023 156th Avenue, N.E, Building F, Suite 333, 98007), with a principal location of In. Genius Solutions </w:t>
      </w:r>
      <w:proofErr w:type="spellStart"/>
      <w:r>
        <w:t>Fzco</w:t>
      </w:r>
      <w:proofErr w:type="spellEnd"/>
      <w:r>
        <w:t xml:space="preserve"> (Dubai DDP, Building A1, Dubai, United Arab Emirates) (hereinafter referred to as “Vendor”).</w:t>
      </w:r>
    </w:p>
    <w:p w14:paraId="2E3B048C" w14:textId="77777777" w:rsidR="00AB775B" w:rsidRDefault="00AB775B" w:rsidP="00AB775B"/>
    <w:p w14:paraId="54FD5AAA" w14:textId="77777777" w:rsidR="00AB775B" w:rsidRDefault="00AB775B" w:rsidP="00AB775B"/>
    <w:p w14:paraId="7FAA5DFC" w14:textId="56A19A67" w:rsidR="00AB775B" w:rsidRPr="008C4BC9" w:rsidRDefault="00E60EAB" w:rsidP="00AB775B">
      <w:r w:rsidRPr="008C4BC9">
        <w:t>In accordance with our updated terms and conditions, all invoices must be submitted to Affine Inc within 70 days of the approval date of the corresponding timesheets. Vendor (Consultant) employees are required to diligently complete weekly timesheets for Affine Inc to ensure that hours are accurately approved, thus enabling them to be eligible for payment. Affine Inc will make payments to the Vendor within fifteen (15) days upon receiving an invoice that is supported by an approved timesheet from Affine Inc's client. The consultant will now submit a monthly timesheet to Affine Inc. It is important to note that any discrepancies in the timesheet must be brought to the notice of the Vendor within ten (10) days of receiving the timesheet; otherwise, the timesheet will be considered accepted by Affine Inc. Similarly, any discrepancies in the invoice amount must be reported to the Vendor within thirty-five (35) working days of receiving the invoice(s), or the invoice(s) will be regarded as accepted by Affine Inc.</w:t>
      </w:r>
    </w:p>
    <w:p w14:paraId="68BF7889" w14:textId="77777777" w:rsidR="00AB775B" w:rsidRPr="008C4BC9" w:rsidRDefault="00AB775B" w:rsidP="00AB775B"/>
    <w:p w14:paraId="35DB6EBD" w14:textId="77777777" w:rsidR="002523A2" w:rsidRPr="008C4BC9" w:rsidRDefault="002523A2" w:rsidP="00AB775B"/>
    <w:p w14:paraId="28803FC7" w14:textId="61697989" w:rsidR="0042643A" w:rsidRPr="0042643A" w:rsidRDefault="00AB775B" w:rsidP="0042643A">
      <w:r w:rsidRPr="008C4BC9">
        <w:t>Vendor agrees to uphold accounting records in compliance with the latest generally accepted accounting principles, ensuring transparency in disclosing the foundation of all charges or expenses invoiced to Affine Inc pursuant to this Agreement. Vendor is required to preserve these records in accordance with the most recent record retention guidelines, which dictate retaining them for a period of Five (5) years following the conclusion or expiry of this Agreement.</w:t>
      </w:r>
    </w:p>
    <w:sectPr w:rsidR="0042643A" w:rsidRPr="00426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27C0"/>
    <w:rsid w:val="00080EF1"/>
    <w:rsid w:val="001127C0"/>
    <w:rsid w:val="001B62CF"/>
    <w:rsid w:val="001B779D"/>
    <w:rsid w:val="002523A2"/>
    <w:rsid w:val="0042643A"/>
    <w:rsid w:val="008C4BC9"/>
    <w:rsid w:val="00A56904"/>
    <w:rsid w:val="00A87D6E"/>
    <w:rsid w:val="00AB10B0"/>
    <w:rsid w:val="00AB775B"/>
    <w:rsid w:val="00C23587"/>
    <w:rsid w:val="00E60EAB"/>
    <w:rsid w:val="00EB4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B1C1"/>
  <w15:chartTrackingRefBased/>
  <w15:docId w15:val="{0B386411-D6DD-4B78-9FF3-B7F23053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1727</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Bodake</dc:creator>
  <cp:keywords/>
  <dc:description/>
  <cp:lastModifiedBy>Sanket Bodake</cp:lastModifiedBy>
  <cp:revision>12</cp:revision>
  <dcterms:created xsi:type="dcterms:W3CDTF">2023-10-30T13:38:00Z</dcterms:created>
  <dcterms:modified xsi:type="dcterms:W3CDTF">2023-11-20T13:03:00Z</dcterms:modified>
</cp:coreProperties>
</file>