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438" w:after="120"/>
        <w:ind w:left="0" w:right="2644" w:firstLine="0"/>
        <w:jc w:val="righ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MUTUAL NON-DISCLOSURE AGREEMENT (“NDA”)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1.9999999999999" w:type="dxa"/>
      </w:tblPr>
      <w:tblGrid>
        <w:gridCol w:w="5223"/>
        <w:gridCol w:w="5223"/>
      </w:tblGrid>
      <w:tr>
        <w:trPr>
          <w:trHeight w:hRule="exact" w:val="772"/>
        </w:trPr>
        <w:tc>
          <w:tcPr>
            <w:tcW w:type="dxa" w:w="302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AFFINE </w:t>
            </w:r>
          </w:p>
        </w:tc>
        <w:tc>
          <w:tcPr>
            <w:tcW w:type="dxa" w:w="6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AFFINE ANALYTICS PVT LTD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453, BBMP No.351/453 4th sector, next to Taco Bell, HSR Layout, Bengaluru,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Karnataka 560102 </w:t>
            </w:r>
          </w:p>
        </w:tc>
      </w:tr>
      <w:tr>
        <w:trPr>
          <w:trHeight w:hRule="exact" w:val="266"/>
        </w:trPr>
        <w:tc>
          <w:tcPr>
            <w:tcW w:type="dxa" w:w="302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PARTNER </w:t>
            </w:r>
          </w:p>
        </w:tc>
        <w:tc>
          <w:tcPr>
            <w:tcW w:type="dxa" w:w="6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Neosoft Private Limited </w:t>
            </w:r>
          </w:p>
        </w:tc>
      </w:tr>
      <w:tr>
        <w:trPr>
          <w:trHeight w:hRule="exact" w:val="498"/>
        </w:trPr>
        <w:tc>
          <w:tcPr>
            <w:tcW w:type="dxa" w:w="3026"/>
            <w:vMerge w:val="restart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Primary Contacts </w:t>
            </w:r>
          </w:p>
        </w:tc>
        <w:tc>
          <w:tcPr>
            <w:tcW w:type="dxa" w:w="6716"/>
            <w:tcBorders>
              <w:start w:sz="4.0" w:val="single" w:color="#000000"/>
              <w:top w:sz="4.0" w:val="single" w:color="#000000"/>
              <w:end w:sz="4.0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201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Affine: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Rajesh Narayan, Senior Vice President – India Business </w:t>
            </w:r>
          </w:p>
        </w:tc>
      </w:tr>
      <w:tr>
        <w:trPr>
          <w:trHeight w:hRule="exact" w:val="742"/>
        </w:trPr>
        <w:tc>
          <w:tcPr>
            <w:tcW w:type="dxa" w:w="5223"/>
            <w:vMerge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716"/>
            <w:tcBorders>
              <w:start w:sz="4.0" w:val="single" w:color="#000000"/>
              <w:top w:sz="3.839999914169311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Partner: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Unit No.5, The Ruby Tower, 4th Floor, Dadar -400028, Mumbai, India </w:t>
            </w:r>
          </w:p>
        </w:tc>
      </w:tr>
      <w:tr>
        <w:trPr>
          <w:trHeight w:hRule="exact" w:val="264"/>
        </w:trPr>
        <w:tc>
          <w:tcPr>
            <w:tcW w:type="dxa" w:w="302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Effective Date of this NDA </w:t>
            </w:r>
          </w:p>
        </w:tc>
        <w:tc>
          <w:tcPr>
            <w:tcW w:type="dxa" w:w="6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April 12, 2023 </w:t>
            </w:r>
          </w:p>
        </w:tc>
      </w:tr>
      <w:tr>
        <w:trPr>
          <w:trHeight w:hRule="exact" w:val="254"/>
        </w:trPr>
        <w:tc>
          <w:tcPr>
            <w:tcW w:type="dxa" w:w="302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Governing Law &amp; Jurisdiction </w:t>
            </w:r>
          </w:p>
        </w:tc>
        <w:tc>
          <w:tcPr>
            <w:tcW w:type="dxa" w:w="6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India, Exclusive jurisdiction of the courts at Bangalore </w:t>
            </w:r>
          </w:p>
        </w:tc>
      </w:tr>
    </w:tbl>
    <w:p>
      <w:pPr>
        <w:autoSpaceDN w:val="0"/>
        <w:autoSpaceDE w:val="0"/>
        <w:widowControl/>
        <w:spacing w:line="245" w:lineRule="auto" w:before="338" w:after="0"/>
        <w:ind w:left="448" w:right="0" w:hanging="362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1.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Background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Each party intends (as a “Disclosing Party”) to disclose or deliver to the other (as a “Receiving Party”) certain Confidential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Information and has entered this NDA in order to assure the confidentiality of such Confidential Information. </w:t>
      </w:r>
    </w:p>
    <w:p>
      <w:pPr>
        <w:autoSpaceDN w:val="0"/>
        <w:tabs>
          <w:tab w:pos="538" w:val="left"/>
          <w:tab w:pos="898" w:val="left"/>
        </w:tabs>
        <w:autoSpaceDE w:val="0"/>
        <w:widowControl/>
        <w:spacing w:line="245" w:lineRule="auto" w:before="288" w:after="0"/>
        <w:ind w:left="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2.</w:t>
      </w:r>
      <w:r>
        <w:rPr>
          <w:rFonts w:ascii="Calibri" w:hAnsi="Calibri" w:eastAsia="Calibri"/>
          <w:b/>
          <w:i w:val="0"/>
          <w:color w:val="000000"/>
          <w:sz w:val="20"/>
        </w:rPr>
        <w:t>“Confidential Information”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means all information: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a.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about either party’s (which, for purposes of this Section 2, is deemed to include each party and its subsidiaries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and/or affiliated companies) business, projects, business plans, clients/customers, strategies, trade secrets,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operations, records, finances, assets, technology, and data (or those of its clients/customers and their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clients/customers), or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b.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that reveals the processes, methodologies, technology or know how by which either party’s (or their respective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clients’/customers’) existing or future products, services, applications, and methods of operation are developed,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conducted, or operated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PROVIDED that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such information is designated in writing as confidential by the Disclosing Party, prior to or at the time any such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information is disclosed by the Disclosing Party to the Receiving Party, or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d.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it would be apparent to a reasonable person, familiar with the Disclosing Party’s business and the industry in which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it operates, that such information is of a confidential nature, or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e.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Disclosing Party, within thirty (30) days after disclosure, delivers to the Receiving Party in writing a description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such information referencing the place and date of such disclosure and the names of the people to whom such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disclosure was made </w:t>
      </w:r>
    </w:p>
    <w:p>
      <w:pPr>
        <w:autoSpaceDN w:val="0"/>
        <w:tabs>
          <w:tab w:pos="448" w:val="left"/>
          <w:tab w:pos="538" w:val="left"/>
          <w:tab w:pos="898" w:val="left"/>
        </w:tabs>
        <w:autoSpaceDE w:val="0"/>
        <w:widowControl/>
        <w:spacing w:line="245" w:lineRule="auto" w:before="292" w:after="0"/>
        <w:ind w:left="86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3.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Disclosure of Confidential Information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Unless otherwise authorized in advance in writing by an authorized officer of the Disclosing Party in relation to specified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Confidential Information, the Receiving Party will: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a.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hold in confidence, and not disclose (or permit or suffer its personnel to disclose), to any person outside its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organization, any Confidential Information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b.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use any Confidential Information only for the purpose for which it was disclosed and not use or exploit such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Confidential Information for its own benefit or the benefit of another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where so requested by any client/customer/subsidiary and/or affiliated company/supplier of the Disclosing Party, </w:t>
      </w:r>
      <w:r>
        <w:rPr>
          <w:rFonts w:ascii="Calibri" w:hAnsi="Calibri" w:eastAsia="Calibri"/>
          <w:b w:val="0"/>
          <w:i w:val="0"/>
          <w:color w:val="000000"/>
          <w:sz w:val="20"/>
        </w:rPr>
        <w:t>c.</w:t>
      </w:r>
    </w:p>
    <w:p>
      <w:pPr>
        <w:autoSpaceDN w:val="0"/>
        <w:autoSpaceDE w:val="0"/>
        <w:widowControl/>
        <w:spacing w:line="245" w:lineRule="auto" w:before="42" w:after="0"/>
        <w:ind w:left="898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enter into a confidentiality agreement with such third party on such terms as that third party shall reasonably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require relating to use of its Confidential Information </w:t>
      </w:r>
    </w:p>
    <w:p>
      <w:pPr>
        <w:autoSpaceDN w:val="0"/>
        <w:autoSpaceDE w:val="0"/>
        <w:widowControl/>
        <w:spacing w:line="197" w:lineRule="auto" w:before="1666" w:after="0"/>
        <w:ind w:left="3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Affine Analytics Private Limited </w:t>
      </w:r>
    </w:p>
    <w:p>
      <w:pPr>
        <w:autoSpaceDN w:val="0"/>
        <w:autoSpaceDE w:val="0"/>
        <w:widowControl/>
        <w:spacing w:line="197" w:lineRule="auto" w:before="126" w:after="106"/>
        <w:ind w:left="36" w:right="0" w:firstLine="0"/>
        <w:jc w:val="left"/>
      </w:pPr>
      <w:r>
        <w:rPr>
          <w:rFonts w:ascii="Calibri" w:hAnsi="Calibri" w:eastAsia="Calibri"/>
          <w:b w:val="0"/>
          <w:i w:val="0"/>
          <w:color w:val="767070"/>
          <w:sz w:val="18"/>
        </w:rPr>
        <w:t xml:space="preserve">453, BBMP No. 351/453, 4th sector, HSR Layout, Bangalore, KA, IN – 560102.                                                      </w:t>
      </w:r>
      <w:r>
        <w:rPr>
          <w:rFonts w:ascii="Calibri" w:hAnsi="Calibri" w:eastAsia="Calibri"/>
          <w:b/>
          <w:i w:val="0"/>
          <w:color w:val="767070"/>
          <w:sz w:val="18"/>
        </w:rPr>
        <w:t>Affine Confidential</w:t>
      </w:r>
    </w:p>
    <w:p>
      <w:pPr>
        <w:sectPr>
          <w:pgSz w:w="11899" w:h="16841"/>
          <w:pgMar w:top="388" w:right="758" w:bottom="606" w:left="694" w:header="720" w:footer="720" w:gutter="0"/>
          <w:cols w:space="720" w:num="1" w:equalWidth="0">
            <w:col w:w="10448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36" w:right="0" w:firstLine="0"/>
        <w:jc w:val="left"/>
      </w:pPr>
      <w:r>
        <w:rPr>
          <w:rFonts w:ascii="Calibri" w:hAnsi="Calibri" w:eastAsia="Calibri"/>
          <w:b w:val="0"/>
          <w:i w:val="0"/>
          <w:color w:val="767070"/>
          <w:sz w:val="18"/>
        </w:rPr>
        <w:t xml:space="preserve">Tel: +91-80-6569-0996 | Web: affine.ai | Mail: info@affine.ai </w:t>
      </w:r>
    </w:p>
    <w:p>
      <w:pPr>
        <w:sectPr>
          <w:type w:val="continuous"/>
          <w:pgSz w:w="11899" w:h="16841"/>
          <w:pgMar w:top="388" w:right="758" w:bottom="606" w:left="694" w:header="720" w:footer="720" w:gutter="0"/>
          <w:cols w:space="720" w:num="2" w:equalWidth="0">
            <w:col w:w="6184" w:space="0"/>
            <w:col w:w="4264" w:space="0"/>
            <w:col w:w="10448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767070"/>
          <w:sz w:val="18"/>
        </w:rPr>
        <w:t xml:space="preserve">CIN No: U74999KA2011PTC057118 </w:t>
      </w:r>
    </w:p>
    <w:p>
      <w:pPr>
        <w:sectPr>
          <w:type w:val="nextColumn"/>
          <w:pgSz w:w="11899" w:h="16841"/>
          <w:pgMar w:top="388" w:right="758" w:bottom="606" w:left="694" w:header="720" w:footer="720" w:gutter="0"/>
          <w:cols w:space="720" w:num="2" w:equalWidth="0">
            <w:col w:w="6184" w:space="0"/>
            <w:col w:w="4264" w:space="0"/>
            <w:col w:w="104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98" w:val="left"/>
        </w:tabs>
        <w:autoSpaceDE w:val="0"/>
        <w:widowControl/>
        <w:spacing w:line="245" w:lineRule="auto" w:before="430" w:after="0"/>
        <w:ind w:left="5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d.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not cause or permit reverse engineering of any Confidential Information or recompilation or disassembly of any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software programs which are part of the Confidential Information received by it under this NDA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>e.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not disclose Confidential Information to persons within its organization and its agents, consultants or subcontractors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except where the same have a “need to know” such Confidential Information for the performance of their duties 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connection with the purpose for which it was disclosed, and are bound by a written agreement (on terms not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inconsistent with this NDA) to protect the confidentiality of such Confidential Information; the Receiving Party will 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any event be liable for the acts, omissions or defaults of persons inside its organization relating to the Confidential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Information as if they were its own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adopt and maintain programs and procedures which are reasonably calculated to protect the confidentiality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Confidential Information, and be responsible to the Disclosing Party for any disclosure or misuse of Confidential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Information which results from a failure to comply with this provision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g.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promptly report to the Disclosing Party any actual or suspected violation of the terms of this NDA and take all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reasonable further steps requested by the Disclosing Party to prevent, control, or remedy any such violation; and </w:t>
      </w:r>
      <w:r>
        <w:rPr>
          <w:rFonts w:ascii="Calibri" w:hAnsi="Calibri" w:eastAsia="Calibri"/>
          <w:b w:val="0"/>
          <w:i w:val="0"/>
          <w:color w:val="000000"/>
          <w:sz w:val="20"/>
        </w:rPr>
        <w:t>h.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not make copies, summaries, or transcripts of any Confidential Information (in whole or in part) except as strictly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necessary for the purpose which it was disclosed; all such copies, summaries and transcripts shall be deemed to be,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and clearly identified as being, Confidential Information. </w:t>
      </w:r>
    </w:p>
    <w:p>
      <w:pPr>
        <w:autoSpaceDN w:val="0"/>
        <w:autoSpaceDE w:val="0"/>
        <w:widowControl/>
        <w:spacing w:line="245" w:lineRule="auto" w:before="46" w:after="0"/>
        <w:ind w:left="358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parties agree that either party shall be permitted to disclose Confidential Information to any of its subsidiary and/or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affiliated companies but only on a “need to know” basis. </w:t>
      </w:r>
    </w:p>
    <w:p>
      <w:pPr>
        <w:autoSpaceDN w:val="0"/>
        <w:tabs>
          <w:tab w:pos="448" w:val="left"/>
          <w:tab w:pos="538" w:val="left"/>
          <w:tab w:pos="898" w:val="left"/>
        </w:tabs>
        <w:autoSpaceDE w:val="0"/>
        <w:widowControl/>
        <w:spacing w:line="245" w:lineRule="auto" w:before="288" w:after="0"/>
        <w:ind w:left="8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4.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Limitation on Obligations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obligations of the Receiving Party in 3 above shall not apply, and the Receiving Party shall have no further obligations,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with respect to any Confidential Information, to the extent Receiving Party can demonstrate that such Confidential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Information: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a.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was generally known to the public at the time of disclosure or becomes generally known through no wrongful act on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part of the Receiving Party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b.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was in the Receiving Party’s possession at the time of disclosure otherwise than as a result of Receiving Party’s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breach of any legal obligation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became known to the Receiving Party through disclosure by sources other than the Disclosing Party having the legal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right to disclose such information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d.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was independently developed by the Receiving Party without reference to or reliance upon the Confidential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Information in question; or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e.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is required to be disclosed by the Receiving Party to comply with applicable laws or regulations, PROVIDED that the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Receiving Party provides prior written notice of disclosure to the Disclosing Party and takes reasonable actions to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avoid and/or minimise the extent of such disclosure. </w:t>
      </w:r>
    </w:p>
    <w:p>
      <w:pPr>
        <w:autoSpaceDN w:val="0"/>
        <w:autoSpaceDE w:val="0"/>
        <w:widowControl/>
        <w:spacing w:line="245" w:lineRule="auto" w:before="292" w:after="0"/>
        <w:ind w:left="448" w:right="144" w:hanging="362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5.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Ownership of Confidential Information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Receiving Party agrees that the Disclosing Party (or its respective clients/customers as appropriate) is and shall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remain the exclusive owner of the Confidential Information and all patent, copyright, trade secret, trademark, and other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intellectual property rights therein.  No license or conveyance of any such rights to the Receiving Party is granted or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implied under this NDA. </w:t>
      </w:r>
    </w:p>
    <w:p>
      <w:pPr>
        <w:autoSpaceDN w:val="0"/>
        <w:autoSpaceDE w:val="0"/>
        <w:widowControl/>
        <w:spacing w:line="245" w:lineRule="auto" w:before="776" w:after="0"/>
        <w:ind w:left="448" w:right="0" w:hanging="362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6.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Return of Documents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Receiving Party shall, upon the termination of this NDA or the request of the Disclosing Party, destroy, erase or return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to the Disclosing Party all drawings, documents, and other tangible manifestations of Confidential Information received by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Receiving Party pursuant to this NDA (and all copies or reproductions thereof) except to the extent that the same </w:t>
      </w:r>
    </w:p>
    <w:p>
      <w:pPr>
        <w:autoSpaceDN w:val="0"/>
        <w:autoSpaceDE w:val="0"/>
        <w:widowControl/>
        <w:spacing w:line="197" w:lineRule="auto" w:before="1274" w:after="0"/>
        <w:ind w:left="3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Affine Analytics Private Limited </w:t>
      </w:r>
    </w:p>
    <w:p>
      <w:pPr>
        <w:autoSpaceDN w:val="0"/>
        <w:autoSpaceDE w:val="0"/>
        <w:widowControl/>
        <w:spacing w:line="197" w:lineRule="auto" w:before="126" w:after="106"/>
        <w:ind w:left="36" w:right="0" w:firstLine="0"/>
        <w:jc w:val="left"/>
      </w:pPr>
      <w:r>
        <w:rPr>
          <w:rFonts w:ascii="Calibri" w:hAnsi="Calibri" w:eastAsia="Calibri"/>
          <w:b w:val="0"/>
          <w:i w:val="0"/>
          <w:color w:val="767070"/>
          <w:sz w:val="18"/>
        </w:rPr>
        <w:t xml:space="preserve">453, BBMP No. 351/453, 4th sector, HSR Layout, Bangalore, KA, IN – 560102.                                                      </w:t>
      </w:r>
      <w:r>
        <w:rPr>
          <w:rFonts w:ascii="Calibri" w:hAnsi="Calibri" w:eastAsia="Calibri"/>
          <w:b/>
          <w:i w:val="0"/>
          <w:color w:val="767070"/>
          <w:sz w:val="18"/>
        </w:rPr>
        <w:t>Affine Confidential</w:t>
      </w:r>
    </w:p>
    <w:p>
      <w:pPr>
        <w:sectPr>
          <w:pgSz w:w="11899" w:h="16841"/>
          <w:pgMar w:top="388" w:right="758" w:bottom="606" w:left="694" w:header="720" w:footer="720" w:gutter="0"/>
          <w:cols w:space="720" w:num="1" w:equalWidth="0">
            <w:col w:w="10448" w:space="0"/>
            <w:col w:w="6184" w:space="0"/>
            <w:col w:w="4264" w:space="0"/>
            <w:col w:w="10448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36" w:right="0" w:firstLine="0"/>
        <w:jc w:val="left"/>
      </w:pPr>
      <w:r>
        <w:rPr>
          <w:rFonts w:ascii="Calibri" w:hAnsi="Calibri" w:eastAsia="Calibri"/>
          <w:b w:val="0"/>
          <w:i w:val="0"/>
          <w:color w:val="767070"/>
          <w:sz w:val="18"/>
        </w:rPr>
        <w:t xml:space="preserve">Tel: +91-80-6569-0996 | Web: affine.ai | Mail: info@affine.ai </w:t>
      </w:r>
    </w:p>
    <w:p>
      <w:pPr>
        <w:sectPr>
          <w:type w:val="continuous"/>
          <w:pgSz w:w="11899" w:h="16841"/>
          <w:pgMar w:top="388" w:right="758" w:bottom="606" w:left="694" w:header="720" w:footer="720" w:gutter="0"/>
          <w:cols w:space="720" w:num="2" w:equalWidth="0">
            <w:col w:w="6184" w:space="0"/>
            <w:col w:w="4264" w:space="0"/>
            <w:col w:w="10448" w:space="0"/>
            <w:col w:w="6184" w:space="0"/>
            <w:col w:w="4264" w:space="0"/>
            <w:col w:w="10448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767070"/>
          <w:sz w:val="18"/>
        </w:rPr>
        <w:t xml:space="preserve">CIN No: U74999KA2011PTC057118 </w:t>
      </w:r>
    </w:p>
    <w:p>
      <w:pPr>
        <w:sectPr>
          <w:type w:val="nextColumn"/>
          <w:pgSz w:w="11899" w:h="16841"/>
          <w:pgMar w:top="388" w:right="758" w:bottom="606" w:left="694" w:header="720" w:footer="720" w:gutter="0"/>
          <w:cols w:space="720" w:num="2" w:equalWidth="0">
            <w:col w:w="6184" w:space="0"/>
            <w:col w:w="4264" w:space="0"/>
            <w:col w:w="10448" w:space="0"/>
            <w:col w:w="6184" w:space="0"/>
            <w:col w:w="4264" w:space="0"/>
            <w:col w:w="104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880110</wp:posOffset>
            </wp:positionH>
            <wp:positionV relativeFrom="page">
              <wp:posOffset>6064250</wp:posOffset>
            </wp:positionV>
            <wp:extent cx="551180" cy="580393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58039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30" w:after="0"/>
        <w:ind w:left="448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form part of the permanent records of the Receiving Party which it is bound by law or regulatory requirement to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preserve, or which the Receiving Party may reasonably request to keep for archive purposes, and the provisions of this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NDA shall, notwithstanding its termination, continue to apply to all such Confidential Information. </w:t>
      </w:r>
    </w:p>
    <w:p>
      <w:pPr>
        <w:autoSpaceDN w:val="0"/>
        <w:tabs>
          <w:tab w:pos="538" w:val="left"/>
          <w:tab w:pos="898" w:val="left"/>
        </w:tabs>
        <w:autoSpaceDE w:val="0"/>
        <w:widowControl/>
        <w:spacing w:line="245" w:lineRule="auto" w:before="288" w:after="0"/>
        <w:ind w:left="86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7.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Miscellaneous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a.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This NDA supersedes all prior agreements, written or oral, between the Disclosing Party and the Receiving Party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relating to its subject matter.  This NDA may not be modified, amended, transferred, or discharged, in whole or 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part, except in writing signed by both parties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b.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This NDA will be binding upon and inure to the benefit of the parties hereto and their respective heirs, successors,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and assigns.    This NDA shall be governed by the laws of the country, state or province indicated above without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respect to conflicts of law/choice of law provisions, and to the extent permitted by law, the parties agree that any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disputes arising from this NDA shall be subject to the exclusive jurisdiction of the courts of relevant jurisdiction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sitting in such country, state, or province. </w:t>
      </w:r>
    </w:p>
    <w:p>
      <w:pPr>
        <w:autoSpaceDN w:val="0"/>
        <w:tabs>
          <w:tab w:pos="898" w:val="left"/>
        </w:tabs>
        <w:autoSpaceDE w:val="0"/>
        <w:widowControl/>
        <w:spacing w:line="245" w:lineRule="auto" w:before="46" w:after="0"/>
        <w:ind w:left="5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 provisions of this NDA are necessary for the protection of the business and goodwill of the Disclosing Party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are considered by the Receiving Party to be reasonable for such purpose.  The Receiving Party agrees that any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breach of this NDA will cause the Disclosing Party substantial and irreparable damages and, therefore, in the event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of any such breach, in addition to other remedies which may be available, the Disclosing Party shall have the right to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seek specific performance and other injunctive and/or equitable relief. </w:t>
      </w:r>
    </w:p>
    <w:p>
      <w:pPr>
        <w:autoSpaceDN w:val="0"/>
        <w:autoSpaceDE w:val="0"/>
        <w:widowControl/>
        <w:spacing w:line="197" w:lineRule="auto" w:before="44" w:after="0"/>
        <w:ind w:left="5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d.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This NDA shall be effective from the date of this Agreement and shall terminate one (1) year from such date. </w:t>
      </w:r>
    </w:p>
    <w:p>
      <w:pPr>
        <w:autoSpaceDN w:val="0"/>
        <w:autoSpaceDE w:val="0"/>
        <w:widowControl/>
        <w:spacing w:line="197" w:lineRule="auto" w:before="532" w:after="0"/>
        <w:ind w:left="22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SIGNED FOR AFFINE ANALYTICS PVT LTD </w:t>
      </w:r>
    </w:p>
    <w:p>
      <w:pPr>
        <w:autoSpaceDN w:val="0"/>
        <w:autoSpaceDE w:val="0"/>
        <w:widowControl/>
        <w:spacing w:line="245" w:lineRule="auto" w:before="534" w:after="0"/>
        <w:ind w:left="178" w:right="561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_______________________________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Rajesh Narayan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Senior Vice President – Growth Markets &amp; Partnerships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Date: </w:t>
      </w:r>
    </w:p>
    <w:p>
      <w:pPr>
        <w:autoSpaceDN w:val="0"/>
        <w:autoSpaceDE w:val="0"/>
        <w:widowControl/>
        <w:spacing w:line="197" w:lineRule="auto" w:before="290" w:after="0"/>
        <w:ind w:left="17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SIGNED FOR Neosoft Private Limited </w:t>
      </w:r>
    </w:p>
    <w:p>
      <w:pPr>
        <w:autoSpaceDN w:val="0"/>
        <w:autoSpaceDE w:val="0"/>
        <w:widowControl/>
        <w:spacing w:line="245" w:lineRule="auto" w:before="532" w:after="0"/>
        <w:ind w:left="178" w:right="676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__________________________________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Name: Nishant Rathi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Title: Director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0"/>
        </w:rPr>
        <w:t>Date: 12</w:t>
      </w:r>
      <w:r>
        <w:rPr>
          <w:rFonts w:ascii="Calibri" w:hAnsi="Calibri" w:eastAsia="Calibri"/>
          <w:b w:val="0"/>
          <w:i w:val="0"/>
          <w:color w:val="000000"/>
          <w:sz w:val="13"/>
        </w:rPr>
        <w:t>th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April, 2023 </w:t>
      </w:r>
    </w:p>
    <w:p>
      <w:pPr>
        <w:autoSpaceDN w:val="0"/>
        <w:autoSpaceDE w:val="0"/>
        <w:widowControl/>
        <w:spacing w:line="197" w:lineRule="auto" w:before="3960" w:after="0"/>
        <w:ind w:left="3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Affine Analytics Private Limited </w:t>
      </w:r>
    </w:p>
    <w:p>
      <w:pPr>
        <w:autoSpaceDN w:val="0"/>
        <w:autoSpaceDE w:val="0"/>
        <w:widowControl/>
        <w:spacing w:line="197" w:lineRule="auto" w:before="126" w:after="106"/>
        <w:ind w:left="36" w:right="0" w:firstLine="0"/>
        <w:jc w:val="left"/>
      </w:pPr>
      <w:r>
        <w:rPr>
          <w:rFonts w:ascii="Calibri" w:hAnsi="Calibri" w:eastAsia="Calibri"/>
          <w:b w:val="0"/>
          <w:i w:val="0"/>
          <w:color w:val="767070"/>
          <w:sz w:val="18"/>
        </w:rPr>
        <w:t xml:space="preserve">453, BBMP No. 351/453, 4th sector, HSR Layout, Bangalore, KA, IN – 560102.                                                      </w:t>
      </w:r>
      <w:r>
        <w:rPr>
          <w:rFonts w:ascii="Calibri" w:hAnsi="Calibri" w:eastAsia="Calibri"/>
          <w:b/>
          <w:i w:val="0"/>
          <w:color w:val="767070"/>
          <w:sz w:val="18"/>
        </w:rPr>
        <w:t>Affine Confidential</w:t>
      </w:r>
    </w:p>
    <w:p>
      <w:pPr>
        <w:sectPr>
          <w:pgSz w:w="11899" w:h="16841"/>
          <w:pgMar w:top="388" w:right="758" w:bottom="606" w:left="694" w:header="720" w:footer="720" w:gutter="0"/>
          <w:cols w:space="720" w:num="1" w:equalWidth="0">
            <w:col w:w="10448" w:space="0"/>
            <w:col w:w="6184" w:space="0"/>
            <w:col w:w="4264" w:space="0"/>
            <w:col w:w="10448" w:space="0"/>
            <w:col w:w="6184" w:space="0"/>
            <w:col w:w="4264" w:space="0"/>
            <w:col w:w="10448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36" w:right="0" w:firstLine="0"/>
        <w:jc w:val="left"/>
      </w:pPr>
      <w:r>
        <w:rPr>
          <w:rFonts w:ascii="Calibri" w:hAnsi="Calibri" w:eastAsia="Calibri"/>
          <w:b w:val="0"/>
          <w:i w:val="0"/>
          <w:color w:val="767070"/>
          <w:sz w:val="18"/>
        </w:rPr>
        <w:t xml:space="preserve">Tel: +91-80-6569-0996 | Web: affine.ai | Mail: info@affine.ai </w:t>
      </w:r>
    </w:p>
    <w:p>
      <w:pPr>
        <w:sectPr>
          <w:type w:val="continuous"/>
          <w:pgSz w:w="11899" w:h="16841"/>
          <w:pgMar w:top="388" w:right="758" w:bottom="606" w:left="694" w:header="720" w:footer="720" w:gutter="0"/>
          <w:cols w:space="720" w:num="2" w:equalWidth="0">
            <w:col w:w="6184" w:space="0"/>
            <w:col w:w="4264" w:space="0"/>
            <w:col w:w="10448" w:space="0"/>
            <w:col w:w="6184" w:space="0"/>
            <w:col w:w="4264" w:space="0"/>
            <w:col w:w="10448" w:space="0"/>
            <w:col w:w="6184" w:space="0"/>
            <w:col w:w="4264" w:space="0"/>
            <w:col w:w="10448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767070"/>
          <w:sz w:val="18"/>
        </w:rPr>
        <w:t xml:space="preserve">CIN No: U74999KA2011PTC057118 </w:t>
      </w:r>
    </w:p>
    <w:sectPr w:rsidR="00FC693F" w:rsidRPr="0006063C" w:rsidSect="00034616">
      <w:type w:val="nextColumn"/>
      <w:pgSz w:w="11899" w:h="16841"/>
      <w:pgMar w:top="388" w:right="758" w:bottom="606" w:left="694" w:header="720" w:footer="720" w:gutter="0"/>
      <w:cols w:space="720" w:num="2" w:equalWidth="0">
        <w:col w:w="6184" w:space="0"/>
        <w:col w:w="4264" w:space="0"/>
        <w:col w:w="10448" w:space="0"/>
        <w:col w:w="6184" w:space="0"/>
        <w:col w:w="4264" w:space="0"/>
        <w:col w:w="10448" w:space="0"/>
        <w:col w:w="6184" w:space="0"/>
        <w:col w:w="4264" w:space="0"/>
        <w:col w:w="104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