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1980E" w14:textId="77777777" w:rsidR="00E34FCD" w:rsidRPr="00E34FCD" w:rsidRDefault="00E34FCD" w:rsidP="00E34FCD">
      <w:pPr>
        <w:rPr>
          <w:rFonts w:ascii="Times New Roman" w:hAnsi="Times New Roman" w:cs="Times New Roman"/>
          <w:b/>
          <w:bCs/>
          <w:u w:val="single"/>
        </w:rPr>
      </w:pPr>
      <w:r w:rsidRPr="00E34FCD">
        <w:rPr>
          <w:rFonts w:ascii="Times New Roman" w:hAnsi="Times New Roman" w:cs="Times New Roman"/>
          <w:b/>
          <w:bCs/>
          <w:u w:val="single"/>
        </w:rPr>
        <w:t>Table of Contents</w:t>
      </w:r>
    </w:p>
    <w:p w14:paraId="6C132E5F"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Executive Summary</w:t>
      </w:r>
    </w:p>
    <w:p w14:paraId="36E6D1D2"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Introduction</w:t>
      </w:r>
    </w:p>
    <w:p w14:paraId="500C40ED"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Research Question and Objectives</w:t>
      </w:r>
    </w:p>
    <w:p w14:paraId="0123A38F"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Literature Review</w:t>
      </w:r>
    </w:p>
    <w:p w14:paraId="4F466829"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Research Design</w:t>
      </w:r>
      <w:r w:rsidRPr="00E34FCD">
        <w:rPr>
          <w:rFonts w:ascii="Times New Roman" w:hAnsi="Times New Roman" w:cs="Times New Roman"/>
          <w:b/>
          <w:bCs/>
        </w:rPr>
        <w:br/>
        <w:t>5.1 Research Type</w:t>
      </w:r>
      <w:r w:rsidRPr="00E34FCD">
        <w:rPr>
          <w:rFonts w:ascii="Times New Roman" w:hAnsi="Times New Roman" w:cs="Times New Roman"/>
          <w:b/>
          <w:bCs/>
        </w:rPr>
        <w:br/>
        <w:t>5.2 Data Collection</w:t>
      </w:r>
      <w:r w:rsidRPr="00E34FCD">
        <w:rPr>
          <w:rFonts w:ascii="Times New Roman" w:hAnsi="Times New Roman" w:cs="Times New Roman"/>
          <w:b/>
          <w:bCs/>
        </w:rPr>
        <w:br/>
        <w:t>5.3 Data Analysis</w:t>
      </w:r>
    </w:p>
    <w:p w14:paraId="5B16C41C"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Findings</w:t>
      </w:r>
      <w:r w:rsidRPr="00E34FCD">
        <w:rPr>
          <w:rFonts w:ascii="Times New Roman" w:hAnsi="Times New Roman" w:cs="Times New Roman"/>
          <w:b/>
          <w:bCs/>
        </w:rPr>
        <w:br/>
        <w:t>6.1 Descriptive Statistics</w:t>
      </w:r>
      <w:r w:rsidRPr="00E34FCD">
        <w:rPr>
          <w:rFonts w:ascii="Times New Roman" w:hAnsi="Times New Roman" w:cs="Times New Roman"/>
          <w:b/>
          <w:bCs/>
        </w:rPr>
        <w:br/>
        <w:t>6.2 Profitability and Markdown Analysis</w:t>
      </w:r>
      <w:r w:rsidRPr="00E34FCD">
        <w:rPr>
          <w:rFonts w:ascii="Times New Roman" w:hAnsi="Times New Roman" w:cs="Times New Roman"/>
          <w:b/>
          <w:bCs/>
        </w:rPr>
        <w:br/>
        <w:t>6.3 Correlation Insights</w:t>
      </w:r>
      <w:r w:rsidRPr="00E34FCD">
        <w:rPr>
          <w:rFonts w:ascii="Times New Roman" w:hAnsi="Times New Roman" w:cs="Times New Roman"/>
          <w:b/>
          <w:bCs/>
        </w:rPr>
        <w:br/>
        <w:t>6.4 T-test: Perishable vs Non-perishable</w:t>
      </w:r>
      <w:r w:rsidRPr="00E34FCD">
        <w:rPr>
          <w:rFonts w:ascii="Times New Roman" w:hAnsi="Times New Roman" w:cs="Times New Roman"/>
          <w:b/>
          <w:bCs/>
        </w:rPr>
        <w:br/>
        <w:t>6.5 Comparative Industry Analysis</w:t>
      </w:r>
    </w:p>
    <w:p w14:paraId="136E5BF6"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Conclusions and Recommendations</w:t>
      </w:r>
    </w:p>
    <w:p w14:paraId="0BCAB487"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References</w:t>
      </w:r>
    </w:p>
    <w:p w14:paraId="7A7C4F72" w14:textId="77777777" w:rsidR="00E34FCD" w:rsidRPr="00E34FCD" w:rsidRDefault="00E34FCD" w:rsidP="00E34FCD">
      <w:pPr>
        <w:numPr>
          <w:ilvl w:val="0"/>
          <w:numId w:val="1"/>
        </w:numPr>
        <w:rPr>
          <w:rFonts w:ascii="Times New Roman" w:hAnsi="Times New Roman" w:cs="Times New Roman"/>
          <w:b/>
          <w:bCs/>
        </w:rPr>
      </w:pPr>
      <w:r w:rsidRPr="00E34FCD">
        <w:rPr>
          <w:rFonts w:ascii="Times New Roman" w:hAnsi="Times New Roman" w:cs="Times New Roman"/>
          <w:b/>
          <w:bCs/>
        </w:rPr>
        <w:t>Appendices</w:t>
      </w:r>
    </w:p>
    <w:p w14:paraId="0451DB33" w14:textId="77777777" w:rsidR="00E34FCD" w:rsidRPr="00EA4FC3" w:rsidRDefault="00E34FCD">
      <w:pPr>
        <w:rPr>
          <w:rFonts w:ascii="Times New Roman" w:hAnsi="Times New Roman" w:cs="Times New Roman"/>
        </w:rPr>
      </w:pPr>
    </w:p>
    <w:p w14:paraId="5172AB72" w14:textId="77777777" w:rsidR="00E34FCD" w:rsidRPr="00EA4FC3" w:rsidRDefault="00E34FCD">
      <w:pPr>
        <w:rPr>
          <w:rFonts w:ascii="Times New Roman" w:hAnsi="Times New Roman" w:cs="Times New Roman"/>
        </w:rPr>
      </w:pPr>
    </w:p>
    <w:p w14:paraId="14FA1955" w14:textId="77777777" w:rsidR="00E34FCD" w:rsidRPr="00EA4FC3" w:rsidRDefault="00E34FCD">
      <w:pPr>
        <w:rPr>
          <w:rFonts w:ascii="Times New Roman" w:hAnsi="Times New Roman" w:cs="Times New Roman"/>
        </w:rPr>
      </w:pPr>
    </w:p>
    <w:p w14:paraId="0176BB72" w14:textId="77777777" w:rsidR="00E34FCD" w:rsidRPr="00EA4FC3" w:rsidRDefault="00E34FCD">
      <w:pPr>
        <w:rPr>
          <w:rFonts w:ascii="Times New Roman" w:hAnsi="Times New Roman" w:cs="Times New Roman"/>
        </w:rPr>
      </w:pPr>
    </w:p>
    <w:p w14:paraId="332C60AF" w14:textId="77777777" w:rsidR="00E34FCD" w:rsidRPr="00EA4FC3" w:rsidRDefault="00E34FCD">
      <w:pPr>
        <w:rPr>
          <w:rFonts w:ascii="Times New Roman" w:hAnsi="Times New Roman" w:cs="Times New Roman"/>
        </w:rPr>
      </w:pPr>
    </w:p>
    <w:p w14:paraId="555980DE" w14:textId="77777777" w:rsidR="00E34FCD" w:rsidRPr="00EA4FC3" w:rsidRDefault="00E34FCD">
      <w:pPr>
        <w:rPr>
          <w:rFonts w:ascii="Times New Roman" w:hAnsi="Times New Roman" w:cs="Times New Roman"/>
        </w:rPr>
      </w:pPr>
    </w:p>
    <w:p w14:paraId="6E3603BF" w14:textId="77777777" w:rsidR="00E34FCD" w:rsidRPr="00EA4FC3" w:rsidRDefault="00E34FCD">
      <w:pPr>
        <w:rPr>
          <w:rFonts w:ascii="Times New Roman" w:hAnsi="Times New Roman" w:cs="Times New Roman"/>
        </w:rPr>
      </w:pPr>
    </w:p>
    <w:p w14:paraId="4A98A654" w14:textId="77777777" w:rsidR="00E34FCD" w:rsidRPr="00EA4FC3" w:rsidRDefault="00E34FCD">
      <w:pPr>
        <w:rPr>
          <w:rFonts w:ascii="Times New Roman" w:hAnsi="Times New Roman" w:cs="Times New Roman"/>
        </w:rPr>
      </w:pPr>
    </w:p>
    <w:p w14:paraId="599F8C60" w14:textId="77777777" w:rsidR="00E34FCD" w:rsidRPr="00EA4FC3" w:rsidRDefault="00E34FCD">
      <w:pPr>
        <w:rPr>
          <w:rFonts w:ascii="Times New Roman" w:hAnsi="Times New Roman" w:cs="Times New Roman"/>
        </w:rPr>
      </w:pPr>
    </w:p>
    <w:p w14:paraId="1BF4D1E3" w14:textId="77777777" w:rsidR="00E34FCD" w:rsidRDefault="00E34FCD">
      <w:pPr>
        <w:rPr>
          <w:rFonts w:ascii="Times New Roman" w:hAnsi="Times New Roman" w:cs="Times New Roman"/>
        </w:rPr>
      </w:pPr>
    </w:p>
    <w:p w14:paraId="5F79ABBE" w14:textId="77777777" w:rsidR="00A67FB4" w:rsidRPr="00EA4FC3" w:rsidRDefault="00A67FB4">
      <w:pPr>
        <w:rPr>
          <w:rFonts w:ascii="Times New Roman" w:hAnsi="Times New Roman" w:cs="Times New Roman"/>
        </w:rPr>
      </w:pPr>
    </w:p>
    <w:p w14:paraId="0D6505DE" w14:textId="77777777" w:rsidR="00E34FCD" w:rsidRPr="00EA4FC3" w:rsidRDefault="00E34FCD">
      <w:pPr>
        <w:rPr>
          <w:rFonts w:ascii="Times New Roman" w:hAnsi="Times New Roman" w:cs="Times New Roman"/>
        </w:rPr>
      </w:pPr>
    </w:p>
    <w:p w14:paraId="79E7D7BF" w14:textId="367C7F00" w:rsidR="00E34FCD" w:rsidRPr="00EA4FC3" w:rsidRDefault="00E34FCD">
      <w:pPr>
        <w:rPr>
          <w:rFonts w:ascii="Times New Roman" w:hAnsi="Times New Roman" w:cs="Times New Roman"/>
          <w:b/>
          <w:bCs/>
          <w:u w:val="single"/>
        </w:rPr>
      </w:pPr>
      <w:r w:rsidRPr="00EA4FC3">
        <w:rPr>
          <w:rFonts w:ascii="Times New Roman" w:hAnsi="Times New Roman" w:cs="Times New Roman"/>
          <w:b/>
          <w:bCs/>
          <w:u w:val="single"/>
        </w:rPr>
        <w:lastRenderedPageBreak/>
        <w:t>Executive Summary:</w:t>
      </w:r>
    </w:p>
    <w:p w14:paraId="458CF791" w14:textId="66EE99C8" w:rsidR="0068707B" w:rsidRPr="0068707B" w:rsidRDefault="0068707B" w:rsidP="0068707B">
      <w:pPr>
        <w:jc w:val="both"/>
        <w:rPr>
          <w:rFonts w:ascii="Times New Roman" w:hAnsi="Times New Roman" w:cs="Times New Roman"/>
        </w:rPr>
      </w:pPr>
      <w:r w:rsidRPr="0068707B">
        <w:rPr>
          <w:rFonts w:ascii="Times New Roman" w:hAnsi="Times New Roman" w:cs="Times New Roman"/>
        </w:rPr>
        <w:t>This report investigates how IGA supermarkets can adopt circular economy strategies</w:t>
      </w:r>
      <w:r w:rsidRPr="00EA4FC3">
        <w:rPr>
          <w:rFonts w:ascii="Times New Roman" w:hAnsi="Times New Roman" w:cs="Times New Roman"/>
        </w:rPr>
        <w:t xml:space="preserve">, </w:t>
      </w:r>
      <w:r w:rsidRPr="0068707B">
        <w:rPr>
          <w:rFonts w:ascii="Times New Roman" w:hAnsi="Times New Roman" w:cs="Times New Roman"/>
        </w:rPr>
        <w:t>reduce, reuse, and recycle</w:t>
      </w:r>
      <w:r w:rsidRPr="00EA4FC3">
        <w:rPr>
          <w:rFonts w:ascii="Times New Roman" w:hAnsi="Times New Roman" w:cs="Times New Roman"/>
        </w:rPr>
        <w:t xml:space="preserve"> </w:t>
      </w:r>
      <w:r w:rsidRPr="0068707B">
        <w:rPr>
          <w:rFonts w:ascii="Times New Roman" w:hAnsi="Times New Roman" w:cs="Times New Roman"/>
        </w:rPr>
        <w:t xml:space="preserve">to minimize food waste, aligning with Australia’s national goal to halve food waste by 2030. Using real-time sales data from IGA Valley over </w:t>
      </w:r>
      <w:r w:rsidRPr="00EA4FC3">
        <w:rPr>
          <w:rFonts w:ascii="Times New Roman" w:hAnsi="Times New Roman" w:cs="Times New Roman"/>
        </w:rPr>
        <w:t>one month</w:t>
      </w:r>
      <w:r w:rsidRPr="0068707B">
        <w:rPr>
          <w:rFonts w:ascii="Times New Roman" w:hAnsi="Times New Roman" w:cs="Times New Roman"/>
        </w:rPr>
        <w:t xml:space="preserve"> (06/05/2025 to 06/06/2025), we analyzed variables such as sales volume, profit margins, discounting behavior, and product categories most at risk of contributing to waste.</w:t>
      </w:r>
    </w:p>
    <w:p w14:paraId="4C0241F4" w14:textId="039A16FB" w:rsidR="0068707B" w:rsidRPr="0068707B" w:rsidRDefault="0068707B" w:rsidP="0068707B">
      <w:pPr>
        <w:jc w:val="both"/>
        <w:rPr>
          <w:rFonts w:ascii="Times New Roman" w:hAnsi="Times New Roman" w:cs="Times New Roman"/>
        </w:rPr>
      </w:pPr>
      <w:r w:rsidRPr="0068707B">
        <w:rPr>
          <w:rFonts w:ascii="Times New Roman" w:hAnsi="Times New Roman" w:cs="Times New Roman"/>
        </w:rPr>
        <w:t>To deepen our insights, we projected annual trends based on the observed monthly data, exploring patterns in profitability, gross margins, and the contribution of perishable vs non-perishable items to food waste. These findings were then extrapolated across IGA’s broader network of 1</w:t>
      </w:r>
      <w:r w:rsidR="0010187F" w:rsidRPr="00EA4FC3">
        <w:rPr>
          <w:rFonts w:ascii="Times New Roman" w:hAnsi="Times New Roman" w:cs="Times New Roman"/>
        </w:rPr>
        <w:t>3</w:t>
      </w:r>
      <w:r w:rsidRPr="0068707B">
        <w:rPr>
          <w:rFonts w:ascii="Times New Roman" w:hAnsi="Times New Roman" w:cs="Times New Roman"/>
        </w:rPr>
        <w:t>0</w:t>
      </w:r>
      <w:r w:rsidR="0010187F" w:rsidRPr="00EA4FC3">
        <w:rPr>
          <w:rFonts w:ascii="Times New Roman" w:hAnsi="Times New Roman" w:cs="Times New Roman"/>
        </w:rPr>
        <w:t>1</w:t>
      </w:r>
      <w:r w:rsidRPr="0068707B">
        <w:rPr>
          <w:rFonts w:ascii="Times New Roman" w:hAnsi="Times New Roman" w:cs="Times New Roman"/>
        </w:rPr>
        <w:t xml:space="preserve"> stores to estimate national-level implications and assess alignment with circular economy practices.</w:t>
      </w:r>
    </w:p>
    <w:p w14:paraId="0DA90409" w14:textId="321F0933" w:rsidR="0068707B" w:rsidRPr="0068707B" w:rsidRDefault="0068707B" w:rsidP="0068707B">
      <w:pPr>
        <w:jc w:val="both"/>
        <w:rPr>
          <w:rFonts w:ascii="Times New Roman" w:hAnsi="Times New Roman" w:cs="Times New Roman"/>
        </w:rPr>
      </w:pPr>
      <w:r w:rsidRPr="0068707B">
        <w:rPr>
          <w:rFonts w:ascii="Times New Roman" w:hAnsi="Times New Roman" w:cs="Times New Roman"/>
        </w:rPr>
        <w:t xml:space="preserve">The research follows a mixed-methods approach, combining quantitative data analysis (including descriptive statistics, T-tests comparing gross profit margins by category, and correlation matrices) with qualitative analysis of sustainability reports from IGA, Woolworths, and Coles. This integration provides both data-driven insights and </w:t>
      </w:r>
      <w:r w:rsidRPr="00EA4FC3">
        <w:rPr>
          <w:rFonts w:ascii="Times New Roman" w:hAnsi="Times New Roman" w:cs="Times New Roman"/>
        </w:rPr>
        <w:t>a contextual</w:t>
      </w:r>
      <w:r w:rsidRPr="0068707B">
        <w:rPr>
          <w:rFonts w:ascii="Times New Roman" w:hAnsi="Times New Roman" w:cs="Times New Roman"/>
        </w:rPr>
        <w:t xml:space="preserve"> understanding of each supermarket’s performance.</w:t>
      </w:r>
    </w:p>
    <w:p w14:paraId="280C914E" w14:textId="77777777" w:rsidR="0068707B" w:rsidRPr="0068707B" w:rsidRDefault="0068707B" w:rsidP="0068707B">
      <w:pPr>
        <w:jc w:val="both"/>
        <w:rPr>
          <w:rFonts w:ascii="Times New Roman" w:hAnsi="Times New Roman" w:cs="Times New Roman"/>
        </w:rPr>
      </w:pPr>
      <w:r w:rsidRPr="0068707B">
        <w:rPr>
          <w:rFonts w:ascii="Times New Roman" w:hAnsi="Times New Roman" w:cs="Times New Roman"/>
        </w:rPr>
        <w:t>We also benchmarked IGA’s efforts against centralized competitors like Woolworths and Coles, comparing key sustainability metrics such as waste diversion rates, emissions reductions, and meal donation programs. While Woolworths and Coles report diversion rates of 80% and 82.5% respectively, IGA Valley trails behind at 65.9%, indicating significant room for improvement.</w:t>
      </w:r>
    </w:p>
    <w:p w14:paraId="052F347B" w14:textId="77777777" w:rsidR="0068707B" w:rsidRPr="00EA4FC3" w:rsidRDefault="0068707B" w:rsidP="0068707B">
      <w:pPr>
        <w:jc w:val="both"/>
        <w:rPr>
          <w:rFonts w:ascii="Times New Roman" w:hAnsi="Times New Roman" w:cs="Times New Roman"/>
        </w:rPr>
      </w:pPr>
      <w:r w:rsidRPr="0068707B">
        <w:rPr>
          <w:rFonts w:ascii="Times New Roman" w:hAnsi="Times New Roman" w:cs="Times New Roman"/>
        </w:rPr>
        <w:t>This comprehensive analysis highlights the need for IGA to implement standardized, data-informed circular economy strategies across all stores to effectively reduce food waste and improve its environmental performance.</w:t>
      </w:r>
    </w:p>
    <w:p w14:paraId="73FB4A6D" w14:textId="77777777" w:rsidR="0068707B" w:rsidRPr="00EA4FC3" w:rsidRDefault="0068707B" w:rsidP="0068707B">
      <w:pPr>
        <w:rPr>
          <w:rFonts w:ascii="Times New Roman" w:hAnsi="Times New Roman" w:cs="Times New Roman"/>
        </w:rPr>
      </w:pPr>
    </w:p>
    <w:p w14:paraId="175B7385" w14:textId="071DA651" w:rsidR="0068707B" w:rsidRPr="00EA4FC3" w:rsidRDefault="0068707B" w:rsidP="0068707B">
      <w:pPr>
        <w:rPr>
          <w:rFonts w:ascii="Times New Roman" w:hAnsi="Times New Roman" w:cs="Times New Roman"/>
          <w:b/>
          <w:bCs/>
          <w:u w:val="single"/>
        </w:rPr>
      </w:pPr>
      <w:r w:rsidRPr="00EA4FC3">
        <w:rPr>
          <w:rFonts w:ascii="Times New Roman" w:hAnsi="Times New Roman" w:cs="Times New Roman"/>
          <w:b/>
          <w:bCs/>
          <w:u w:val="single"/>
        </w:rPr>
        <w:t>Introduction:</w:t>
      </w:r>
    </w:p>
    <w:p w14:paraId="61A0749D" w14:textId="7BCFCC57" w:rsidR="005A0E1D" w:rsidRDefault="005A0E1D" w:rsidP="005A0E1D">
      <w:pPr>
        <w:jc w:val="both"/>
        <w:rPr>
          <w:rFonts w:ascii="Times New Roman" w:hAnsi="Times New Roman" w:cs="Times New Roman"/>
        </w:rPr>
      </w:pPr>
      <w:r>
        <w:rPr>
          <w:rFonts w:ascii="Times New Roman" w:hAnsi="Times New Roman" w:cs="Times New Roman"/>
        </w:rPr>
        <w:t xml:space="preserve">Food wastage has become one of the burning issues in the Australian retail sector, where supermarkets play a significant role in generating and mitigating waste. Retailers in Australia are expected to implement circular economy (CE) strategies to support the Australian Government’s National Food Waste Strategy, which aims to reduce food waste by half by 2030 </w:t>
      </w:r>
      <w:r w:rsidRPr="008945ED">
        <w:rPr>
          <w:rFonts w:ascii="Times New Roman" w:hAnsi="Times New Roman" w:cs="Times New Roman"/>
        </w:rPr>
        <w:t>(Somlai, 2023)</w:t>
      </w:r>
      <w:r>
        <w:rPr>
          <w:rFonts w:ascii="Times New Roman" w:hAnsi="Times New Roman" w:cs="Times New Roman"/>
        </w:rPr>
        <w:t>.</w:t>
      </w:r>
      <w:r w:rsidRPr="008D6CCC">
        <w:rPr>
          <w:rFonts w:ascii="Times New Roman" w:hAnsi="Times New Roman" w:cs="Times New Roman"/>
        </w:rPr>
        <w:t xml:space="preserve"> Currently</w:t>
      </w:r>
      <w:r>
        <w:rPr>
          <w:rFonts w:ascii="Times New Roman" w:hAnsi="Times New Roman" w:cs="Times New Roman"/>
        </w:rPr>
        <w:t>,</w:t>
      </w:r>
      <w:r w:rsidRPr="008D6CCC">
        <w:rPr>
          <w:rFonts w:ascii="Times New Roman" w:hAnsi="Times New Roman" w:cs="Times New Roman"/>
        </w:rPr>
        <w:t xml:space="preserve"> in Australia, the retail sector contributes significantly to the growing </w:t>
      </w:r>
      <w:r>
        <w:rPr>
          <w:rFonts w:ascii="Times New Roman" w:hAnsi="Times New Roman" w:cs="Times New Roman"/>
        </w:rPr>
        <w:t>problem of</w:t>
      </w:r>
      <w:r w:rsidRPr="008D6CCC">
        <w:rPr>
          <w:rFonts w:ascii="Times New Roman" w:hAnsi="Times New Roman" w:cs="Times New Roman"/>
        </w:rPr>
        <w:t xml:space="preserve"> food waste, with over 527 kilotons of food waste generated every year. Approximately 70% of this is still edible when discarded</w:t>
      </w:r>
      <w:r>
        <w:rPr>
          <w:rFonts w:ascii="Times New Roman" w:hAnsi="Times New Roman" w:cs="Times New Roman"/>
        </w:rPr>
        <w:t xml:space="preserve"> </w:t>
      </w:r>
      <w:r w:rsidRPr="008D6CCC">
        <w:rPr>
          <w:rFonts w:ascii="Times New Roman" w:hAnsi="Times New Roman" w:cs="Times New Roman"/>
        </w:rPr>
        <w:t>(Devin &amp; Richards, 2018)</w:t>
      </w:r>
      <w:r>
        <w:rPr>
          <w:rFonts w:ascii="Times New Roman" w:hAnsi="Times New Roman" w:cs="Times New Roman"/>
        </w:rPr>
        <w:t>.</w:t>
      </w:r>
      <w:r w:rsidRPr="008D6CCC">
        <w:rPr>
          <w:rFonts w:ascii="Times New Roman" w:hAnsi="Times New Roman" w:cs="Times New Roman"/>
        </w:rPr>
        <w:t xml:space="preserve"> The environmental and economic consequences of this food waste are significant</w:t>
      </w:r>
      <w:r>
        <w:rPr>
          <w:rFonts w:ascii="Times New Roman" w:hAnsi="Times New Roman" w:cs="Times New Roman"/>
        </w:rPr>
        <w:t>,</w:t>
      </w:r>
      <w:r w:rsidRPr="008D6CCC">
        <w:rPr>
          <w:rFonts w:ascii="Times New Roman" w:hAnsi="Times New Roman" w:cs="Times New Roman"/>
        </w:rPr>
        <w:t xml:space="preserve"> costing the Australian economy billions of dollars every year.</w:t>
      </w:r>
      <w:r>
        <w:rPr>
          <w:rFonts w:ascii="Times New Roman" w:hAnsi="Times New Roman" w:cs="Times New Roman"/>
        </w:rPr>
        <w:t xml:space="preserve"> In this report, the food wastage mitigation strategies of IGA, one of the prominent decentralized supermarket chains, have been discussed through the implementation of circular economy strategies. </w:t>
      </w:r>
    </w:p>
    <w:p w14:paraId="63A6A850" w14:textId="77777777" w:rsidR="005A0E1D" w:rsidRDefault="005A0E1D" w:rsidP="005A0E1D">
      <w:pPr>
        <w:jc w:val="both"/>
        <w:rPr>
          <w:rFonts w:ascii="Times New Roman" w:hAnsi="Times New Roman" w:cs="Times New Roman"/>
        </w:rPr>
      </w:pPr>
      <w:r>
        <w:rPr>
          <w:rFonts w:ascii="Times New Roman" w:hAnsi="Times New Roman" w:cs="Times New Roman"/>
        </w:rPr>
        <w:lastRenderedPageBreak/>
        <w:t xml:space="preserve">Some supermarket giants, like Coles and Woolworths, which are the main competitors of IGA, operate under a centralized structure and have a unique approach to handling food wastage. IGA stores are independently owned and operated. </w:t>
      </w:r>
      <w:r w:rsidRPr="008D6CCC">
        <w:rPr>
          <w:rFonts w:ascii="Times New Roman" w:hAnsi="Times New Roman" w:cs="Times New Roman"/>
        </w:rPr>
        <w:t>A centralized model can allow for streamlined control and cost efficiencies of operating from one locality. In contrast, a decentralized model diffuses control and resources across several locations. This model has the potential for a quicker on-site delivery network that may create better local customer satisfaction</w:t>
      </w:r>
      <w:r>
        <w:rPr>
          <w:rFonts w:ascii="Times New Roman" w:hAnsi="Times New Roman" w:cs="Times New Roman"/>
        </w:rPr>
        <w:t xml:space="preserve"> </w:t>
      </w:r>
      <w:r w:rsidRPr="008D6CCC">
        <w:rPr>
          <w:rFonts w:ascii="Times New Roman" w:hAnsi="Times New Roman" w:cs="Times New Roman"/>
        </w:rPr>
        <w:t>(Granot &amp; Sošić, 2003)</w:t>
      </w:r>
      <w:r>
        <w:rPr>
          <w:rFonts w:ascii="Times New Roman" w:hAnsi="Times New Roman" w:cs="Times New Roman"/>
        </w:rPr>
        <w:t xml:space="preserve">. Each store manages its inventory, markdown, and waste reduction efforts independently which leads to inconsistencies in mitigation measures across the networks. This research focuses on one IGA store and uses one month of detailed sales data to recognize patterns, inefficiencies, and potential interventions aligned with CE principles. </w:t>
      </w:r>
    </w:p>
    <w:p w14:paraId="0B93F9E1" w14:textId="77777777" w:rsidR="005A0E1D" w:rsidRDefault="005A0E1D" w:rsidP="005A0E1D">
      <w:pPr>
        <w:jc w:val="both"/>
        <w:rPr>
          <w:rFonts w:ascii="Times New Roman" w:hAnsi="Times New Roman" w:cs="Times New Roman"/>
        </w:rPr>
      </w:pPr>
      <w:r>
        <w:rPr>
          <w:rFonts w:ascii="Times New Roman" w:hAnsi="Times New Roman" w:cs="Times New Roman"/>
        </w:rPr>
        <w:t xml:space="preserve">The main motive behind this study is generated from both environmental and economic concerns. </w:t>
      </w:r>
      <w:r w:rsidRPr="0034209E">
        <w:rPr>
          <w:rFonts w:ascii="Times New Roman" w:hAnsi="Times New Roman" w:cs="Times New Roman"/>
        </w:rPr>
        <w:t>Circular Economy (CE) principles in food retail focus on reducing waste; responsibly utilizing resources; and reducing environmental impact throughout the entire food supply chain</w:t>
      </w:r>
      <w:r>
        <w:rPr>
          <w:rFonts w:ascii="Times New Roman" w:hAnsi="Times New Roman" w:cs="Times New Roman"/>
        </w:rPr>
        <w:t xml:space="preserve"> </w:t>
      </w:r>
      <w:r w:rsidRPr="0034209E">
        <w:rPr>
          <w:rFonts w:ascii="Times New Roman" w:hAnsi="Times New Roman" w:cs="Times New Roman"/>
        </w:rPr>
        <w:t>(Kusumowardani et al., 2022)</w:t>
      </w:r>
      <w:r>
        <w:rPr>
          <w:rFonts w:ascii="Times New Roman" w:hAnsi="Times New Roman" w:cs="Times New Roman"/>
        </w:rPr>
        <w:t xml:space="preserve">.  Environmental concerns like greenhouse gas emissions are caused by increased food waste while businesses lose their revenue and experience inefficiencies in daily operations. This report suggests different actionable strategies for IGA to reduce its food waste through data analysis, benchmarking against industry leaders, and evaluating sustainability reports. </w:t>
      </w:r>
    </w:p>
    <w:p w14:paraId="197A7A81" w14:textId="73D92A2D" w:rsidR="0068707B" w:rsidRPr="005A0E1D" w:rsidRDefault="005A0E1D" w:rsidP="005A0E1D">
      <w:pPr>
        <w:jc w:val="both"/>
        <w:rPr>
          <w:rFonts w:ascii="Times New Roman" w:hAnsi="Times New Roman" w:cs="Times New Roman"/>
        </w:rPr>
      </w:pPr>
      <w:r>
        <w:rPr>
          <w:rFonts w:ascii="Times New Roman" w:hAnsi="Times New Roman" w:cs="Times New Roman"/>
        </w:rPr>
        <w:t xml:space="preserve">This report focuses on exploring the differences between the implementation of circular economy (CE) in both centralized and decentralized retail models and gaining insights that apply to the entire IGA network. The findings of this report should help optimize several areas like inventory management, improving profit margins, increasing waste diversion, and enhancing social responsibility, thus contributing to a more sustainable retail ecosystem in Australia. </w:t>
      </w:r>
    </w:p>
    <w:p w14:paraId="294E171C" w14:textId="77777777" w:rsidR="0068707B" w:rsidRPr="00EA4FC3" w:rsidRDefault="0068707B" w:rsidP="0068707B">
      <w:pPr>
        <w:rPr>
          <w:rFonts w:ascii="Times New Roman" w:hAnsi="Times New Roman" w:cs="Times New Roman"/>
          <w:b/>
          <w:bCs/>
          <w:u w:val="single"/>
        </w:rPr>
      </w:pPr>
    </w:p>
    <w:p w14:paraId="317227E4" w14:textId="5218379D" w:rsidR="0068707B" w:rsidRPr="00EA4FC3" w:rsidRDefault="0068707B" w:rsidP="0068707B">
      <w:pPr>
        <w:rPr>
          <w:rFonts w:ascii="Times New Roman" w:hAnsi="Times New Roman" w:cs="Times New Roman"/>
          <w:b/>
          <w:bCs/>
          <w:u w:val="single"/>
        </w:rPr>
      </w:pPr>
      <w:r w:rsidRPr="00EA4FC3">
        <w:rPr>
          <w:rFonts w:ascii="Times New Roman" w:hAnsi="Times New Roman" w:cs="Times New Roman"/>
          <w:b/>
          <w:bCs/>
          <w:u w:val="single"/>
        </w:rPr>
        <w:t>Research question and Objectives:</w:t>
      </w:r>
    </w:p>
    <w:p w14:paraId="7C3890A0" w14:textId="21AC033C" w:rsidR="0068707B" w:rsidRPr="00EA4FC3" w:rsidRDefault="0068707B" w:rsidP="0068707B">
      <w:pPr>
        <w:rPr>
          <w:rFonts w:ascii="Times New Roman" w:hAnsi="Times New Roman" w:cs="Times New Roman"/>
        </w:rPr>
      </w:pPr>
      <w:r w:rsidRPr="00EA4FC3">
        <w:rPr>
          <w:rFonts w:ascii="Times New Roman" w:hAnsi="Times New Roman" w:cs="Times New Roman"/>
          <w:b/>
          <w:bCs/>
        </w:rPr>
        <w:t xml:space="preserve">Q1. </w:t>
      </w:r>
      <w:r w:rsidRPr="00EA4FC3">
        <w:rPr>
          <w:rFonts w:ascii="Times New Roman" w:hAnsi="Times New Roman" w:cs="Times New Roman"/>
        </w:rPr>
        <w:t>How can circular economy strategies be applied to reduce food waste in IGA supermarkets, and how does IGA’s decentralized structure affect its ability to implement sustainable practices compared to centralized competitors like Woolworths and Coles?</w:t>
      </w:r>
    </w:p>
    <w:p w14:paraId="3FA1CB40" w14:textId="779E603C" w:rsidR="0068707B" w:rsidRPr="00EA4FC3" w:rsidRDefault="0068707B" w:rsidP="0068707B">
      <w:pPr>
        <w:rPr>
          <w:rFonts w:ascii="Times New Roman" w:hAnsi="Times New Roman" w:cs="Times New Roman"/>
          <w:b/>
          <w:bCs/>
          <w:u w:val="single"/>
        </w:rPr>
      </w:pPr>
      <w:r w:rsidRPr="00EA4FC3">
        <w:rPr>
          <w:rFonts w:ascii="Times New Roman" w:hAnsi="Times New Roman" w:cs="Times New Roman"/>
          <w:b/>
          <w:bCs/>
          <w:u w:val="single"/>
        </w:rPr>
        <w:t>Objectives:</w:t>
      </w:r>
    </w:p>
    <w:p w14:paraId="6C090883" w14:textId="21A61457" w:rsidR="00DD402C" w:rsidRPr="00EA4FC3" w:rsidRDefault="00DD402C" w:rsidP="00DD402C">
      <w:pPr>
        <w:pStyle w:val="NormalWeb"/>
        <w:numPr>
          <w:ilvl w:val="0"/>
          <w:numId w:val="2"/>
        </w:numPr>
        <w:jc w:val="both"/>
      </w:pPr>
      <w:r w:rsidRPr="00EA4FC3">
        <w:rPr>
          <w:rStyle w:val="Strong"/>
          <w:rFonts w:eastAsiaTheme="majorEastAsia"/>
          <w:b w:val="0"/>
          <w:bCs w:val="0"/>
        </w:rPr>
        <w:t>To identify the key factors at IGA Valley that could contribute most to food waste in relation to sales, profitability, and discounted products.</w:t>
      </w:r>
    </w:p>
    <w:p w14:paraId="293928AA" w14:textId="130B6266" w:rsidR="00FA7988" w:rsidRPr="00EA4FC3" w:rsidRDefault="00FA7988" w:rsidP="00DD402C">
      <w:pPr>
        <w:pStyle w:val="ListParagraph"/>
        <w:numPr>
          <w:ilvl w:val="0"/>
          <w:numId w:val="2"/>
        </w:numPr>
        <w:jc w:val="both"/>
        <w:rPr>
          <w:rFonts w:ascii="Times New Roman" w:hAnsi="Times New Roman" w:cs="Times New Roman"/>
          <w:u w:val="single"/>
        </w:rPr>
      </w:pPr>
      <w:r w:rsidRPr="00EA4FC3">
        <w:rPr>
          <w:rFonts w:ascii="Times New Roman" w:hAnsi="Times New Roman" w:cs="Times New Roman"/>
        </w:rPr>
        <w:t>To evaluate the reuse, redistribution</w:t>
      </w:r>
      <w:r w:rsidR="00DD402C" w:rsidRPr="00EA4FC3">
        <w:rPr>
          <w:rFonts w:ascii="Times New Roman" w:hAnsi="Times New Roman" w:cs="Times New Roman"/>
        </w:rPr>
        <w:t>,</w:t>
      </w:r>
      <w:r w:rsidRPr="00EA4FC3">
        <w:rPr>
          <w:rFonts w:ascii="Times New Roman" w:hAnsi="Times New Roman" w:cs="Times New Roman"/>
        </w:rPr>
        <w:t xml:space="preserve"> and recovery </w:t>
      </w:r>
      <w:r w:rsidR="00DD402C" w:rsidRPr="00EA4FC3">
        <w:rPr>
          <w:rFonts w:ascii="Times New Roman" w:hAnsi="Times New Roman" w:cs="Times New Roman"/>
        </w:rPr>
        <w:t>strategies</w:t>
      </w:r>
      <w:r w:rsidRPr="00EA4FC3">
        <w:rPr>
          <w:rFonts w:ascii="Times New Roman" w:hAnsi="Times New Roman" w:cs="Times New Roman"/>
        </w:rPr>
        <w:t xml:space="preserve"> in retail supermarkets using circular economy frameworks.</w:t>
      </w:r>
    </w:p>
    <w:p w14:paraId="4C375100" w14:textId="04AC67D2" w:rsidR="00DD402C" w:rsidRPr="00EA4FC3" w:rsidRDefault="00DD402C" w:rsidP="00DD402C">
      <w:pPr>
        <w:pStyle w:val="ListParagraph"/>
        <w:numPr>
          <w:ilvl w:val="0"/>
          <w:numId w:val="2"/>
        </w:numPr>
        <w:jc w:val="both"/>
        <w:rPr>
          <w:rFonts w:ascii="Times New Roman" w:hAnsi="Times New Roman" w:cs="Times New Roman"/>
        </w:rPr>
      </w:pPr>
      <w:r w:rsidRPr="00EA4FC3">
        <w:rPr>
          <w:rFonts w:ascii="Times New Roman" w:hAnsi="Times New Roman" w:cs="Times New Roman"/>
        </w:rPr>
        <w:t>To predict the annual food waste contribution based on product behavior and sales trends, and to develop strategies to reduce food waste and prevent reaching the projected levels.</w:t>
      </w:r>
    </w:p>
    <w:p w14:paraId="13CCC76E" w14:textId="09CFA156" w:rsidR="00DD402C" w:rsidRPr="00EA4FC3" w:rsidRDefault="00DD402C" w:rsidP="00DD402C">
      <w:pPr>
        <w:pStyle w:val="ListParagraph"/>
        <w:numPr>
          <w:ilvl w:val="0"/>
          <w:numId w:val="2"/>
        </w:numPr>
        <w:jc w:val="both"/>
        <w:rPr>
          <w:rFonts w:ascii="Times New Roman" w:hAnsi="Times New Roman" w:cs="Times New Roman"/>
        </w:rPr>
      </w:pPr>
      <w:r w:rsidRPr="00EA4FC3">
        <w:rPr>
          <w:rFonts w:ascii="Times New Roman" w:hAnsi="Times New Roman" w:cs="Times New Roman"/>
        </w:rPr>
        <w:lastRenderedPageBreak/>
        <w:t>Identifying the contribution of a specific store in implementing circular economy strategies to reduce food waste and evaluating how these practices can be scaled across all IGA stores in Australia.</w:t>
      </w:r>
    </w:p>
    <w:p w14:paraId="7B66551C" w14:textId="77578F42" w:rsidR="00DD402C" w:rsidRPr="00EA4FC3" w:rsidRDefault="00DD402C" w:rsidP="00DD402C">
      <w:pPr>
        <w:pStyle w:val="ListParagraph"/>
        <w:numPr>
          <w:ilvl w:val="0"/>
          <w:numId w:val="2"/>
        </w:numPr>
        <w:jc w:val="both"/>
        <w:rPr>
          <w:rFonts w:ascii="Times New Roman" w:hAnsi="Times New Roman" w:cs="Times New Roman"/>
        </w:rPr>
      </w:pPr>
      <w:r w:rsidRPr="00EA4FC3">
        <w:rPr>
          <w:rFonts w:ascii="Times New Roman" w:hAnsi="Times New Roman" w:cs="Times New Roman"/>
        </w:rPr>
        <w:t>Comparing circular economy strategies between decentralized and centralized retail models, identifying gaps and effective techniques, and exploring how these can be implemented to reduce food waste and contribute to the circular economy.</w:t>
      </w:r>
    </w:p>
    <w:p w14:paraId="77AC1955" w14:textId="750F697B" w:rsidR="00145B89" w:rsidRPr="00EA4FC3" w:rsidRDefault="00145B89" w:rsidP="00145B89">
      <w:pPr>
        <w:tabs>
          <w:tab w:val="left" w:pos="2361"/>
        </w:tabs>
        <w:rPr>
          <w:rFonts w:ascii="Times New Roman" w:hAnsi="Times New Roman" w:cs="Times New Roman"/>
          <w:b/>
          <w:bCs/>
          <w:u w:val="single"/>
        </w:rPr>
      </w:pPr>
      <w:r w:rsidRPr="00EA4FC3">
        <w:rPr>
          <w:rFonts w:ascii="Times New Roman" w:hAnsi="Times New Roman" w:cs="Times New Roman"/>
          <w:b/>
          <w:bCs/>
          <w:u w:val="single"/>
        </w:rPr>
        <w:t>Literature review:</w:t>
      </w:r>
    </w:p>
    <w:p w14:paraId="254663B9"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3.1 Circular Economy and Food Waste in Retail</w:t>
      </w:r>
    </w:p>
    <w:p w14:paraId="186C682E"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The circular economy (CE) is a strategic framework that replaces the traditional linear "take-make-dispose" model with systems that reduce waste through reuse, recycling, and value recovery (Ellen MacArthur Foundation, 2022). CE in food retail entails reducing excess inventory, increasing product shelf life, and reintegrating waste back into the supply chain (Papargyropoulou et al., 2014).</w:t>
      </w:r>
    </w:p>
    <w:p w14:paraId="11E57A7D"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Supermarkets in Australia play an important role in reducing food waste by acting as a vital link between producers and consumers. The National Food Waste Strategy aims to reduce food waste by half by 2030, in line with SDG 12.3 (DAWE, 2021). According to the CSIRO (2023), inadequate inventory forecasting and overly stringent cosmetic standards are common causes of food waste in retail.</w:t>
      </w:r>
    </w:p>
    <w:p w14:paraId="2B98D5B8" w14:textId="6D6F204D" w:rsidR="005A0E1D" w:rsidRPr="005A0E1D" w:rsidRDefault="00D05280" w:rsidP="005A0E1D">
      <w:pPr>
        <w:rPr>
          <w:rFonts w:ascii="Times New Roman" w:hAnsi="Times New Roman" w:cs="Times New Roman"/>
          <w:lang w:val="en-PH"/>
        </w:rPr>
      </w:pPr>
      <w:r w:rsidRPr="005A0E1D">
        <w:rPr>
          <w:rFonts w:ascii="Times New Roman" w:hAnsi="Times New Roman" w:cs="Times New Roman"/>
          <w:lang w:val="en-PH"/>
        </w:rPr>
        <w:t>Centralized</w:t>
      </w:r>
      <w:r w:rsidR="005A0E1D" w:rsidRPr="005A0E1D">
        <w:rPr>
          <w:rFonts w:ascii="Times New Roman" w:hAnsi="Times New Roman" w:cs="Times New Roman"/>
          <w:lang w:val="en-PH"/>
        </w:rPr>
        <w:t xml:space="preserve"> retailers, such as Woolworths and Coles, have implemented CE strategies such as food donation, smart ordering, and real-time analytics. However, IGA operates on a decentralized model, with each store independently managing procurement and markdown policies, resulting in inconsistent CE implementation (Metcash, 2024; Anderson et al., 2023).</w:t>
      </w:r>
    </w:p>
    <w:p w14:paraId="214BB230" w14:textId="77777777" w:rsidR="005A0E1D" w:rsidRPr="005A0E1D" w:rsidRDefault="005A0E1D" w:rsidP="005A0E1D">
      <w:pPr>
        <w:rPr>
          <w:rFonts w:ascii="Times New Roman" w:hAnsi="Times New Roman" w:cs="Times New Roman"/>
          <w:lang w:val="en-PH"/>
        </w:rPr>
      </w:pPr>
    </w:p>
    <w:p w14:paraId="6FFF93B5"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3.2 Financial Structures and Food Waste Incentives</w:t>
      </w:r>
    </w:p>
    <w:p w14:paraId="3AD27067"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Economic motivations can hinder CE adoption in supermarkets. According to the Australia Institute (Anderson et al., 2023), supermarkets profit an estimated $1.2 billion per year from food waste due to profit margins built into product pricing. This economic structure can act as a disincentive for waste reduction, especially when markdowns are used reactively to shift unsold goods.</w:t>
      </w:r>
    </w:p>
    <w:p w14:paraId="362EFDC1"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Supermarket sections with a lot of discounts usually make less money and produce more food waste. This highlights the need for more effective circular economy strategies, such as better stock planning and the establishment of smart food donation programs (Lebersorger &amp; Schneider, 2014; Eriksson et al., 2012).</w:t>
      </w:r>
    </w:p>
    <w:p w14:paraId="43C9A2E4" w14:textId="77777777" w:rsidR="005A0E1D" w:rsidRPr="005A0E1D" w:rsidRDefault="005A0E1D" w:rsidP="005A0E1D">
      <w:pPr>
        <w:rPr>
          <w:rFonts w:ascii="Times New Roman" w:hAnsi="Times New Roman" w:cs="Times New Roman"/>
          <w:lang w:val="en-PH"/>
        </w:rPr>
      </w:pPr>
    </w:p>
    <w:p w14:paraId="297ACD23"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3.3 CE Implementation in Decentralized Supermarkets</w:t>
      </w:r>
    </w:p>
    <w:p w14:paraId="671C760E"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lastRenderedPageBreak/>
        <w:t>Using circular economy (CE) strategies in decentralized supermarkets like IGA comes with unique challenges. These include things like unclear waste rules, limited funding, and supply chains that aren’t well connected. For CE to work well, it’s important to involve suppliers, local partners, food banks, and composting services. Success also depends on strong leadership and proper staff training at each store. Unlike large chains that follow one system, IGA stores depend on individual managers to take initiative and understand how to reduce waste (Tamasiga et al., 2022; Nguyen &amp; Foster, 2021; Martin &amp; Yates, 2022).</w:t>
      </w:r>
    </w:p>
    <w:p w14:paraId="49E9D5B8" w14:textId="77777777" w:rsidR="005A0E1D" w:rsidRPr="005A0E1D" w:rsidRDefault="005A0E1D" w:rsidP="005A0E1D">
      <w:pPr>
        <w:rPr>
          <w:rFonts w:ascii="Times New Roman" w:hAnsi="Times New Roman" w:cs="Times New Roman"/>
          <w:lang w:val="en-PH"/>
        </w:rPr>
      </w:pPr>
    </w:p>
    <w:p w14:paraId="2AB8DD7F" w14:textId="77777777" w:rsidR="005A0E1D" w:rsidRPr="005A0E1D" w:rsidRDefault="005A0E1D" w:rsidP="005A0E1D">
      <w:pPr>
        <w:rPr>
          <w:rFonts w:ascii="Times New Roman" w:hAnsi="Times New Roman" w:cs="Times New Roman"/>
          <w:lang w:val="en-PH"/>
        </w:rPr>
      </w:pPr>
    </w:p>
    <w:p w14:paraId="111608F6" w14:textId="77777777" w:rsidR="005A0E1D" w:rsidRPr="005A0E1D" w:rsidRDefault="005A0E1D" w:rsidP="005A0E1D">
      <w:pPr>
        <w:rPr>
          <w:rFonts w:ascii="Times New Roman" w:hAnsi="Times New Roman" w:cs="Times New Roman"/>
          <w:lang w:val="en-PH"/>
        </w:rPr>
      </w:pPr>
    </w:p>
    <w:p w14:paraId="15628536"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3.4 Global Benchmark: Tesco</w:t>
      </w:r>
    </w:p>
    <w:p w14:paraId="7F9D12CC"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Tesco, a UK supermarket chain, uses circular economy (CE) strategies to reduce food waste. For example, they sell "imperfect" fruits and vegetables and provide discounts on food that is about to expire. They also use smart technology to forecast customer purchases and keep detailed records on food waste. These efforts have helped Tesco reduce food waste by 45% since 2016 (WRAP, 2023).</w:t>
      </w:r>
    </w:p>
    <w:p w14:paraId="47E7266D"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IGA can take similar steps by utilizing digital tools to track product expiration dates and automatically apply discounts. Despite the fact that Tesco uses a centralized system, these tools and performance measures can be used effectively in independent stores such as IGA.</w:t>
      </w:r>
    </w:p>
    <w:p w14:paraId="09BA096E" w14:textId="77777777" w:rsidR="005A0E1D" w:rsidRPr="005A0E1D" w:rsidRDefault="005A0E1D" w:rsidP="005A0E1D">
      <w:pPr>
        <w:rPr>
          <w:rFonts w:ascii="Times New Roman" w:hAnsi="Times New Roman" w:cs="Times New Roman"/>
          <w:b/>
          <w:bCs/>
          <w:lang w:val="en-PH"/>
        </w:rPr>
      </w:pPr>
    </w:p>
    <w:p w14:paraId="41086EAB"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3.5 Transformative Practices and Innovation</w:t>
      </w:r>
    </w:p>
    <w:p w14:paraId="7B8A6850"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There are three primary ways for supermarkets to implement circular economy (CE) practices: through habits such as rotating stock by expiry date, through planned rules and policies, or by experimenting with new ideas such as converting waste into valuable products. These are known as "transformativity" modes, and they explain how stores interact with CE at various levels. This is important for IGA because each store is unique, so CE strategies must be adaptable and simple to implement at each location (Lehtokunnas, 2023).</w:t>
      </w:r>
    </w:p>
    <w:p w14:paraId="07D0CF3C" w14:textId="77777777" w:rsidR="005A0E1D" w:rsidRPr="005A0E1D" w:rsidRDefault="005A0E1D" w:rsidP="005A0E1D">
      <w:pPr>
        <w:rPr>
          <w:rFonts w:ascii="Times New Roman" w:hAnsi="Times New Roman" w:cs="Times New Roman"/>
          <w:lang w:val="en-PH"/>
        </w:rPr>
      </w:pPr>
    </w:p>
    <w:p w14:paraId="70AAE22C"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3.6 Food Donation and the Rebound Effect</w:t>
      </w:r>
    </w:p>
    <w:p w14:paraId="66B3A6B8"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Donating extra food is a common circular economy (CE) strategy for reducing waste and assisting people who do not have enough to eat. But there’s a risk: some stores might order too much food on purpose, thinking they can just donate the extra. This can actually make the waste problem worse instead of preventing it in the first place (Sundin et al., 2022).</w:t>
      </w:r>
    </w:p>
    <w:p w14:paraId="150FE10D"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lastRenderedPageBreak/>
        <w:t>To address the root cause of waste, food donation should be combined with predictive analytics, waste tracking systems, and employee education at the store level.</w:t>
      </w:r>
    </w:p>
    <w:p w14:paraId="1D395B09" w14:textId="77777777" w:rsidR="005A0E1D" w:rsidRPr="005A0E1D" w:rsidRDefault="005A0E1D" w:rsidP="005A0E1D">
      <w:pPr>
        <w:rPr>
          <w:rFonts w:ascii="Times New Roman" w:hAnsi="Times New Roman" w:cs="Times New Roman"/>
          <w:lang w:val="en-PH"/>
        </w:rPr>
      </w:pPr>
    </w:p>
    <w:p w14:paraId="3C661B4C"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3.7 Systematic Review Insights</w:t>
      </w:r>
    </w:p>
    <w:p w14:paraId="343200D6"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A study in 2023 by Garrone and others looked at 45 research papers on circular economy (CE) in food retail. They found that the best ways to reduce food waste involved improving delivery systems, using technology, and changing staff behavior. The study also noted that while decentralized supermarkets may spend more to get started, they have more freedom to create solutions that fit their local needs (Garrone et al., 2023).</w:t>
      </w:r>
    </w:p>
    <w:p w14:paraId="7D56DD7E"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This reinforces IGA's need to invest in low-cost digital tools and local training programs that provide high financial and environmental returns. While most reviewed interventions were designed for centralized retailers, our study tailors these best practices to the distinct structure of IGA's independent stores.</w:t>
      </w:r>
    </w:p>
    <w:p w14:paraId="087C1D1E" w14:textId="77777777" w:rsidR="005A0E1D" w:rsidRPr="005A0E1D" w:rsidRDefault="005A0E1D" w:rsidP="005A0E1D">
      <w:pPr>
        <w:rPr>
          <w:rFonts w:ascii="Times New Roman" w:hAnsi="Times New Roman" w:cs="Times New Roman"/>
          <w:lang w:val="en-PH"/>
        </w:rPr>
      </w:pPr>
    </w:p>
    <w:p w14:paraId="1C75C292" w14:textId="77777777" w:rsidR="005A0E1D" w:rsidRPr="005A0E1D" w:rsidRDefault="005A0E1D" w:rsidP="005A0E1D">
      <w:pPr>
        <w:rPr>
          <w:rFonts w:ascii="Times New Roman" w:hAnsi="Times New Roman" w:cs="Times New Roman"/>
          <w:lang w:val="en-PH"/>
        </w:rPr>
      </w:pPr>
    </w:p>
    <w:p w14:paraId="6CB61721" w14:textId="77777777" w:rsidR="005A0E1D" w:rsidRPr="005A0E1D" w:rsidRDefault="005A0E1D" w:rsidP="005A0E1D">
      <w:pPr>
        <w:rPr>
          <w:rFonts w:ascii="Times New Roman" w:hAnsi="Times New Roman" w:cs="Times New Roman"/>
          <w:lang w:val="en-PH"/>
        </w:rPr>
      </w:pPr>
    </w:p>
    <w:p w14:paraId="20A240C1"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3.8 Summary and Research Justification</w:t>
      </w:r>
    </w:p>
    <w:p w14:paraId="0B9AF805"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The literature confirms that circular economy strategies in food retail can reduce waste while increasing profitability. However, there is a significant gap in empirical research on decentralized supermarket models such as IGA, particularly in the Australian context. Most findings are based on centralized chains in Europe or large-scale studies that assume top-down implementation structures.</w:t>
      </w:r>
    </w:p>
    <w:p w14:paraId="53298B5E"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This research fills the gap by applying real IGA sales data, profitability metrics, and donation benchmarking to build department-specific CE strategies. The goal is to uncover actionable, scalable practices that IGA can roll out store-by-store—balancing autonomy with sustainability performance.</w:t>
      </w:r>
    </w:p>
    <w:p w14:paraId="7BD46DC9" w14:textId="77777777" w:rsidR="005A0E1D" w:rsidRPr="005A0E1D" w:rsidRDefault="005A0E1D" w:rsidP="005A0E1D">
      <w:pPr>
        <w:rPr>
          <w:rFonts w:ascii="Times New Roman" w:hAnsi="Times New Roman" w:cs="Times New Roman"/>
          <w:lang w:val="en-PH"/>
        </w:rPr>
      </w:pPr>
    </w:p>
    <w:p w14:paraId="1F84B3A7" w14:textId="77777777" w:rsidR="005A0E1D" w:rsidRPr="005A0E1D" w:rsidRDefault="005A0E1D" w:rsidP="005A0E1D">
      <w:pPr>
        <w:rPr>
          <w:rFonts w:ascii="Times New Roman" w:hAnsi="Times New Roman" w:cs="Times New Roman"/>
          <w:b/>
          <w:bCs/>
          <w:lang w:val="en-PH"/>
        </w:rPr>
      </w:pPr>
      <w:r w:rsidRPr="005A0E1D">
        <w:rPr>
          <w:rFonts w:ascii="Times New Roman" w:hAnsi="Times New Roman" w:cs="Times New Roman"/>
          <w:b/>
          <w:bCs/>
          <w:lang w:val="en-PH"/>
        </w:rPr>
        <w:t>3.9 What We Learned and Why This Research Was Necessary</w:t>
      </w:r>
    </w:p>
    <w:p w14:paraId="40ECDC6B" w14:textId="60029CEB"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 xml:space="preserve">According to the reviewed literature, circular economy (CE) practices in food retail, such as donation programs, inventory optimization, and reuse strategies, have a significant impact on reducing food waste, improving operational efficiency, and addressing environmental and ethical concerns. Some studies highlight that supermarkets should use different types of circular economy (CE) </w:t>
      </w:r>
      <w:r w:rsidR="00D05280" w:rsidRPr="005A0E1D">
        <w:rPr>
          <w:rFonts w:ascii="Times New Roman" w:hAnsi="Times New Roman" w:cs="Times New Roman"/>
          <w:lang w:val="en-PH"/>
        </w:rPr>
        <w:t>practices regular</w:t>
      </w:r>
      <w:r w:rsidRPr="005A0E1D">
        <w:rPr>
          <w:rFonts w:ascii="Times New Roman" w:hAnsi="Times New Roman" w:cs="Times New Roman"/>
          <w:lang w:val="en-PH"/>
        </w:rPr>
        <w:t xml:space="preserve"> routines, planned strategies, and new ideas based on how their </w:t>
      </w:r>
      <w:r w:rsidRPr="005A0E1D">
        <w:rPr>
          <w:rFonts w:ascii="Times New Roman" w:hAnsi="Times New Roman" w:cs="Times New Roman"/>
          <w:lang w:val="en-PH"/>
        </w:rPr>
        <w:lastRenderedPageBreak/>
        <w:t xml:space="preserve">business is set up. This mix helps make CE more effective in different store settings (Sundin et al., 2022; Lehtokunnas, 2023). </w:t>
      </w:r>
    </w:p>
    <w:p w14:paraId="59D0CB0A"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Most successful circular economy (CE) examples, like Tesco, are seen in supermarkets that use a centralized system. But IGA is different — each store runs on its own, so things like ordering, discounts, and donations are handled differently at each location. This makes it harder to apply the same CE strategies across all stores (WRAP, 2023). Literature from Tamasiga et al. (2022) and Nguyen &amp; Foster (2021) further highlights that store-level autonomy can create systemic gaps in applying circular strategies.</w:t>
      </w:r>
    </w:p>
    <w:p w14:paraId="3A0A1420"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This disparity compelled us to investigate how a decentralized supermarket like IGA can implement effective CE strategies in a way that is both scalable and sensitive to local store contexts. Our review showed that while IGA has the potential and infrastructure to contribute meaningfully to waste reduction goals, the absence of data standardization, inconsistent donation protocols, and uneven staff preparedness limit sustainable outcomes.</w:t>
      </w:r>
    </w:p>
    <w:p w14:paraId="2FB2F322"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Thus, our research extends the literature by:</w:t>
      </w:r>
    </w:p>
    <w:p w14:paraId="7F261B37" w14:textId="77777777" w:rsidR="005A0E1D" w:rsidRPr="005A0E1D" w:rsidRDefault="005A0E1D" w:rsidP="005A0E1D">
      <w:pPr>
        <w:numPr>
          <w:ilvl w:val="0"/>
          <w:numId w:val="19"/>
        </w:numPr>
        <w:rPr>
          <w:rFonts w:ascii="Times New Roman" w:hAnsi="Times New Roman" w:cs="Times New Roman"/>
          <w:lang w:val="en-PH"/>
        </w:rPr>
      </w:pPr>
      <w:r w:rsidRPr="005A0E1D">
        <w:rPr>
          <w:rFonts w:ascii="Times New Roman" w:hAnsi="Times New Roman" w:cs="Times New Roman"/>
          <w:lang w:val="en-PH"/>
        </w:rPr>
        <w:t>Applying real sales and discounting data to identify department-level inefficiencies.</w:t>
      </w:r>
    </w:p>
    <w:p w14:paraId="73EF1233" w14:textId="77777777" w:rsidR="005A0E1D" w:rsidRPr="005A0E1D" w:rsidRDefault="005A0E1D" w:rsidP="005A0E1D">
      <w:pPr>
        <w:numPr>
          <w:ilvl w:val="0"/>
          <w:numId w:val="19"/>
        </w:numPr>
        <w:rPr>
          <w:rFonts w:ascii="Times New Roman" w:hAnsi="Times New Roman" w:cs="Times New Roman"/>
          <w:lang w:val="en-PH"/>
        </w:rPr>
      </w:pPr>
      <w:r w:rsidRPr="005A0E1D">
        <w:rPr>
          <w:rFonts w:ascii="Times New Roman" w:hAnsi="Times New Roman" w:cs="Times New Roman"/>
          <w:lang w:val="en-PH"/>
        </w:rPr>
        <w:t>Using quantitative tools like t-tests and correlation analysis to validate CE impact.</w:t>
      </w:r>
    </w:p>
    <w:p w14:paraId="359A2D3B" w14:textId="77777777" w:rsidR="005A0E1D" w:rsidRPr="005A0E1D" w:rsidRDefault="005A0E1D" w:rsidP="005A0E1D">
      <w:pPr>
        <w:numPr>
          <w:ilvl w:val="0"/>
          <w:numId w:val="19"/>
        </w:numPr>
        <w:rPr>
          <w:rFonts w:ascii="Times New Roman" w:hAnsi="Times New Roman" w:cs="Times New Roman"/>
          <w:lang w:val="en-PH"/>
        </w:rPr>
      </w:pPr>
      <w:r w:rsidRPr="005A0E1D">
        <w:rPr>
          <w:rFonts w:ascii="Times New Roman" w:hAnsi="Times New Roman" w:cs="Times New Roman"/>
          <w:lang w:val="en-PH"/>
        </w:rPr>
        <w:t>Benchmarking IGA’s results against centralized leaders like Coles and Woolworths.</w:t>
      </w:r>
    </w:p>
    <w:p w14:paraId="76C61044" w14:textId="77777777" w:rsidR="005A0E1D" w:rsidRPr="005A0E1D" w:rsidRDefault="005A0E1D" w:rsidP="005A0E1D">
      <w:pPr>
        <w:numPr>
          <w:ilvl w:val="0"/>
          <w:numId w:val="19"/>
        </w:numPr>
        <w:rPr>
          <w:rFonts w:ascii="Times New Roman" w:hAnsi="Times New Roman" w:cs="Times New Roman"/>
          <w:lang w:val="en-PH"/>
        </w:rPr>
      </w:pPr>
      <w:r w:rsidRPr="005A0E1D">
        <w:rPr>
          <w:rFonts w:ascii="Times New Roman" w:hAnsi="Times New Roman" w:cs="Times New Roman"/>
          <w:lang w:val="en-PH"/>
        </w:rPr>
        <w:t>Offering data-driven, scalable recommendations that account for IGA’s operational reality.</w:t>
      </w:r>
    </w:p>
    <w:p w14:paraId="276AE6C2" w14:textId="77777777" w:rsidR="005A0E1D" w:rsidRPr="005A0E1D" w:rsidRDefault="005A0E1D" w:rsidP="005A0E1D">
      <w:pPr>
        <w:rPr>
          <w:rFonts w:ascii="Times New Roman" w:hAnsi="Times New Roman" w:cs="Times New Roman"/>
          <w:lang w:val="en-PH"/>
        </w:rPr>
      </w:pPr>
      <w:r w:rsidRPr="005A0E1D">
        <w:rPr>
          <w:rFonts w:ascii="Times New Roman" w:hAnsi="Times New Roman" w:cs="Times New Roman"/>
          <w:lang w:val="en-PH"/>
        </w:rPr>
        <w:t>Ultimately, this research bridges the gap between theory and application by showing how CE strategies can be embedded within decentralized retail ecosystems, with IGA as a national case study.</w:t>
      </w:r>
    </w:p>
    <w:p w14:paraId="2334FD07" w14:textId="77777777" w:rsidR="00145B89" w:rsidRPr="00145B89" w:rsidRDefault="00145B89" w:rsidP="00145B89">
      <w:pPr>
        <w:rPr>
          <w:rFonts w:ascii="Times New Roman" w:hAnsi="Times New Roman" w:cs="Times New Roman"/>
        </w:rPr>
      </w:pPr>
    </w:p>
    <w:p w14:paraId="292F0B2C" w14:textId="4C7F7E48" w:rsidR="00145B89" w:rsidRPr="00EA4FC3" w:rsidRDefault="00145B89">
      <w:pPr>
        <w:rPr>
          <w:rFonts w:ascii="Times New Roman" w:hAnsi="Times New Roman" w:cs="Times New Roman"/>
          <w:b/>
          <w:bCs/>
          <w:u w:val="single"/>
        </w:rPr>
      </w:pPr>
      <w:r w:rsidRPr="00EA4FC3">
        <w:rPr>
          <w:rFonts w:ascii="Times New Roman" w:hAnsi="Times New Roman" w:cs="Times New Roman"/>
          <w:b/>
          <w:bCs/>
          <w:u w:val="single"/>
        </w:rPr>
        <w:t>Research Design:</w:t>
      </w:r>
    </w:p>
    <w:p w14:paraId="29C74E88" w14:textId="2FE6F3C1" w:rsidR="00145B89" w:rsidRPr="00EA4FC3" w:rsidRDefault="001741A6" w:rsidP="00707058">
      <w:pPr>
        <w:jc w:val="both"/>
        <w:rPr>
          <w:rFonts w:ascii="Times New Roman" w:hAnsi="Times New Roman" w:cs="Times New Roman"/>
        </w:rPr>
      </w:pPr>
      <w:r w:rsidRPr="00EA4FC3">
        <w:rPr>
          <w:rFonts w:ascii="Times New Roman" w:hAnsi="Times New Roman" w:cs="Times New Roman"/>
          <w:u w:val="single"/>
        </w:rPr>
        <w:t xml:space="preserve">Research type: </w:t>
      </w:r>
      <w:r w:rsidR="00707058" w:rsidRPr="00EA4FC3">
        <w:rPr>
          <w:rFonts w:ascii="Times New Roman" w:hAnsi="Times New Roman" w:cs="Times New Roman"/>
        </w:rPr>
        <w:t>The research adopts a mixed approach in our analysis using descriptive statistics, graphs, and visuals from real-world sales data of IGA Valley, and preparing a model for annual analysis and a qualitative approach, comparing IGA’s annual and sustainability reports with competitors like Woolworths and Coles. The study concludes with a qualitative analysis of food waste data from the Australian Food Waste Sustainability Reports, specifically focusing on the retail sector. This approach aims to understand how IGA is adopting circular economy sustainability practices and to identify areas for improvement in enhancing food diversion rates, in comparison to national retail benchmarks.</w:t>
      </w:r>
    </w:p>
    <w:p w14:paraId="16ED631A" w14:textId="6D7BDE14" w:rsidR="00707058" w:rsidRPr="00EA4FC3" w:rsidRDefault="00707058" w:rsidP="00707058">
      <w:pPr>
        <w:jc w:val="both"/>
        <w:rPr>
          <w:rFonts w:ascii="Times New Roman" w:hAnsi="Times New Roman" w:cs="Times New Roman"/>
          <w:u w:val="single"/>
        </w:rPr>
      </w:pPr>
      <w:r w:rsidRPr="00EA4FC3">
        <w:rPr>
          <w:rFonts w:ascii="Times New Roman" w:hAnsi="Times New Roman" w:cs="Times New Roman"/>
          <w:u w:val="single"/>
        </w:rPr>
        <w:t>Data collection:</w:t>
      </w:r>
    </w:p>
    <w:p w14:paraId="5B9C3694" w14:textId="662BA11A" w:rsidR="00707058" w:rsidRPr="00EA4FC3" w:rsidRDefault="00707058" w:rsidP="00707058">
      <w:pPr>
        <w:jc w:val="both"/>
        <w:rPr>
          <w:rFonts w:ascii="Times New Roman" w:hAnsi="Times New Roman" w:cs="Times New Roman"/>
        </w:rPr>
      </w:pPr>
      <w:r w:rsidRPr="00EA4FC3">
        <w:rPr>
          <w:rFonts w:ascii="Times New Roman" w:hAnsi="Times New Roman" w:cs="Times New Roman"/>
        </w:rPr>
        <w:lastRenderedPageBreak/>
        <w:t>The analysis is based on secondary data sourced from the following:</w:t>
      </w:r>
    </w:p>
    <w:p w14:paraId="04AC301D" w14:textId="11531FEF" w:rsidR="00513523" w:rsidRPr="00EA4FC3" w:rsidRDefault="00513523" w:rsidP="009B5C99">
      <w:pPr>
        <w:pStyle w:val="ListParagraph"/>
        <w:numPr>
          <w:ilvl w:val="0"/>
          <w:numId w:val="6"/>
        </w:numPr>
        <w:jc w:val="both"/>
        <w:rPr>
          <w:rFonts w:ascii="Times New Roman" w:hAnsi="Times New Roman" w:cs="Times New Roman"/>
        </w:rPr>
      </w:pPr>
      <w:r w:rsidRPr="00EA4FC3">
        <w:rPr>
          <w:rFonts w:ascii="Times New Roman" w:hAnsi="Times New Roman" w:cs="Times New Roman"/>
          <w:u w:val="single"/>
        </w:rPr>
        <w:t>IGA Valley Sales Data (06/05/2025 to 06/06/2025</w:t>
      </w:r>
      <w:r w:rsidRPr="00EA4FC3">
        <w:rPr>
          <w:rFonts w:ascii="Times New Roman" w:hAnsi="Times New Roman" w:cs="Times New Roman"/>
        </w:rPr>
        <w:t>): This dataset contains department-level sales information, including columns such as Amount Inc, Amount Ex, Profit, GP%, GST Amount, Profit % Share, Sales % Share, Specials Sales, Specials % Share, and Specials GP%. A detailed table is provided in Appendix 1.</w:t>
      </w:r>
    </w:p>
    <w:p w14:paraId="23AC4B4F" w14:textId="7CED32D1" w:rsidR="00513523" w:rsidRPr="001E7AA1" w:rsidRDefault="00513523" w:rsidP="00513523">
      <w:pPr>
        <w:pStyle w:val="ListParagraph"/>
        <w:numPr>
          <w:ilvl w:val="0"/>
          <w:numId w:val="6"/>
        </w:numPr>
        <w:jc w:val="both"/>
        <w:rPr>
          <w:rFonts w:ascii="Times New Roman" w:hAnsi="Times New Roman" w:cs="Times New Roman"/>
        </w:rPr>
      </w:pPr>
      <w:r w:rsidRPr="00EA4FC3">
        <w:rPr>
          <w:rFonts w:ascii="Times New Roman" w:hAnsi="Times New Roman" w:cs="Times New Roman"/>
          <w:u w:val="single"/>
        </w:rPr>
        <w:t>IGA Yearly Projection Data:</w:t>
      </w:r>
      <w:r w:rsidRPr="00EA4FC3">
        <w:rPr>
          <w:rFonts w:ascii="Times New Roman" w:hAnsi="Times New Roman" w:cs="Times New Roman"/>
        </w:rPr>
        <w:t xml:space="preserve"> </w:t>
      </w:r>
      <w:r w:rsidR="006F6CCC" w:rsidRPr="00EA4FC3">
        <w:rPr>
          <w:rFonts w:ascii="Times New Roman" w:hAnsi="Times New Roman" w:cs="Times New Roman"/>
        </w:rPr>
        <w:t>This data is extrapolated</w:t>
      </w:r>
      <w:r w:rsidRPr="00EA4FC3">
        <w:rPr>
          <w:rFonts w:ascii="Times New Roman" w:hAnsi="Times New Roman" w:cs="Times New Roman"/>
        </w:rPr>
        <w:t xml:space="preserve"> from monthly data.</w:t>
      </w:r>
      <w:r w:rsidR="009B5C99" w:rsidRPr="00EA4FC3">
        <w:rPr>
          <w:rFonts w:ascii="Times New Roman" w:hAnsi="Times New Roman" w:cs="Times New Roman"/>
        </w:rPr>
        <w:t xml:space="preserve"> A detailed table is provided in Appendix 2.</w:t>
      </w:r>
    </w:p>
    <w:p w14:paraId="51A22DF1" w14:textId="667364C0" w:rsidR="00513523" w:rsidRPr="00EA4FC3" w:rsidRDefault="00513523" w:rsidP="009B5C99">
      <w:pPr>
        <w:pStyle w:val="ListParagraph"/>
        <w:numPr>
          <w:ilvl w:val="0"/>
          <w:numId w:val="6"/>
        </w:numPr>
        <w:jc w:val="both"/>
        <w:rPr>
          <w:rFonts w:ascii="Times New Roman" w:hAnsi="Times New Roman" w:cs="Times New Roman"/>
        </w:rPr>
      </w:pPr>
      <w:r w:rsidRPr="00EA4FC3">
        <w:rPr>
          <w:rFonts w:ascii="Times New Roman" w:hAnsi="Times New Roman" w:cs="Times New Roman"/>
          <w:u w:val="single"/>
        </w:rPr>
        <w:t>Metcash Sustainability Report (2024)</w:t>
      </w:r>
      <w:r w:rsidR="00B61502" w:rsidRPr="00EA4FC3">
        <w:rPr>
          <w:rFonts w:ascii="Times New Roman" w:hAnsi="Times New Roman" w:cs="Times New Roman"/>
          <w:u w:val="single"/>
        </w:rPr>
        <w:t>, Woolworths sustainability report (2024), Coles sustainability report (2024):</w:t>
      </w:r>
      <w:r w:rsidR="00B61502" w:rsidRPr="00EA4FC3">
        <w:rPr>
          <w:rFonts w:ascii="Times New Roman" w:hAnsi="Times New Roman" w:cs="Times New Roman"/>
        </w:rPr>
        <w:t xml:space="preserve"> Important data were extracted, separating columns like (supermarkets, Category, Amount, Quantity</w:t>
      </w:r>
      <w:r w:rsidR="006F6CCC" w:rsidRPr="00EA4FC3">
        <w:rPr>
          <w:rFonts w:ascii="Times New Roman" w:hAnsi="Times New Roman" w:cs="Times New Roman"/>
        </w:rPr>
        <w:t>)</w:t>
      </w:r>
      <w:r w:rsidR="00B61502" w:rsidRPr="00EA4FC3">
        <w:rPr>
          <w:rFonts w:ascii="Times New Roman" w:hAnsi="Times New Roman" w:cs="Times New Roman"/>
        </w:rPr>
        <w:t>. A detailed table is provided in Appendix 2.</w:t>
      </w:r>
    </w:p>
    <w:p w14:paraId="222B99BC" w14:textId="4D22BAFA" w:rsidR="001A1B1E" w:rsidRPr="00EA4FC3" w:rsidRDefault="009B5C99" w:rsidP="00513523">
      <w:pPr>
        <w:jc w:val="both"/>
        <w:rPr>
          <w:rFonts w:ascii="Times New Roman" w:hAnsi="Times New Roman" w:cs="Times New Roman"/>
          <w:b/>
          <w:bCs/>
          <w:u w:val="single"/>
        </w:rPr>
      </w:pPr>
      <w:r w:rsidRPr="00EA4FC3">
        <w:rPr>
          <w:rFonts w:ascii="Times New Roman" w:hAnsi="Times New Roman" w:cs="Times New Roman"/>
          <w:b/>
          <w:bCs/>
          <w:u w:val="single"/>
        </w:rPr>
        <w:t>Data Analysis</w:t>
      </w:r>
      <w:r w:rsidR="006F6CCC" w:rsidRPr="00EA4FC3">
        <w:rPr>
          <w:rFonts w:ascii="Times New Roman" w:hAnsi="Times New Roman" w:cs="Times New Roman"/>
          <w:b/>
          <w:bCs/>
          <w:u w:val="single"/>
        </w:rPr>
        <w:t>:</w:t>
      </w:r>
    </w:p>
    <w:p w14:paraId="3F25289D" w14:textId="3FD1C20C" w:rsidR="006F6CCC" w:rsidRPr="00EA4FC3" w:rsidRDefault="006F6CCC" w:rsidP="00513523">
      <w:pPr>
        <w:jc w:val="both"/>
        <w:rPr>
          <w:rFonts w:ascii="Times New Roman" w:hAnsi="Times New Roman" w:cs="Times New Roman"/>
        </w:rPr>
      </w:pPr>
      <w:r w:rsidRPr="00EA4FC3">
        <w:rPr>
          <w:rFonts w:ascii="Times New Roman" w:hAnsi="Times New Roman" w:cs="Times New Roman"/>
        </w:rPr>
        <w:t xml:space="preserve">To conduct </w:t>
      </w:r>
      <w:r w:rsidR="00991FF6" w:rsidRPr="00EA4FC3">
        <w:rPr>
          <w:rFonts w:ascii="Times New Roman" w:hAnsi="Times New Roman" w:cs="Times New Roman"/>
        </w:rPr>
        <w:t>an</w:t>
      </w:r>
      <w:r w:rsidRPr="00EA4FC3">
        <w:rPr>
          <w:rFonts w:ascii="Times New Roman" w:hAnsi="Times New Roman" w:cs="Times New Roman"/>
        </w:rPr>
        <w:t xml:space="preserve"> overview of departmental performance, we computed descriptive statistics</w:t>
      </w:r>
      <w:r w:rsidR="00991FF6" w:rsidRPr="00EA4FC3">
        <w:rPr>
          <w:rFonts w:ascii="Times New Roman" w:hAnsi="Times New Roman" w:cs="Times New Roman"/>
        </w:rPr>
        <w:t xml:space="preserve"> between the variables of the datasets.</w:t>
      </w:r>
    </w:p>
    <w:p w14:paraId="69667A8C" w14:textId="7769ED12" w:rsidR="001A1B1E" w:rsidRPr="00EA4FC3" w:rsidRDefault="007321DF" w:rsidP="00513523">
      <w:pPr>
        <w:jc w:val="both"/>
        <w:rPr>
          <w:rFonts w:ascii="Times New Roman" w:hAnsi="Times New Roman" w:cs="Times New Roman"/>
          <w:b/>
          <w:bCs/>
          <w:u w:val="single"/>
        </w:rPr>
      </w:pPr>
      <w:r w:rsidRPr="00EA4FC3">
        <w:rPr>
          <w:rFonts w:ascii="Times New Roman" w:hAnsi="Times New Roman" w:cs="Times New Roman"/>
          <w:b/>
          <w:bCs/>
          <w:noProof/>
          <w:u w:val="single"/>
        </w:rPr>
        <w:drawing>
          <wp:inline distT="0" distB="0" distL="0" distR="0" wp14:anchorId="3D83445B" wp14:editId="047469B8">
            <wp:extent cx="3961549" cy="1812324"/>
            <wp:effectExtent l="0" t="0" r="1270" b="0"/>
            <wp:docPr id="100739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742" name="Picture 1" descr="A screenshot of a computer&#10;&#10;AI-generated content may be incorrect."/>
                    <pic:cNvPicPr/>
                  </pic:nvPicPr>
                  <pic:blipFill>
                    <a:blip r:embed="rId5"/>
                    <a:stretch>
                      <a:fillRect/>
                    </a:stretch>
                  </pic:blipFill>
                  <pic:spPr>
                    <a:xfrm>
                      <a:off x="0" y="0"/>
                      <a:ext cx="3971082" cy="1816685"/>
                    </a:xfrm>
                    <a:prstGeom prst="rect">
                      <a:avLst/>
                    </a:prstGeom>
                  </pic:spPr>
                </pic:pic>
              </a:graphicData>
            </a:graphic>
          </wp:inline>
        </w:drawing>
      </w:r>
      <w:r w:rsidRPr="00EA4FC3">
        <w:rPr>
          <w:rFonts w:ascii="Times New Roman" w:hAnsi="Times New Roman" w:cs="Times New Roman"/>
          <w:b/>
          <w:bCs/>
          <w:noProof/>
          <w:u w:val="single"/>
        </w:rPr>
        <w:drawing>
          <wp:inline distT="0" distB="0" distL="0" distR="0" wp14:anchorId="35B8CB38" wp14:editId="18DE9142">
            <wp:extent cx="1877692" cy="1814298"/>
            <wp:effectExtent l="0" t="0" r="8890" b="0"/>
            <wp:docPr id="18131004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0475" name="Picture 1" descr="A screenshot of a computer screen&#10;&#10;AI-generated content may be incorrect."/>
                    <pic:cNvPicPr/>
                  </pic:nvPicPr>
                  <pic:blipFill>
                    <a:blip r:embed="rId6"/>
                    <a:stretch>
                      <a:fillRect/>
                    </a:stretch>
                  </pic:blipFill>
                  <pic:spPr>
                    <a:xfrm>
                      <a:off x="0" y="0"/>
                      <a:ext cx="1907867" cy="1843454"/>
                    </a:xfrm>
                    <a:prstGeom prst="rect">
                      <a:avLst/>
                    </a:prstGeom>
                  </pic:spPr>
                </pic:pic>
              </a:graphicData>
            </a:graphic>
          </wp:inline>
        </w:drawing>
      </w:r>
    </w:p>
    <w:p w14:paraId="0A03718E" w14:textId="39496E7B" w:rsidR="00E07276" w:rsidRPr="00EA4FC3" w:rsidRDefault="00E07276" w:rsidP="006E5F4A">
      <w:pPr>
        <w:jc w:val="center"/>
        <w:rPr>
          <w:rFonts w:ascii="Times New Roman" w:hAnsi="Times New Roman" w:cs="Times New Roman"/>
          <w:b/>
          <w:bCs/>
          <w:u w:val="single"/>
        </w:rPr>
      </w:pPr>
      <w:r w:rsidRPr="00EA4FC3">
        <w:rPr>
          <w:rFonts w:ascii="Times New Roman" w:hAnsi="Times New Roman" w:cs="Times New Roman"/>
          <w:b/>
          <w:bCs/>
          <w:u w:val="single"/>
        </w:rPr>
        <w:t xml:space="preserve">Table :1 </w:t>
      </w:r>
      <w:r w:rsidR="006E5F4A" w:rsidRPr="00EA4FC3">
        <w:rPr>
          <w:rFonts w:ascii="Times New Roman" w:hAnsi="Times New Roman" w:cs="Times New Roman"/>
          <w:b/>
          <w:bCs/>
          <w:u w:val="single"/>
        </w:rPr>
        <w:t>Descriptive statistics</w:t>
      </w:r>
    </w:p>
    <w:p w14:paraId="6E7CC18C" w14:textId="2045248A" w:rsidR="009B5C99" w:rsidRPr="00EA4FC3" w:rsidRDefault="009D3291" w:rsidP="00513523">
      <w:pPr>
        <w:jc w:val="both"/>
        <w:rPr>
          <w:rFonts w:ascii="Times New Roman" w:hAnsi="Times New Roman" w:cs="Times New Roman"/>
          <w:u w:val="single"/>
        </w:rPr>
      </w:pPr>
      <w:r w:rsidRPr="00EA4FC3">
        <w:rPr>
          <w:rFonts w:ascii="Times New Roman" w:hAnsi="Times New Roman" w:cs="Times New Roman"/>
          <w:u w:val="single"/>
        </w:rPr>
        <w:t>Insights:</w:t>
      </w:r>
    </w:p>
    <w:p w14:paraId="05CA1CD9" w14:textId="63DE85F1" w:rsidR="00C22721" w:rsidRPr="00EA4FC3" w:rsidRDefault="00C22721" w:rsidP="009D3291">
      <w:pPr>
        <w:pStyle w:val="ListParagraph"/>
        <w:numPr>
          <w:ilvl w:val="0"/>
          <w:numId w:val="7"/>
        </w:numPr>
        <w:jc w:val="both"/>
        <w:rPr>
          <w:rFonts w:ascii="Times New Roman" w:hAnsi="Times New Roman" w:cs="Times New Roman"/>
        </w:rPr>
      </w:pPr>
      <w:r w:rsidRPr="00EA4FC3">
        <w:rPr>
          <w:rFonts w:ascii="Times New Roman" w:hAnsi="Times New Roman" w:cs="Times New Roman"/>
        </w:rPr>
        <w:t>Upon closely analyzing the Amount Inc metric (sales volume), we found a mean of $11,857 with a high standard deviation, indicating significant variation in sales across different departments. Some departments, such as dairy and cigarettes, dominate in sales, while others are marginal. This analysis helps identify the departments that are likely major contributors to high-volume food waste.</w:t>
      </w:r>
    </w:p>
    <w:p w14:paraId="1C0F9BB5" w14:textId="6438A559" w:rsidR="00D22BF5" w:rsidRPr="00EA4FC3" w:rsidRDefault="00D22BF5" w:rsidP="009D3291">
      <w:pPr>
        <w:pStyle w:val="ListParagraph"/>
        <w:numPr>
          <w:ilvl w:val="0"/>
          <w:numId w:val="7"/>
        </w:numPr>
        <w:jc w:val="both"/>
        <w:rPr>
          <w:rFonts w:ascii="Times New Roman" w:hAnsi="Times New Roman" w:cs="Times New Roman"/>
        </w:rPr>
      </w:pPr>
      <w:r w:rsidRPr="00EA4FC3">
        <w:rPr>
          <w:rFonts w:ascii="Times New Roman" w:hAnsi="Times New Roman" w:cs="Times New Roman"/>
        </w:rPr>
        <w:t xml:space="preserve">From the analysis of the 25th and 75th percentiles, we identified high-risk departments with low sales and high </w:t>
      </w:r>
      <w:r w:rsidR="00D05280" w:rsidRPr="00EA4FC3">
        <w:rPr>
          <w:rFonts w:ascii="Times New Roman" w:hAnsi="Times New Roman" w:cs="Times New Roman"/>
        </w:rPr>
        <w:t>discounts</w:t>
      </w:r>
      <w:r w:rsidRPr="00EA4FC3">
        <w:rPr>
          <w:rFonts w:ascii="Times New Roman" w:hAnsi="Times New Roman" w:cs="Times New Roman"/>
        </w:rPr>
        <w:t>, which may lead to increased food waste, as well as departments with high sales but low gross profit percentages, suggesting pricing or margin inefficiencies.</w:t>
      </w:r>
    </w:p>
    <w:p w14:paraId="2F09C584" w14:textId="62DFE870" w:rsidR="00E44A32" w:rsidRPr="00EA4FC3" w:rsidRDefault="00E44A32" w:rsidP="00E44A32">
      <w:pPr>
        <w:pStyle w:val="ListParagraph"/>
        <w:ind w:left="1080"/>
        <w:jc w:val="both"/>
        <w:rPr>
          <w:rFonts w:ascii="Times New Roman" w:hAnsi="Times New Roman" w:cs="Times New Roman"/>
        </w:rPr>
      </w:pPr>
      <w:r w:rsidRPr="00EA4FC3">
        <w:rPr>
          <w:rFonts w:ascii="Times New Roman" w:hAnsi="Times New Roman" w:cs="Times New Roman"/>
          <w:noProof/>
        </w:rPr>
        <w:lastRenderedPageBreak/>
        <w:drawing>
          <wp:inline distT="0" distB="0" distL="0" distR="0" wp14:anchorId="42E4E98D" wp14:editId="22D3C1B7">
            <wp:extent cx="5943600" cy="1737360"/>
            <wp:effectExtent l="0" t="0" r="0" b="0"/>
            <wp:docPr id="1345271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71127" name="Picture 1" descr="A screenshot of a computer&#10;&#10;AI-generated content may be incorrect."/>
                    <pic:cNvPicPr/>
                  </pic:nvPicPr>
                  <pic:blipFill>
                    <a:blip r:embed="rId7"/>
                    <a:stretch>
                      <a:fillRect/>
                    </a:stretch>
                  </pic:blipFill>
                  <pic:spPr>
                    <a:xfrm>
                      <a:off x="0" y="0"/>
                      <a:ext cx="5950836" cy="1739475"/>
                    </a:xfrm>
                    <a:prstGeom prst="rect">
                      <a:avLst/>
                    </a:prstGeom>
                  </pic:spPr>
                </pic:pic>
              </a:graphicData>
            </a:graphic>
          </wp:inline>
        </w:drawing>
      </w:r>
    </w:p>
    <w:p w14:paraId="1C65DA6D" w14:textId="71411539" w:rsidR="000774E9" w:rsidRPr="00EA4FC3" w:rsidRDefault="000774E9" w:rsidP="000774E9">
      <w:pPr>
        <w:pStyle w:val="ListParagraph"/>
        <w:ind w:left="1080"/>
        <w:jc w:val="center"/>
        <w:rPr>
          <w:rFonts w:ascii="Times New Roman" w:hAnsi="Times New Roman" w:cs="Times New Roman"/>
          <w:b/>
          <w:bCs/>
        </w:rPr>
      </w:pPr>
      <w:r w:rsidRPr="00EA4FC3">
        <w:rPr>
          <w:rFonts w:ascii="Times New Roman" w:hAnsi="Times New Roman" w:cs="Times New Roman"/>
          <w:b/>
          <w:bCs/>
        </w:rPr>
        <w:t>Table :2 High risks optimization departments</w:t>
      </w:r>
    </w:p>
    <w:p w14:paraId="1F7490AC" w14:textId="6CD365C5" w:rsidR="00D22BF5" w:rsidRPr="00EA4FC3" w:rsidRDefault="00D22BF5" w:rsidP="00513523">
      <w:pPr>
        <w:jc w:val="both"/>
        <w:rPr>
          <w:rFonts w:ascii="Times New Roman" w:hAnsi="Times New Roman" w:cs="Times New Roman"/>
        </w:rPr>
      </w:pPr>
      <w:r w:rsidRPr="00EA4FC3">
        <w:rPr>
          <w:rFonts w:ascii="Times New Roman" w:hAnsi="Times New Roman" w:cs="Times New Roman"/>
        </w:rPr>
        <w:t>Here, we categorized the products into perishable and non-perishable groups and identified fruits and vegetables as a key area for circular economy actions, such as smarter markdowns, donation strategies, and margin improvements.</w:t>
      </w:r>
    </w:p>
    <w:p w14:paraId="6223CB2E" w14:textId="2BB8C456" w:rsidR="00F22DCF" w:rsidRPr="00EA4FC3" w:rsidRDefault="00F22DCF" w:rsidP="00F22DCF">
      <w:pPr>
        <w:pStyle w:val="ListParagraph"/>
        <w:numPr>
          <w:ilvl w:val="0"/>
          <w:numId w:val="7"/>
        </w:numPr>
        <w:jc w:val="both"/>
        <w:rPr>
          <w:rFonts w:ascii="Times New Roman" w:hAnsi="Times New Roman" w:cs="Times New Roman"/>
        </w:rPr>
      </w:pPr>
      <w:r w:rsidRPr="00EA4FC3">
        <w:rPr>
          <w:rFonts w:ascii="Times New Roman" w:hAnsi="Times New Roman" w:cs="Times New Roman"/>
        </w:rPr>
        <w:t>The mean profit was $2,980.32 with high variability (std: $4,177.76). Departments like Phone Cards showed losses (−$383.80), but being non-perishable, they likely don’t contribute much to food waste, highlighting the need to focus on low-margin perishable categories.</w:t>
      </w:r>
    </w:p>
    <w:p w14:paraId="7AFCCD6F" w14:textId="63C446DF" w:rsidR="00C072E8" w:rsidRPr="00EA4FC3" w:rsidRDefault="00C072E8" w:rsidP="00F22DCF">
      <w:pPr>
        <w:pStyle w:val="ListParagraph"/>
        <w:numPr>
          <w:ilvl w:val="0"/>
          <w:numId w:val="7"/>
        </w:numPr>
        <w:jc w:val="both"/>
        <w:rPr>
          <w:rFonts w:ascii="Times New Roman" w:hAnsi="Times New Roman" w:cs="Times New Roman"/>
        </w:rPr>
      </w:pPr>
      <w:r w:rsidRPr="00EA4FC3">
        <w:rPr>
          <w:rFonts w:ascii="Times New Roman" w:hAnsi="Times New Roman" w:cs="Times New Roman"/>
        </w:rPr>
        <w:t xml:space="preserve">Mean (18.23) and std (18.60) on </w:t>
      </w:r>
      <w:r w:rsidR="00B10B2A" w:rsidRPr="00EA4FC3">
        <w:rPr>
          <w:rFonts w:ascii="Times New Roman" w:hAnsi="Times New Roman" w:cs="Times New Roman"/>
        </w:rPr>
        <w:t>Special%</w:t>
      </w:r>
      <w:r w:rsidRPr="00EA4FC3">
        <w:rPr>
          <w:rFonts w:ascii="Times New Roman" w:hAnsi="Times New Roman" w:cs="Times New Roman"/>
        </w:rPr>
        <w:t xml:space="preserve"> share </w:t>
      </w:r>
      <w:r w:rsidR="00B10B2A" w:rsidRPr="00EA4FC3">
        <w:rPr>
          <w:rFonts w:ascii="Times New Roman" w:hAnsi="Times New Roman" w:cs="Times New Roman"/>
        </w:rPr>
        <w:t>(discounting</w:t>
      </w:r>
      <w:r w:rsidRPr="00EA4FC3">
        <w:rPr>
          <w:rFonts w:ascii="Times New Roman" w:hAnsi="Times New Roman" w:cs="Times New Roman"/>
        </w:rPr>
        <w:t xml:space="preserve"> intensity) </w:t>
      </w:r>
      <w:r w:rsidR="00D05280" w:rsidRPr="00EA4FC3">
        <w:rPr>
          <w:rFonts w:ascii="Times New Roman" w:hAnsi="Times New Roman" w:cs="Times New Roman"/>
        </w:rPr>
        <w:t>suggests</w:t>
      </w:r>
      <w:r w:rsidRPr="00EA4FC3">
        <w:rPr>
          <w:rFonts w:ascii="Times New Roman" w:hAnsi="Times New Roman" w:cs="Times New Roman"/>
        </w:rPr>
        <w:t xml:space="preserve"> inconsistent pricing and inventory </w:t>
      </w:r>
      <w:r w:rsidR="00B10B2A" w:rsidRPr="00EA4FC3">
        <w:rPr>
          <w:rFonts w:ascii="Times New Roman" w:hAnsi="Times New Roman" w:cs="Times New Roman"/>
        </w:rPr>
        <w:t>strategies,</w:t>
      </w:r>
      <w:r w:rsidRPr="00EA4FC3">
        <w:rPr>
          <w:rFonts w:ascii="Times New Roman" w:hAnsi="Times New Roman" w:cs="Times New Roman"/>
        </w:rPr>
        <w:t xml:space="preserve"> </w:t>
      </w:r>
      <w:r w:rsidR="00B10B2A" w:rsidRPr="00EA4FC3">
        <w:rPr>
          <w:rFonts w:ascii="Times New Roman" w:hAnsi="Times New Roman" w:cs="Times New Roman"/>
        </w:rPr>
        <w:t>which might be key inputs for circular economy planning.</w:t>
      </w:r>
    </w:p>
    <w:p w14:paraId="6D2E60B5" w14:textId="66FB0B7D" w:rsidR="00B10B2A" w:rsidRPr="00EA4FC3" w:rsidRDefault="00600B71" w:rsidP="00B10B2A">
      <w:pPr>
        <w:jc w:val="both"/>
        <w:rPr>
          <w:rFonts w:ascii="Times New Roman" w:hAnsi="Times New Roman" w:cs="Times New Roman"/>
          <w:u w:val="single"/>
        </w:rPr>
      </w:pPr>
      <w:r w:rsidRPr="00EA4FC3">
        <w:rPr>
          <w:rFonts w:ascii="Times New Roman" w:hAnsi="Times New Roman" w:cs="Times New Roman"/>
          <w:u w:val="single"/>
        </w:rPr>
        <w:t>Correlation analysis:</w:t>
      </w:r>
    </w:p>
    <w:p w14:paraId="71188189" w14:textId="623879DE" w:rsidR="00B10B2A" w:rsidRPr="00EA4FC3" w:rsidRDefault="00B10B2A" w:rsidP="00B10B2A">
      <w:pPr>
        <w:jc w:val="both"/>
        <w:rPr>
          <w:rFonts w:ascii="Times New Roman" w:hAnsi="Times New Roman" w:cs="Times New Roman"/>
        </w:rPr>
      </w:pPr>
      <w:r w:rsidRPr="00EA4FC3">
        <w:rPr>
          <w:rFonts w:ascii="Times New Roman" w:hAnsi="Times New Roman" w:cs="Times New Roman"/>
        </w:rPr>
        <w:t>Descriptive analysis shows individual trends, but to understand how variables like discounts, sales, and profit margins interact, we used correlation analysis. This reveals deeper patterns that help target circular economic actions.</w:t>
      </w:r>
    </w:p>
    <w:p w14:paraId="101B9648" w14:textId="0F63963E" w:rsidR="00B10B2A" w:rsidRPr="00EA4FC3" w:rsidRDefault="00600B71" w:rsidP="00B10B2A">
      <w:pPr>
        <w:jc w:val="both"/>
        <w:rPr>
          <w:rFonts w:ascii="Times New Roman" w:hAnsi="Times New Roman" w:cs="Times New Roman"/>
        </w:rPr>
      </w:pPr>
      <w:r w:rsidRPr="00EA4FC3">
        <w:rPr>
          <w:rFonts w:ascii="Times New Roman" w:hAnsi="Times New Roman" w:cs="Times New Roman"/>
          <w:noProof/>
        </w:rPr>
        <w:lastRenderedPageBreak/>
        <w:drawing>
          <wp:inline distT="0" distB="0" distL="0" distR="0" wp14:anchorId="5C849A02" wp14:editId="29D5C477">
            <wp:extent cx="5943600" cy="4430684"/>
            <wp:effectExtent l="0" t="0" r="0" b="8255"/>
            <wp:docPr id="356456861" name="Picture 1" descr="A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6861" name="Picture 1" descr="A colorful squares with whit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030" cy="4431750"/>
                    </a:xfrm>
                    <a:prstGeom prst="rect">
                      <a:avLst/>
                    </a:prstGeom>
                    <a:noFill/>
                    <a:ln>
                      <a:noFill/>
                    </a:ln>
                  </pic:spPr>
                </pic:pic>
              </a:graphicData>
            </a:graphic>
          </wp:inline>
        </w:drawing>
      </w:r>
    </w:p>
    <w:p w14:paraId="54D32018" w14:textId="1504800A" w:rsidR="00CC04D7" w:rsidRPr="00EA4FC3" w:rsidRDefault="00CC04D7" w:rsidP="00F85230">
      <w:pPr>
        <w:jc w:val="center"/>
        <w:rPr>
          <w:rFonts w:ascii="Times New Roman" w:hAnsi="Times New Roman" w:cs="Times New Roman"/>
        </w:rPr>
      </w:pPr>
      <w:r w:rsidRPr="00EA4FC3">
        <w:rPr>
          <w:rFonts w:ascii="Times New Roman" w:hAnsi="Times New Roman" w:cs="Times New Roman"/>
        </w:rPr>
        <w:t xml:space="preserve">Table </w:t>
      </w:r>
      <w:r w:rsidR="00F85230" w:rsidRPr="00EA4FC3">
        <w:rPr>
          <w:rFonts w:ascii="Times New Roman" w:hAnsi="Times New Roman" w:cs="Times New Roman"/>
        </w:rPr>
        <w:t>:3 correlation heatmap across different variables.</w:t>
      </w:r>
    </w:p>
    <w:p w14:paraId="5B8B7411" w14:textId="0816547A" w:rsidR="00B10B2A" w:rsidRPr="00EA4FC3" w:rsidRDefault="00600B71" w:rsidP="00B10B2A">
      <w:pPr>
        <w:jc w:val="both"/>
        <w:rPr>
          <w:rFonts w:ascii="Times New Roman" w:hAnsi="Times New Roman" w:cs="Times New Roman"/>
        </w:rPr>
      </w:pPr>
      <w:r w:rsidRPr="00EA4FC3">
        <w:rPr>
          <w:rFonts w:ascii="Times New Roman" w:hAnsi="Times New Roman" w:cs="Times New Roman"/>
        </w:rPr>
        <w:t xml:space="preserve">Here we interpreted the analysis between the following key metrics, which support the use of circular economic strategies. </w:t>
      </w:r>
    </w:p>
    <w:tbl>
      <w:tblPr>
        <w:tblStyle w:val="TableGrid"/>
        <w:tblW w:w="9535" w:type="dxa"/>
        <w:tblLook w:val="04A0" w:firstRow="1" w:lastRow="0" w:firstColumn="1" w:lastColumn="0" w:noHBand="0" w:noVBand="1"/>
      </w:tblPr>
      <w:tblGrid>
        <w:gridCol w:w="3116"/>
        <w:gridCol w:w="1469"/>
        <w:gridCol w:w="4950"/>
      </w:tblGrid>
      <w:tr w:rsidR="00600B71" w:rsidRPr="00EA4FC3" w14:paraId="031C0A63" w14:textId="77777777" w:rsidTr="00802DA6">
        <w:tc>
          <w:tcPr>
            <w:tcW w:w="3116" w:type="dxa"/>
          </w:tcPr>
          <w:p w14:paraId="10E2BB24" w14:textId="31363683" w:rsidR="00600B71" w:rsidRPr="00EA4FC3" w:rsidRDefault="00600B71" w:rsidP="00B10B2A">
            <w:pPr>
              <w:jc w:val="both"/>
              <w:rPr>
                <w:rFonts w:ascii="Times New Roman" w:hAnsi="Times New Roman" w:cs="Times New Roman"/>
              </w:rPr>
            </w:pPr>
            <w:r w:rsidRPr="00EA4FC3">
              <w:rPr>
                <w:rFonts w:ascii="Times New Roman" w:hAnsi="Times New Roman" w:cs="Times New Roman"/>
              </w:rPr>
              <w:t>Relationship</w:t>
            </w:r>
          </w:p>
        </w:tc>
        <w:tc>
          <w:tcPr>
            <w:tcW w:w="1469" w:type="dxa"/>
          </w:tcPr>
          <w:p w14:paraId="6532083A" w14:textId="67A9C171" w:rsidR="00600B71" w:rsidRPr="00EA4FC3" w:rsidRDefault="00600B71" w:rsidP="00B10B2A">
            <w:pPr>
              <w:jc w:val="both"/>
              <w:rPr>
                <w:rFonts w:ascii="Times New Roman" w:hAnsi="Times New Roman" w:cs="Times New Roman"/>
              </w:rPr>
            </w:pPr>
            <w:r w:rsidRPr="00EA4FC3">
              <w:rPr>
                <w:rFonts w:ascii="Times New Roman" w:hAnsi="Times New Roman" w:cs="Times New Roman"/>
              </w:rPr>
              <w:t>Correlation</w:t>
            </w:r>
          </w:p>
        </w:tc>
        <w:tc>
          <w:tcPr>
            <w:tcW w:w="4950" w:type="dxa"/>
          </w:tcPr>
          <w:p w14:paraId="4B728318" w14:textId="2B23DDAA" w:rsidR="00600B71" w:rsidRPr="00EA4FC3" w:rsidRDefault="00600B71" w:rsidP="00B10B2A">
            <w:pPr>
              <w:jc w:val="both"/>
              <w:rPr>
                <w:rFonts w:ascii="Times New Roman" w:hAnsi="Times New Roman" w:cs="Times New Roman"/>
              </w:rPr>
            </w:pPr>
            <w:r w:rsidRPr="00EA4FC3">
              <w:rPr>
                <w:rFonts w:ascii="Times New Roman" w:hAnsi="Times New Roman" w:cs="Times New Roman"/>
              </w:rPr>
              <w:t>Interpretation</w:t>
            </w:r>
          </w:p>
        </w:tc>
      </w:tr>
      <w:tr w:rsidR="00600B71" w:rsidRPr="00EA4FC3" w14:paraId="1FCC5ECD" w14:textId="77777777" w:rsidTr="00802DA6">
        <w:tc>
          <w:tcPr>
            <w:tcW w:w="3116" w:type="dxa"/>
          </w:tcPr>
          <w:p w14:paraId="65C72332" w14:textId="7A754E0B" w:rsidR="00600B71" w:rsidRPr="00EA4FC3" w:rsidRDefault="00600B71" w:rsidP="00B10B2A">
            <w:pPr>
              <w:jc w:val="both"/>
              <w:rPr>
                <w:rFonts w:ascii="Times New Roman" w:hAnsi="Times New Roman" w:cs="Times New Roman"/>
              </w:rPr>
            </w:pPr>
            <w:r w:rsidRPr="00EA4FC3">
              <w:rPr>
                <w:rFonts w:ascii="Times New Roman" w:hAnsi="Times New Roman" w:cs="Times New Roman"/>
              </w:rPr>
              <w:t>Amount inc vs Profit ex</w:t>
            </w:r>
          </w:p>
        </w:tc>
        <w:tc>
          <w:tcPr>
            <w:tcW w:w="1469" w:type="dxa"/>
          </w:tcPr>
          <w:p w14:paraId="239E2DF4" w14:textId="010BA25C" w:rsidR="00600B71" w:rsidRPr="00EA4FC3" w:rsidRDefault="00600B71" w:rsidP="00B10B2A">
            <w:pPr>
              <w:jc w:val="both"/>
              <w:rPr>
                <w:rFonts w:ascii="Times New Roman" w:hAnsi="Times New Roman" w:cs="Times New Roman"/>
              </w:rPr>
            </w:pPr>
            <w:r w:rsidRPr="00EA4FC3">
              <w:rPr>
                <w:rFonts w:ascii="Times New Roman" w:hAnsi="Times New Roman" w:cs="Times New Roman"/>
              </w:rPr>
              <w:t>0.90</w:t>
            </w:r>
          </w:p>
        </w:tc>
        <w:tc>
          <w:tcPr>
            <w:tcW w:w="4950" w:type="dxa"/>
          </w:tcPr>
          <w:p w14:paraId="0655ACA1" w14:textId="342E46F5" w:rsidR="00600B71" w:rsidRPr="00EA4FC3" w:rsidRDefault="00802DA6" w:rsidP="00802DA6">
            <w:pPr>
              <w:rPr>
                <w:rFonts w:ascii="Times New Roman" w:hAnsi="Times New Roman" w:cs="Times New Roman"/>
              </w:rPr>
            </w:pPr>
            <w:r w:rsidRPr="00EA4FC3">
              <w:rPr>
                <w:rFonts w:ascii="Times New Roman" w:hAnsi="Times New Roman" w:cs="Times New Roman"/>
              </w:rPr>
              <w:t>Strong positive correlation: departments with higher sales tend to earn more profit.</w:t>
            </w:r>
          </w:p>
        </w:tc>
      </w:tr>
      <w:tr w:rsidR="00600B71" w:rsidRPr="00EA4FC3" w14:paraId="0D176B5C" w14:textId="77777777" w:rsidTr="00802DA6">
        <w:tc>
          <w:tcPr>
            <w:tcW w:w="3116" w:type="dxa"/>
          </w:tcPr>
          <w:p w14:paraId="7E5DAECB" w14:textId="1D287B1E" w:rsidR="00600B71" w:rsidRPr="00EA4FC3" w:rsidRDefault="00600B71" w:rsidP="00B10B2A">
            <w:pPr>
              <w:jc w:val="both"/>
              <w:rPr>
                <w:rFonts w:ascii="Times New Roman" w:hAnsi="Times New Roman" w:cs="Times New Roman"/>
              </w:rPr>
            </w:pPr>
            <w:r w:rsidRPr="00EA4FC3">
              <w:rPr>
                <w:rFonts w:ascii="Times New Roman" w:hAnsi="Times New Roman" w:cs="Times New Roman"/>
              </w:rPr>
              <w:t>Specials % share vs Amount inc</w:t>
            </w:r>
          </w:p>
        </w:tc>
        <w:tc>
          <w:tcPr>
            <w:tcW w:w="1469" w:type="dxa"/>
          </w:tcPr>
          <w:p w14:paraId="6B079728" w14:textId="3DA77DB3" w:rsidR="00600B71" w:rsidRPr="00EA4FC3" w:rsidRDefault="00600B71" w:rsidP="00B10B2A">
            <w:pPr>
              <w:jc w:val="both"/>
              <w:rPr>
                <w:rFonts w:ascii="Times New Roman" w:hAnsi="Times New Roman" w:cs="Times New Roman"/>
              </w:rPr>
            </w:pPr>
            <w:r w:rsidRPr="00EA4FC3">
              <w:rPr>
                <w:rFonts w:ascii="Times New Roman" w:hAnsi="Times New Roman" w:cs="Times New Roman"/>
              </w:rPr>
              <w:t>0.33</w:t>
            </w:r>
          </w:p>
        </w:tc>
        <w:tc>
          <w:tcPr>
            <w:tcW w:w="4950" w:type="dxa"/>
          </w:tcPr>
          <w:p w14:paraId="1D3ECBA6" w14:textId="5D6ADE56" w:rsidR="00600B71" w:rsidRPr="00EA4FC3" w:rsidRDefault="00802DA6" w:rsidP="00802DA6">
            <w:pPr>
              <w:rPr>
                <w:rFonts w:ascii="Times New Roman" w:hAnsi="Times New Roman" w:cs="Times New Roman"/>
              </w:rPr>
            </w:pPr>
            <w:r w:rsidRPr="00EA4FC3">
              <w:rPr>
                <w:rFonts w:ascii="Times New Roman" w:hAnsi="Times New Roman" w:cs="Times New Roman"/>
              </w:rPr>
              <w:t>Moderate correlation: heavy discounting occurs more in high-sales departments. This could indicate overstock or poor demand planning.</w:t>
            </w:r>
          </w:p>
        </w:tc>
      </w:tr>
      <w:tr w:rsidR="00600B71" w:rsidRPr="00EA4FC3" w14:paraId="2DC14D03" w14:textId="77777777" w:rsidTr="00802DA6">
        <w:tc>
          <w:tcPr>
            <w:tcW w:w="3116" w:type="dxa"/>
          </w:tcPr>
          <w:p w14:paraId="567E69E8" w14:textId="57D29DE0" w:rsidR="00600B71" w:rsidRPr="00EA4FC3" w:rsidRDefault="00600B71" w:rsidP="00B10B2A">
            <w:pPr>
              <w:jc w:val="both"/>
              <w:rPr>
                <w:rFonts w:ascii="Times New Roman" w:hAnsi="Times New Roman" w:cs="Times New Roman"/>
              </w:rPr>
            </w:pPr>
            <w:r w:rsidRPr="00EA4FC3">
              <w:rPr>
                <w:rFonts w:ascii="Times New Roman" w:hAnsi="Times New Roman" w:cs="Times New Roman"/>
              </w:rPr>
              <w:t>Specials % share vs Profit ex</w:t>
            </w:r>
          </w:p>
        </w:tc>
        <w:tc>
          <w:tcPr>
            <w:tcW w:w="1469" w:type="dxa"/>
          </w:tcPr>
          <w:p w14:paraId="4AB1E00B" w14:textId="3B32054C" w:rsidR="00600B71" w:rsidRPr="00EA4FC3" w:rsidRDefault="00802DA6" w:rsidP="00B10B2A">
            <w:pPr>
              <w:jc w:val="both"/>
              <w:rPr>
                <w:rFonts w:ascii="Times New Roman" w:hAnsi="Times New Roman" w:cs="Times New Roman"/>
              </w:rPr>
            </w:pPr>
            <w:r w:rsidRPr="00EA4FC3">
              <w:rPr>
                <w:rFonts w:ascii="Times New Roman" w:hAnsi="Times New Roman" w:cs="Times New Roman"/>
              </w:rPr>
              <w:t>0.3</w:t>
            </w:r>
          </w:p>
        </w:tc>
        <w:tc>
          <w:tcPr>
            <w:tcW w:w="4950" w:type="dxa"/>
          </w:tcPr>
          <w:p w14:paraId="24ECDC04" w14:textId="4FE2E69C" w:rsidR="00600B71" w:rsidRPr="00EA4FC3" w:rsidRDefault="00802DA6" w:rsidP="00802DA6">
            <w:pPr>
              <w:rPr>
                <w:rFonts w:ascii="Times New Roman" w:hAnsi="Times New Roman" w:cs="Times New Roman"/>
              </w:rPr>
            </w:pPr>
            <w:r w:rsidRPr="00EA4FC3">
              <w:rPr>
                <w:rFonts w:ascii="Times New Roman" w:hAnsi="Times New Roman" w:cs="Times New Roman"/>
              </w:rPr>
              <w:t xml:space="preserve">Mild positive correlation: </w:t>
            </w:r>
            <w:r w:rsidR="00D05280">
              <w:rPr>
                <w:rFonts w:ascii="Times New Roman" w:hAnsi="Times New Roman" w:cs="Times New Roman"/>
              </w:rPr>
              <w:t>Some</w:t>
            </w:r>
            <w:r w:rsidRPr="00EA4FC3">
              <w:rPr>
                <w:rFonts w:ascii="Times New Roman" w:hAnsi="Times New Roman" w:cs="Times New Roman"/>
              </w:rPr>
              <w:t xml:space="preserve"> discounted items still yield profit, but it may suggest volume over margin.</w:t>
            </w:r>
          </w:p>
        </w:tc>
      </w:tr>
      <w:tr w:rsidR="00600B71" w:rsidRPr="00EA4FC3" w14:paraId="0E1FE1D8" w14:textId="77777777" w:rsidTr="00802DA6">
        <w:tc>
          <w:tcPr>
            <w:tcW w:w="3116" w:type="dxa"/>
          </w:tcPr>
          <w:p w14:paraId="6BB43179" w14:textId="6E94BAB1" w:rsidR="00600B71" w:rsidRPr="00EA4FC3" w:rsidRDefault="00600B71" w:rsidP="00B10B2A">
            <w:pPr>
              <w:jc w:val="both"/>
              <w:rPr>
                <w:rFonts w:ascii="Times New Roman" w:hAnsi="Times New Roman" w:cs="Times New Roman"/>
              </w:rPr>
            </w:pPr>
            <w:r w:rsidRPr="00EA4FC3">
              <w:rPr>
                <w:rFonts w:ascii="Times New Roman" w:hAnsi="Times New Roman" w:cs="Times New Roman"/>
              </w:rPr>
              <w:t>Specials % share vs GP%</w:t>
            </w:r>
          </w:p>
        </w:tc>
        <w:tc>
          <w:tcPr>
            <w:tcW w:w="1469" w:type="dxa"/>
          </w:tcPr>
          <w:p w14:paraId="7ADAD06F" w14:textId="505782D7" w:rsidR="00600B71" w:rsidRPr="00EA4FC3" w:rsidRDefault="00802DA6" w:rsidP="00B10B2A">
            <w:pPr>
              <w:jc w:val="both"/>
              <w:rPr>
                <w:rFonts w:ascii="Times New Roman" w:hAnsi="Times New Roman" w:cs="Times New Roman"/>
              </w:rPr>
            </w:pPr>
            <w:r w:rsidRPr="00EA4FC3">
              <w:rPr>
                <w:rFonts w:ascii="Times New Roman" w:hAnsi="Times New Roman" w:cs="Times New Roman"/>
              </w:rPr>
              <w:t>0.2</w:t>
            </w:r>
          </w:p>
        </w:tc>
        <w:tc>
          <w:tcPr>
            <w:tcW w:w="4950" w:type="dxa"/>
          </w:tcPr>
          <w:p w14:paraId="377B3EAA" w14:textId="0E57481E" w:rsidR="00600B71" w:rsidRPr="00EA4FC3" w:rsidRDefault="00802DA6" w:rsidP="00802DA6">
            <w:pPr>
              <w:rPr>
                <w:rFonts w:ascii="Times New Roman" w:hAnsi="Times New Roman" w:cs="Times New Roman"/>
              </w:rPr>
            </w:pPr>
            <w:r w:rsidRPr="00EA4FC3">
              <w:rPr>
                <w:rFonts w:ascii="Times New Roman" w:hAnsi="Times New Roman" w:cs="Times New Roman"/>
              </w:rPr>
              <w:t>Very weak correlation: frequent discounting does not significantly improve profit margin percentage.</w:t>
            </w:r>
          </w:p>
        </w:tc>
      </w:tr>
    </w:tbl>
    <w:p w14:paraId="0E26BEB6" w14:textId="77777777" w:rsidR="00600B71" w:rsidRPr="00EA4FC3" w:rsidRDefault="00600B71" w:rsidP="00B10B2A">
      <w:pPr>
        <w:jc w:val="both"/>
        <w:rPr>
          <w:rFonts w:ascii="Times New Roman" w:hAnsi="Times New Roman" w:cs="Times New Roman"/>
        </w:rPr>
      </w:pPr>
    </w:p>
    <w:p w14:paraId="1C445219" w14:textId="1C1BB273" w:rsidR="00B10B2A" w:rsidRPr="00EA4FC3" w:rsidRDefault="00802DA6" w:rsidP="00B10B2A">
      <w:pPr>
        <w:jc w:val="both"/>
        <w:rPr>
          <w:rFonts w:ascii="Times New Roman" w:hAnsi="Times New Roman" w:cs="Times New Roman"/>
        </w:rPr>
      </w:pPr>
      <w:r w:rsidRPr="00EA4FC3">
        <w:rPr>
          <w:rFonts w:ascii="Times New Roman" w:hAnsi="Times New Roman" w:cs="Times New Roman"/>
        </w:rPr>
        <w:t xml:space="preserve">Here we find </w:t>
      </w:r>
      <w:r w:rsidR="000F09B6" w:rsidRPr="00EA4FC3">
        <w:rPr>
          <w:rFonts w:ascii="Times New Roman" w:hAnsi="Times New Roman" w:cs="Times New Roman"/>
        </w:rPr>
        <w:t>that high-sales</w:t>
      </w:r>
      <w:r w:rsidRPr="00EA4FC3">
        <w:rPr>
          <w:rFonts w:ascii="Times New Roman" w:hAnsi="Times New Roman" w:cs="Times New Roman"/>
        </w:rPr>
        <w:t xml:space="preserve"> products are strongly tied </w:t>
      </w:r>
      <w:r w:rsidR="000F09B6" w:rsidRPr="00EA4FC3">
        <w:rPr>
          <w:rFonts w:ascii="Times New Roman" w:hAnsi="Times New Roman" w:cs="Times New Roman"/>
        </w:rPr>
        <w:t>to</w:t>
      </w:r>
      <w:r w:rsidRPr="00EA4FC3">
        <w:rPr>
          <w:rFonts w:ascii="Times New Roman" w:hAnsi="Times New Roman" w:cs="Times New Roman"/>
        </w:rPr>
        <w:t xml:space="preserve"> profit. While heavy discounting doesn’t support strong margin efficiency</w:t>
      </w:r>
      <w:r w:rsidR="000F09B6" w:rsidRPr="00EA4FC3">
        <w:rPr>
          <w:rFonts w:ascii="Times New Roman" w:hAnsi="Times New Roman" w:cs="Times New Roman"/>
        </w:rPr>
        <w:t>,</w:t>
      </w:r>
      <w:r w:rsidRPr="00EA4FC3">
        <w:rPr>
          <w:rFonts w:ascii="Times New Roman" w:hAnsi="Times New Roman" w:cs="Times New Roman"/>
        </w:rPr>
        <w:t xml:space="preserve"> suggesting departments with high specials%</w:t>
      </w:r>
      <w:r w:rsidR="000F09B6" w:rsidRPr="00EA4FC3">
        <w:rPr>
          <w:rFonts w:ascii="Times New Roman" w:hAnsi="Times New Roman" w:cs="Times New Roman"/>
        </w:rPr>
        <w:t>,</w:t>
      </w:r>
      <w:r w:rsidRPr="00EA4FC3">
        <w:rPr>
          <w:rFonts w:ascii="Times New Roman" w:hAnsi="Times New Roman" w:cs="Times New Roman"/>
        </w:rPr>
        <w:t xml:space="preserve"> like </w:t>
      </w:r>
      <w:r w:rsidR="000F09B6" w:rsidRPr="00EA4FC3">
        <w:rPr>
          <w:rFonts w:ascii="Times New Roman" w:hAnsi="Times New Roman" w:cs="Times New Roman"/>
        </w:rPr>
        <w:t>confectionery</w:t>
      </w:r>
      <w:r w:rsidRPr="00EA4FC3">
        <w:rPr>
          <w:rFonts w:ascii="Times New Roman" w:hAnsi="Times New Roman" w:cs="Times New Roman"/>
        </w:rPr>
        <w:t xml:space="preserve"> </w:t>
      </w:r>
      <w:r w:rsidRPr="00EA4FC3">
        <w:rPr>
          <w:rFonts w:ascii="Times New Roman" w:hAnsi="Times New Roman" w:cs="Times New Roman"/>
        </w:rPr>
        <w:lastRenderedPageBreak/>
        <w:t>and nut chips</w:t>
      </w:r>
      <w:r w:rsidR="000F09B6" w:rsidRPr="00EA4FC3">
        <w:rPr>
          <w:rFonts w:ascii="Times New Roman" w:hAnsi="Times New Roman" w:cs="Times New Roman"/>
        </w:rPr>
        <w:t>,</w:t>
      </w:r>
      <w:r w:rsidRPr="00EA4FC3">
        <w:rPr>
          <w:rFonts w:ascii="Times New Roman" w:hAnsi="Times New Roman" w:cs="Times New Roman"/>
        </w:rPr>
        <w:t xml:space="preserve"> might be risking profitability or increasing waste. So</w:t>
      </w:r>
      <w:r w:rsidR="000F09B6" w:rsidRPr="00EA4FC3">
        <w:rPr>
          <w:rFonts w:ascii="Times New Roman" w:hAnsi="Times New Roman" w:cs="Times New Roman"/>
        </w:rPr>
        <w:t>,</w:t>
      </w:r>
      <w:r w:rsidRPr="00EA4FC3">
        <w:rPr>
          <w:rFonts w:ascii="Times New Roman" w:hAnsi="Times New Roman" w:cs="Times New Roman"/>
        </w:rPr>
        <w:t xml:space="preserve"> better </w:t>
      </w:r>
      <w:r w:rsidR="000F09B6" w:rsidRPr="00EA4FC3">
        <w:rPr>
          <w:rFonts w:ascii="Times New Roman" w:hAnsi="Times New Roman" w:cs="Times New Roman"/>
        </w:rPr>
        <w:t>forecasting</w:t>
      </w:r>
      <w:r w:rsidRPr="00EA4FC3">
        <w:rPr>
          <w:rFonts w:ascii="Times New Roman" w:hAnsi="Times New Roman" w:cs="Times New Roman"/>
        </w:rPr>
        <w:t xml:space="preserve"> or markdowns alerts, </w:t>
      </w:r>
      <w:r w:rsidR="000F09B6" w:rsidRPr="00EA4FC3">
        <w:rPr>
          <w:rFonts w:ascii="Times New Roman" w:hAnsi="Times New Roman" w:cs="Times New Roman"/>
        </w:rPr>
        <w:t xml:space="preserve">and </w:t>
      </w:r>
      <w:r w:rsidRPr="00EA4FC3">
        <w:rPr>
          <w:rFonts w:ascii="Times New Roman" w:hAnsi="Times New Roman" w:cs="Times New Roman"/>
        </w:rPr>
        <w:t xml:space="preserve">donation </w:t>
      </w:r>
      <w:r w:rsidR="000F09B6" w:rsidRPr="00EA4FC3">
        <w:rPr>
          <w:rFonts w:ascii="Times New Roman" w:hAnsi="Times New Roman" w:cs="Times New Roman"/>
        </w:rPr>
        <w:t>strategies</w:t>
      </w:r>
      <w:r w:rsidRPr="00EA4FC3">
        <w:rPr>
          <w:rFonts w:ascii="Times New Roman" w:hAnsi="Times New Roman" w:cs="Times New Roman"/>
        </w:rPr>
        <w:t xml:space="preserve"> need to be </w:t>
      </w:r>
      <w:r w:rsidR="000F09B6" w:rsidRPr="00EA4FC3">
        <w:rPr>
          <w:rFonts w:ascii="Times New Roman" w:hAnsi="Times New Roman" w:cs="Times New Roman"/>
        </w:rPr>
        <w:t>prioritized</w:t>
      </w:r>
      <w:r w:rsidRPr="00EA4FC3">
        <w:rPr>
          <w:rFonts w:ascii="Times New Roman" w:hAnsi="Times New Roman" w:cs="Times New Roman"/>
        </w:rPr>
        <w:t xml:space="preserve"> in </w:t>
      </w:r>
      <w:r w:rsidR="000F09B6" w:rsidRPr="00EA4FC3">
        <w:rPr>
          <w:rFonts w:ascii="Times New Roman" w:hAnsi="Times New Roman" w:cs="Times New Roman"/>
        </w:rPr>
        <w:t>high-discount</w:t>
      </w:r>
      <w:r w:rsidRPr="00EA4FC3">
        <w:rPr>
          <w:rFonts w:ascii="Times New Roman" w:hAnsi="Times New Roman" w:cs="Times New Roman"/>
        </w:rPr>
        <w:t>, low GP% departments.</w:t>
      </w:r>
    </w:p>
    <w:p w14:paraId="3E2F676A" w14:textId="5B25DEB2" w:rsidR="00201585" w:rsidRPr="00EA4FC3" w:rsidRDefault="00201585" w:rsidP="00B10B2A">
      <w:pPr>
        <w:jc w:val="both"/>
        <w:rPr>
          <w:rFonts w:ascii="Times New Roman" w:hAnsi="Times New Roman" w:cs="Times New Roman"/>
          <w:u w:val="single"/>
        </w:rPr>
      </w:pPr>
      <w:r w:rsidRPr="00EA4FC3">
        <w:rPr>
          <w:rFonts w:ascii="Times New Roman" w:hAnsi="Times New Roman" w:cs="Times New Roman"/>
          <w:b/>
          <w:bCs/>
          <w:u w:val="single"/>
        </w:rPr>
        <w:t>Perishable vs Non-perishable categories</w:t>
      </w:r>
    </w:p>
    <w:p w14:paraId="3ABC7E24" w14:textId="77777777" w:rsidR="00201585" w:rsidRPr="00EA4FC3" w:rsidRDefault="00201585" w:rsidP="00201585">
      <w:pPr>
        <w:rPr>
          <w:rFonts w:ascii="Times New Roman" w:hAnsi="Times New Roman" w:cs="Times New Roman"/>
        </w:rPr>
      </w:pPr>
      <w:r w:rsidRPr="00EA4FC3">
        <w:rPr>
          <w:rFonts w:ascii="Times New Roman" w:hAnsi="Times New Roman" w:cs="Times New Roman"/>
        </w:rPr>
        <w:t>Hypothesis Testing: GP% in Perishable vs Non-Perishable Departments</w:t>
      </w:r>
    </w:p>
    <w:p w14:paraId="6C3FF1BC" w14:textId="77777777" w:rsidR="00201585" w:rsidRPr="00EA4FC3" w:rsidRDefault="00201585" w:rsidP="00201585">
      <w:pPr>
        <w:rPr>
          <w:rFonts w:ascii="Times New Roman" w:hAnsi="Times New Roman" w:cs="Times New Roman"/>
        </w:rPr>
      </w:pPr>
      <w:r w:rsidRPr="00EA4FC3">
        <w:rPr>
          <w:rFonts w:ascii="Times New Roman" w:hAnsi="Times New Roman" w:cs="Times New Roman"/>
        </w:rPr>
        <w:t>To assess whether gross profit margins differ significantly between perishable and non-perishable departments, we conducted an independent samples t-test using IGA departmental sales data.</w:t>
      </w:r>
    </w:p>
    <w:p w14:paraId="13A50487" w14:textId="1212A3BC" w:rsidR="00201585" w:rsidRPr="00EA4FC3" w:rsidRDefault="00201585" w:rsidP="00201585">
      <w:pPr>
        <w:rPr>
          <w:rFonts w:ascii="Times New Roman" w:hAnsi="Times New Roman" w:cs="Times New Roman"/>
          <w:u w:val="single"/>
        </w:rPr>
      </w:pPr>
      <w:r w:rsidRPr="00EA4FC3">
        <w:rPr>
          <w:rFonts w:ascii="Times New Roman" w:hAnsi="Times New Roman" w:cs="Times New Roman"/>
        </w:rPr>
        <w:t xml:space="preserve"> </w:t>
      </w:r>
      <w:r w:rsidRPr="00EA4FC3">
        <w:rPr>
          <w:rFonts w:ascii="Times New Roman" w:hAnsi="Times New Roman" w:cs="Times New Roman"/>
          <w:u w:val="single"/>
        </w:rPr>
        <w:t>Hypotheses:</w:t>
      </w:r>
    </w:p>
    <w:p w14:paraId="3CAB7819" w14:textId="76248155" w:rsidR="00201585" w:rsidRPr="00EA4FC3" w:rsidRDefault="00201585" w:rsidP="00201585">
      <w:pPr>
        <w:numPr>
          <w:ilvl w:val="0"/>
          <w:numId w:val="8"/>
        </w:numPr>
        <w:rPr>
          <w:rFonts w:ascii="Times New Roman" w:hAnsi="Times New Roman" w:cs="Times New Roman"/>
        </w:rPr>
      </w:pPr>
      <w:r w:rsidRPr="00EA4FC3">
        <w:rPr>
          <w:rFonts w:ascii="Times New Roman" w:hAnsi="Times New Roman" w:cs="Times New Roman"/>
        </w:rPr>
        <w:t>Null Hypothesis (H₀):</w:t>
      </w:r>
      <w:r w:rsidRPr="00EA4FC3">
        <w:rPr>
          <w:rFonts w:ascii="Times New Roman" w:hAnsi="Times New Roman" w:cs="Times New Roman"/>
        </w:rPr>
        <w:br/>
        <w:t>There is no significant difference in the average gross profit percentage (GP%) between perishable and non-perishable departments.</w:t>
      </w:r>
      <w:r w:rsidRPr="00EA4FC3">
        <w:rPr>
          <w:rFonts w:ascii="Times New Roman" w:hAnsi="Times New Roman" w:cs="Times New Roman"/>
        </w:rPr>
        <w:br/>
        <w:t>H</w:t>
      </w:r>
      <w:r w:rsidRPr="00EA4FC3">
        <w:rPr>
          <w:rFonts w:ascii="Times New Roman" w:hAnsi="Times New Roman" w:cs="Times New Roman"/>
          <w:vertAlign w:val="subscript"/>
        </w:rPr>
        <w:t>0</w:t>
      </w:r>
      <w:r w:rsidRPr="00EA4FC3">
        <w:rPr>
          <w:rFonts w:ascii="Times New Roman" w:hAnsi="Times New Roman" w:cs="Times New Roman"/>
        </w:rPr>
        <w:t>: μ perishable=μ non-perishable</w:t>
      </w:r>
    </w:p>
    <w:p w14:paraId="299338D0" w14:textId="3509FDA9" w:rsidR="00201585" w:rsidRPr="00EA4FC3" w:rsidRDefault="00201585" w:rsidP="004D1891">
      <w:pPr>
        <w:numPr>
          <w:ilvl w:val="0"/>
          <w:numId w:val="8"/>
        </w:numPr>
        <w:rPr>
          <w:rFonts w:ascii="Times New Roman" w:hAnsi="Times New Roman" w:cs="Times New Roman"/>
        </w:rPr>
      </w:pPr>
      <w:r w:rsidRPr="00EA4FC3">
        <w:rPr>
          <w:rFonts w:ascii="Times New Roman" w:hAnsi="Times New Roman" w:cs="Times New Roman"/>
        </w:rPr>
        <w:t>Alternative Hypothesis (H₁):</w:t>
      </w:r>
      <w:r w:rsidRPr="00EA4FC3">
        <w:rPr>
          <w:rFonts w:ascii="Times New Roman" w:hAnsi="Times New Roman" w:cs="Times New Roman"/>
        </w:rPr>
        <w:br/>
        <w:t>There is a significant difference in the average GP% between the two department groups.</w:t>
      </w:r>
      <w:r w:rsidRPr="00EA4FC3">
        <w:rPr>
          <w:rFonts w:ascii="Times New Roman" w:hAnsi="Times New Roman" w:cs="Times New Roman"/>
        </w:rPr>
        <w:br/>
        <w:t>H</w:t>
      </w:r>
      <w:r w:rsidRPr="00EA4FC3">
        <w:rPr>
          <w:rFonts w:ascii="Times New Roman" w:hAnsi="Times New Roman" w:cs="Times New Roman"/>
          <w:vertAlign w:val="subscript"/>
        </w:rPr>
        <w:t>1</w:t>
      </w:r>
      <w:r w:rsidRPr="00EA4FC3">
        <w:rPr>
          <w:rFonts w:ascii="Times New Roman" w:hAnsi="Times New Roman" w:cs="Times New Roman"/>
        </w:rPr>
        <w:t>: μ perishable ≠ μ non-perishable</w:t>
      </w:r>
    </w:p>
    <w:p w14:paraId="0FF74A99" w14:textId="2F3A4C5E" w:rsidR="00201585" w:rsidRPr="00EA4FC3" w:rsidRDefault="00201585" w:rsidP="00201585">
      <w:pPr>
        <w:rPr>
          <w:rFonts w:ascii="Times New Roman" w:hAnsi="Times New Roman" w:cs="Times New Roman"/>
        </w:rPr>
      </w:pPr>
      <w:r w:rsidRPr="00EA4FC3">
        <w:rPr>
          <w:rFonts w:ascii="Times New Roman" w:hAnsi="Times New Roman" w:cs="Times New Roman"/>
        </w:rPr>
        <w:t xml:space="preserve"> Test Results:</w:t>
      </w:r>
    </w:p>
    <w:p w14:paraId="1CF58A8E" w14:textId="7AA61736" w:rsidR="00201585" w:rsidRPr="00EA4FC3" w:rsidRDefault="00201585" w:rsidP="00201585">
      <w:pPr>
        <w:numPr>
          <w:ilvl w:val="0"/>
          <w:numId w:val="9"/>
        </w:numPr>
        <w:rPr>
          <w:rFonts w:ascii="Times New Roman" w:hAnsi="Times New Roman" w:cs="Times New Roman"/>
        </w:rPr>
      </w:pPr>
      <w:r w:rsidRPr="00EA4FC3">
        <w:rPr>
          <w:rFonts w:ascii="Times New Roman" w:hAnsi="Times New Roman" w:cs="Times New Roman"/>
        </w:rPr>
        <w:t>T-</w:t>
      </w:r>
      <w:r w:rsidR="00D05280" w:rsidRPr="00EA4FC3">
        <w:rPr>
          <w:rFonts w:ascii="Times New Roman" w:hAnsi="Times New Roman" w:cs="Times New Roman"/>
        </w:rPr>
        <w:t>statistics</w:t>
      </w:r>
      <w:r w:rsidRPr="00EA4FC3">
        <w:rPr>
          <w:rFonts w:ascii="Times New Roman" w:hAnsi="Times New Roman" w:cs="Times New Roman"/>
        </w:rPr>
        <w:t>: 0.9</w:t>
      </w:r>
      <w:r w:rsidR="00153D07" w:rsidRPr="00EA4FC3">
        <w:rPr>
          <w:rFonts w:ascii="Times New Roman" w:hAnsi="Times New Roman" w:cs="Times New Roman"/>
        </w:rPr>
        <w:t>272</w:t>
      </w:r>
    </w:p>
    <w:p w14:paraId="12D11B31" w14:textId="7369A5B5" w:rsidR="00201585" w:rsidRPr="00EA4FC3" w:rsidRDefault="00201585" w:rsidP="00201585">
      <w:pPr>
        <w:numPr>
          <w:ilvl w:val="0"/>
          <w:numId w:val="9"/>
        </w:numPr>
        <w:rPr>
          <w:rFonts w:ascii="Times New Roman" w:hAnsi="Times New Roman" w:cs="Times New Roman"/>
        </w:rPr>
      </w:pPr>
      <w:r w:rsidRPr="00EA4FC3">
        <w:rPr>
          <w:rFonts w:ascii="Times New Roman" w:hAnsi="Times New Roman" w:cs="Times New Roman"/>
        </w:rPr>
        <w:t>P-value: 0.3</w:t>
      </w:r>
      <w:r w:rsidR="00153D07" w:rsidRPr="00EA4FC3">
        <w:rPr>
          <w:rFonts w:ascii="Times New Roman" w:hAnsi="Times New Roman" w:cs="Times New Roman"/>
        </w:rPr>
        <w:t>78</w:t>
      </w:r>
    </w:p>
    <w:p w14:paraId="7EC5585D" w14:textId="22A48DC0" w:rsidR="00153D07" w:rsidRPr="00EA4FC3" w:rsidRDefault="00153D07" w:rsidP="00153D07">
      <w:pPr>
        <w:ind w:left="360"/>
        <w:rPr>
          <w:rFonts w:ascii="Times New Roman" w:hAnsi="Times New Roman" w:cs="Times New Roman"/>
        </w:rPr>
      </w:pPr>
      <w:r w:rsidRPr="00EA4FC3">
        <w:rPr>
          <w:rFonts w:ascii="Times New Roman" w:hAnsi="Times New Roman" w:cs="Times New Roman"/>
          <w:noProof/>
        </w:rPr>
        <w:drawing>
          <wp:inline distT="0" distB="0" distL="0" distR="0" wp14:anchorId="1DDEB3E0" wp14:editId="5BB65C8A">
            <wp:extent cx="5943600" cy="2026508"/>
            <wp:effectExtent l="0" t="0" r="0" b="0"/>
            <wp:docPr id="121221652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6525" name="Picture 1" descr="A computer screen shot of a program&#10;&#10;AI-generated content may be incorrect."/>
                    <pic:cNvPicPr/>
                  </pic:nvPicPr>
                  <pic:blipFill>
                    <a:blip r:embed="rId9"/>
                    <a:stretch>
                      <a:fillRect/>
                    </a:stretch>
                  </pic:blipFill>
                  <pic:spPr>
                    <a:xfrm>
                      <a:off x="0" y="0"/>
                      <a:ext cx="5947821" cy="2027947"/>
                    </a:xfrm>
                    <a:prstGeom prst="rect">
                      <a:avLst/>
                    </a:prstGeom>
                  </pic:spPr>
                </pic:pic>
              </a:graphicData>
            </a:graphic>
          </wp:inline>
        </w:drawing>
      </w:r>
    </w:p>
    <w:p w14:paraId="470783A8" w14:textId="2ECCA245" w:rsidR="00BE0511" w:rsidRPr="00EA4FC3" w:rsidRDefault="00BE0511" w:rsidP="00BE0511">
      <w:pPr>
        <w:ind w:left="360"/>
        <w:jc w:val="center"/>
        <w:rPr>
          <w:rFonts w:ascii="Times New Roman" w:hAnsi="Times New Roman" w:cs="Times New Roman"/>
          <w:b/>
          <w:bCs/>
        </w:rPr>
      </w:pPr>
      <w:r w:rsidRPr="00EA4FC3">
        <w:rPr>
          <w:rFonts w:ascii="Times New Roman" w:hAnsi="Times New Roman" w:cs="Times New Roman"/>
          <w:b/>
          <w:bCs/>
        </w:rPr>
        <w:t>Table 4: T – test analysis report</w:t>
      </w:r>
    </w:p>
    <w:p w14:paraId="17D5C458" w14:textId="7EDA21B5" w:rsidR="00153D07" w:rsidRPr="00EA4FC3" w:rsidRDefault="00153D07" w:rsidP="00153D07">
      <w:pPr>
        <w:ind w:left="360"/>
        <w:rPr>
          <w:rFonts w:ascii="Times New Roman" w:hAnsi="Times New Roman" w:cs="Times New Roman"/>
        </w:rPr>
      </w:pPr>
      <w:r w:rsidRPr="00EA4FC3">
        <w:rPr>
          <w:rFonts w:ascii="Times New Roman" w:hAnsi="Times New Roman" w:cs="Times New Roman"/>
          <w:noProof/>
        </w:rPr>
        <w:lastRenderedPageBreak/>
        <w:drawing>
          <wp:inline distT="0" distB="0" distL="0" distR="0" wp14:anchorId="114C105F" wp14:editId="023A7C69">
            <wp:extent cx="5349557" cy="2553335"/>
            <wp:effectExtent l="0" t="0" r="3810" b="0"/>
            <wp:docPr id="1288919440" name="Picture 5" descr="A graph with a green and orange rectangular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9440" name="Picture 5" descr="A graph with a green and orange rectangular box&#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7202" cy="2556984"/>
                    </a:xfrm>
                    <a:prstGeom prst="rect">
                      <a:avLst/>
                    </a:prstGeom>
                    <a:noFill/>
                    <a:ln>
                      <a:noFill/>
                    </a:ln>
                  </pic:spPr>
                </pic:pic>
              </a:graphicData>
            </a:graphic>
          </wp:inline>
        </w:drawing>
      </w:r>
    </w:p>
    <w:p w14:paraId="6C3DF093" w14:textId="78706DF0" w:rsidR="0022209E" w:rsidRPr="00EA4FC3" w:rsidRDefault="0022209E" w:rsidP="0022209E">
      <w:pPr>
        <w:ind w:left="360"/>
        <w:jc w:val="center"/>
        <w:rPr>
          <w:rFonts w:ascii="Times New Roman" w:hAnsi="Times New Roman" w:cs="Times New Roman"/>
          <w:b/>
          <w:bCs/>
        </w:rPr>
      </w:pPr>
      <w:r w:rsidRPr="00EA4FC3">
        <w:rPr>
          <w:rFonts w:ascii="Times New Roman" w:hAnsi="Times New Roman" w:cs="Times New Roman"/>
          <w:b/>
          <w:bCs/>
        </w:rPr>
        <w:t>Fig :1 Box plot analysis chart</w:t>
      </w:r>
    </w:p>
    <w:p w14:paraId="7B0CE3B7" w14:textId="25813469" w:rsidR="00201585" w:rsidRPr="00EA4FC3" w:rsidRDefault="00201585" w:rsidP="00201585">
      <w:pPr>
        <w:rPr>
          <w:rFonts w:ascii="Times New Roman" w:hAnsi="Times New Roman" w:cs="Times New Roman"/>
        </w:rPr>
      </w:pPr>
      <w:r w:rsidRPr="00EA4FC3">
        <w:rPr>
          <w:rFonts w:ascii="Times New Roman" w:hAnsi="Times New Roman" w:cs="Times New Roman"/>
        </w:rPr>
        <w:t>Using a significance level of α = 0.05, the p-value (0.3</w:t>
      </w:r>
      <w:r w:rsidR="00153D07" w:rsidRPr="00EA4FC3">
        <w:rPr>
          <w:rFonts w:ascii="Times New Roman" w:hAnsi="Times New Roman" w:cs="Times New Roman"/>
        </w:rPr>
        <w:t>7</w:t>
      </w:r>
      <w:r w:rsidRPr="00EA4FC3">
        <w:rPr>
          <w:rFonts w:ascii="Times New Roman" w:hAnsi="Times New Roman" w:cs="Times New Roman"/>
        </w:rPr>
        <w:t>) is greater than 0.05. Therefore, we fail to reject the null hypothesis.</w:t>
      </w:r>
    </w:p>
    <w:p w14:paraId="446C53B0" w14:textId="5ED3F5E8" w:rsidR="00153D07" w:rsidRPr="00EA4FC3" w:rsidRDefault="00153D07" w:rsidP="00153D07">
      <w:pPr>
        <w:rPr>
          <w:rFonts w:ascii="Times New Roman" w:hAnsi="Times New Roman" w:cs="Times New Roman"/>
          <w:u w:val="single"/>
        </w:rPr>
      </w:pPr>
      <w:r w:rsidRPr="00EA4FC3">
        <w:rPr>
          <w:rFonts w:ascii="Times New Roman" w:hAnsi="Times New Roman" w:cs="Times New Roman"/>
          <w:u w:val="single"/>
        </w:rPr>
        <w:t>Conclusion:</w:t>
      </w:r>
    </w:p>
    <w:p w14:paraId="0AD366C6" w14:textId="77777777" w:rsidR="00153D07" w:rsidRPr="00EA4FC3" w:rsidRDefault="00153D07" w:rsidP="00153D07">
      <w:pPr>
        <w:rPr>
          <w:rFonts w:ascii="Times New Roman" w:hAnsi="Times New Roman" w:cs="Times New Roman"/>
        </w:rPr>
      </w:pPr>
      <w:r w:rsidRPr="00EA4FC3">
        <w:rPr>
          <w:rFonts w:ascii="Times New Roman" w:hAnsi="Times New Roman" w:cs="Times New Roman"/>
        </w:rPr>
        <w:t>There is no statistically significant difference in profitability between perishable and non-perishable departments. However, the box plot shows that perishable categories tend to have more variability and lower median GP%, indicating that while not less profitable on average, they are less consistent and therefore important to manage carefully in any circular economy strategy.</w:t>
      </w:r>
    </w:p>
    <w:p w14:paraId="01858377" w14:textId="5633D03F" w:rsidR="00153D07" w:rsidRPr="00EA4FC3" w:rsidRDefault="00153D07" w:rsidP="00153D07">
      <w:pPr>
        <w:rPr>
          <w:rFonts w:ascii="Times New Roman" w:hAnsi="Times New Roman" w:cs="Times New Roman"/>
          <w:b/>
          <w:bCs/>
          <w:u w:val="single"/>
        </w:rPr>
      </w:pPr>
      <w:r w:rsidRPr="00EA4FC3">
        <w:rPr>
          <w:rFonts w:ascii="Times New Roman" w:hAnsi="Times New Roman" w:cs="Times New Roman"/>
          <w:b/>
          <w:bCs/>
          <w:u w:val="single"/>
        </w:rPr>
        <w:t>Profit vs Specials % Share (Linking Profitability and Discounting to Food Waste)</w:t>
      </w:r>
    </w:p>
    <w:p w14:paraId="0BA4562C" w14:textId="77777777" w:rsidR="00153D07" w:rsidRPr="00EA4FC3" w:rsidRDefault="00153D07" w:rsidP="00153D07">
      <w:pPr>
        <w:rPr>
          <w:rFonts w:ascii="Times New Roman" w:hAnsi="Times New Roman" w:cs="Times New Roman"/>
        </w:rPr>
      </w:pPr>
      <w:r w:rsidRPr="00EA4FC3">
        <w:rPr>
          <w:rFonts w:ascii="Times New Roman" w:hAnsi="Times New Roman" w:cs="Times New Roman"/>
        </w:rPr>
        <w:t>To support our objective of identifying food waste reduction opportunities through circular economy strategies, we conducted a visual quadrant analysis using two key variables:</w:t>
      </w:r>
    </w:p>
    <w:p w14:paraId="3A8A7C20" w14:textId="77777777" w:rsidR="00153D07" w:rsidRPr="00EA4FC3" w:rsidRDefault="00153D07" w:rsidP="00153D07">
      <w:pPr>
        <w:numPr>
          <w:ilvl w:val="0"/>
          <w:numId w:val="10"/>
        </w:numPr>
        <w:rPr>
          <w:rFonts w:ascii="Times New Roman" w:hAnsi="Times New Roman" w:cs="Times New Roman"/>
        </w:rPr>
      </w:pPr>
      <w:r w:rsidRPr="00EA4FC3">
        <w:rPr>
          <w:rFonts w:ascii="Times New Roman" w:hAnsi="Times New Roman" w:cs="Times New Roman"/>
        </w:rPr>
        <w:t>Profit ex (actual profitability)</w:t>
      </w:r>
    </w:p>
    <w:p w14:paraId="6DC89C8E" w14:textId="77777777" w:rsidR="00153D07" w:rsidRPr="00EA4FC3" w:rsidRDefault="00153D07" w:rsidP="00153D07">
      <w:pPr>
        <w:numPr>
          <w:ilvl w:val="0"/>
          <w:numId w:val="10"/>
        </w:numPr>
        <w:rPr>
          <w:rFonts w:ascii="Times New Roman" w:hAnsi="Times New Roman" w:cs="Times New Roman"/>
        </w:rPr>
      </w:pPr>
      <w:r w:rsidRPr="00EA4FC3">
        <w:rPr>
          <w:rFonts w:ascii="Times New Roman" w:hAnsi="Times New Roman" w:cs="Times New Roman"/>
        </w:rPr>
        <w:t>Specials % share (discount intensity)</w:t>
      </w:r>
    </w:p>
    <w:p w14:paraId="2D74FC58" w14:textId="496DE5C8" w:rsidR="00E61373" w:rsidRPr="00EA4FC3" w:rsidRDefault="00E61373" w:rsidP="00E61373">
      <w:pPr>
        <w:rPr>
          <w:rFonts w:ascii="Times New Roman" w:hAnsi="Times New Roman" w:cs="Times New Roman"/>
        </w:rPr>
      </w:pPr>
      <w:r w:rsidRPr="00EA4FC3">
        <w:rPr>
          <w:rFonts w:ascii="Times New Roman" w:hAnsi="Times New Roman" w:cs="Times New Roman"/>
        </w:rPr>
        <w:t xml:space="preserve">This analysis helps us to identify heavily discounted (indicating surplus or nearing expiry) but yielding low profits (inefficient or loss-making) products, which are ideal for circular </w:t>
      </w:r>
      <w:r w:rsidR="00D05280" w:rsidRPr="00EA4FC3">
        <w:rPr>
          <w:rFonts w:ascii="Times New Roman" w:hAnsi="Times New Roman" w:cs="Times New Roman"/>
        </w:rPr>
        <w:t>economic</w:t>
      </w:r>
      <w:r w:rsidRPr="00EA4FC3">
        <w:rPr>
          <w:rFonts w:ascii="Times New Roman" w:hAnsi="Times New Roman" w:cs="Times New Roman"/>
        </w:rPr>
        <w:t xml:space="preserve"> interventions and dynamic pricing.</w:t>
      </w:r>
    </w:p>
    <w:p w14:paraId="2C5FC47E" w14:textId="223A0717" w:rsidR="00E61373" w:rsidRPr="00EA4FC3" w:rsidRDefault="00E61373" w:rsidP="00E61373">
      <w:pPr>
        <w:rPr>
          <w:rFonts w:ascii="Times New Roman" w:hAnsi="Times New Roman" w:cs="Times New Roman"/>
        </w:rPr>
      </w:pPr>
      <w:r w:rsidRPr="00EA4FC3">
        <w:rPr>
          <w:rFonts w:ascii="Times New Roman" w:hAnsi="Times New Roman" w:cs="Times New Roman"/>
          <w:noProof/>
        </w:rPr>
        <w:lastRenderedPageBreak/>
        <w:drawing>
          <wp:inline distT="0" distB="0" distL="0" distR="0" wp14:anchorId="272EB421" wp14:editId="6842ED1B">
            <wp:extent cx="5943600" cy="3545840"/>
            <wp:effectExtent l="0" t="0" r="0" b="0"/>
            <wp:docPr id="1723261826" name="Picture 7" descr="A graph with purple dot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61826" name="Picture 7" descr="A graph with purple dots and green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45840"/>
                    </a:xfrm>
                    <a:prstGeom prst="rect">
                      <a:avLst/>
                    </a:prstGeom>
                    <a:noFill/>
                    <a:ln>
                      <a:noFill/>
                    </a:ln>
                  </pic:spPr>
                </pic:pic>
              </a:graphicData>
            </a:graphic>
          </wp:inline>
        </w:drawing>
      </w:r>
    </w:p>
    <w:p w14:paraId="23291AB9" w14:textId="72AC5980" w:rsidR="001F2670" w:rsidRPr="00EA4FC3" w:rsidRDefault="001F2670" w:rsidP="001F2670">
      <w:pPr>
        <w:jc w:val="center"/>
        <w:rPr>
          <w:rFonts w:ascii="Times New Roman" w:hAnsi="Times New Roman" w:cs="Times New Roman"/>
          <w:b/>
          <w:bCs/>
        </w:rPr>
      </w:pPr>
      <w:r w:rsidRPr="00EA4FC3">
        <w:rPr>
          <w:rFonts w:ascii="Times New Roman" w:hAnsi="Times New Roman" w:cs="Times New Roman"/>
          <w:b/>
          <w:bCs/>
        </w:rPr>
        <w:t>Figure :2 Bubble chart reports</w:t>
      </w:r>
    </w:p>
    <w:p w14:paraId="4A1DE2EA" w14:textId="28F368E7" w:rsidR="00153D07" w:rsidRPr="00EA4FC3" w:rsidRDefault="00B97071" w:rsidP="00153D07">
      <w:pPr>
        <w:rPr>
          <w:rFonts w:ascii="Times New Roman" w:hAnsi="Times New Roman" w:cs="Times New Roman"/>
        </w:rPr>
      </w:pPr>
      <w:r w:rsidRPr="00EA4FC3">
        <w:rPr>
          <w:rFonts w:ascii="Times New Roman" w:hAnsi="Times New Roman" w:cs="Times New Roman"/>
        </w:rPr>
        <w:t xml:space="preserve">Key observations and findings: </w:t>
      </w:r>
    </w:p>
    <w:p w14:paraId="67B423F5" w14:textId="146885F9" w:rsidR="00B97071" w:rsidRPr="00EA4FC3" w:rsidRDefault="00B97071" w:rsidP="00B97071">
      <w:pPr>
        <w:numPr>
          <w:ilvl w:val="0"/>
          <w:numId w:val="12"/>
        </w:numPr>
        <w:rPr>
          <w:rFonts w:ascii="Times New Roman" w:hAnsi="Times New Roman" w:cs="Times New Roman"/>
        </w:rPr>
      </w:pPr>
      <w:r w:rsidRPr="00EA4FC3">
        <w:rPr>
          <w:rFonts w:ascii="Times New Roman" w:hAnsi="Times New Roman" w:cs="Times New Roman"/>
        </w:rPr>
        <w:t>Top-left departments (high profit, low discounts) are strong performers and likely have efficient inventory turnover and pricing.</w:t>
      </w:r>
      <w:r w:rsidRPr="00EA4FC3">
        <w:rPr>
          <w:rFonts w:ascii="Times New Roman" w:hAnsi="Times New Roman" w:cs="Times New Roman"/>
          <w:noProof/>
        </w:rPr>
        <w:drawing>
          <wp:inline distT="0" distB="0" distL="0" distR="0" wp14:anchorId="08E8547D" wp14:editId="64F0B8B0">
            <wp:extent cx="5943600" cy="922637"/>
            <wp:effectExtent l="0" t="0" r="0" b="0"/>
            <wp:docPr id="8931388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38867" name="Picture 1" descr="A screenshot of a computer&#10;&#10;AI-generated content may be incorrect."/>
                    <pic:cNvPicPr/>
                  </pic:nvPicPr>
                  <pic:blipFill>
                    <a:blip r:embed="rId12"/>
                    <a:stretch>
                      <a:fillRect/>
                    </a:stretch>
                  </pic:blipFill>
                  <pic:spPr>
                    <a:xfrm>
                      <a:off x="0" y="0"/>
                      <a:ext cx="5961592" cy="925430"/>
                    </a:xfrm>
                    <a:prstGeom prst="rect">
                      <a:avLst/>
                    </a:prstGeom>
                  </pic:spPr>
                </pic:pic>
              </a:graphicData>
            </a:graphic>
          </wp:inline>
        </w:drawing>
      </w:r>
    </w:p>
    <w:p w14:paraId="669D1136" w14:textId="4A355725" w:rsidR="001F2670" w:rsidRPr="00EA4FC3" w:rsidRDefault="001F2670" w:rsidP="00213CFC">
      <w:pPr>
        <w:ind w:left="720"/>
        <w:jc w:val="center"/>
        <w:rPr>
          <w:rFonts w:ascii="Times New Roman" w:hAnsi="Times New Roman" w:cs="Times New Roman"/>
          <w:b/>
          <w:bCs/>
        </w:rPr>
      </w:pPr>
      <w:r w:rsidRPr="00EA4FC3">
        <w:rPr>
          <w:rFonts w:ascii="Times New Roman" w:hAnsi="Times New Roman" w:cs="Times New Roman"/>
          <w:b/>
          <w:bCs/>
        </w:rPr>
        <w:t>Table</w:t>
      </w:r>
      <w:r w:rsidR="00213CFC" w:rsidRPr="00EA4FC3">
        <w:rPr>
          <w:rFonts w:ascii="Times New Roman" w:hAnsi="Times New Roman" w:cs="Times New Roman"/>
          <w:b/>
          <w:bCs/>
        </w:rPr>
        <w:t xml:space="preserve"> : 5 (high profit, low discounts products)</w:t>
      </w:r>
    </w:p>
    <w:p w14:paraId="04D45628" w14:textId="73DA50FD" w:rsidR="00B97071" w:rsidRPr="00EA4FC3" w:rsidRDefault="00B97071" w:rsidP="00B97071">
      <w:pPr>
        <w:numPr>
          <w:ilvl w:val="0"/>
          <w:numId w:val="12"/>
        </w:numPr>
        <w:rPr>
          <w:rFonts w:ascii="Times New Roman" w:hAnsi="Times New Roman" w:cs="Times New Roman"/>
        </w:rPr>
      </w:pPr>
      <w:r w:rsidRPr="00EA4FC3">
        <w:rPr>
          <w:rFonts w:ascii="Times New Roman" w:hAnsi="Times New Roman" w:cs="Times New Roman"/>
        </w:rPr>
        <w:t>Bottom-right departments show low profit but high discounting, signaling potential overstock or unsold perishables  a major contributor to food waste.</w:t>
      </w:r>
    </w:p>
    <w:p w14:paraId="6B1F535D" w14:textId="4906528E" w:rsidR="00B97071" w:rsidRPr="00EA4FC3" w:rsidRDefault="00BD41AB" w:rsidP="00B97071">
      <w:pPr>
        <w:ind w:left="720"/>
        <w:rPr>
          <w:rFonts w:ascii="Times New Roman" w:hAnsi="Times New Roman" w:cs="Times New Roman"/>
        </w:rPr>
      </w:pPr>
      <w:r w:rsidRPr="00EA4FC3">
        <w:rPr>
          <w:rFonts w:ascii="Times New Roman" w:hAnsi="Times New Roman" w:cs="Times New Roman"/>
          <w:noProof/>
        </w:rPr>
        <w:drawing>
          <wp:inline distT="0" distB="0" distL="0" distR="0" wp14:anchorId="1299E3C9" wp14:editId="6FA3C3BD">
            <wp:extent cx="5943600" cy="1103870"/>
            <wp:effectExtent l="0" t="0" r="0" b="1270"/>
            <wp:docPr id="708144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44133" name="Picture 1" descr="A screenshot of a computer&#10;&#10;AI-generated content may be incorrect."/>
                    <pic:cNvPicPr/>
                  </pic:nvPicPr>
                  <pic:blipFill>
                    <a:blip r:embed="rId13"/>
                    <a:stretch>
                      <a:fillRect/>
                    </a:stretch>
                  </pic:blipFill>
                  <pic:spPr>
                    <a:xfrm>
                      <a:off x="0" y="0"/>
                      <a:ext cx="5947768" cy="1104644"/>
                    </a:xfrm>
                    <a:prstGeom prst="rect">
                      <a:avLst/>
                    </a:prstGeom>
                  </pic:spPr>
                </pic:pic>
              </a:graphicData>
            </a:graphic>
          </wp:inline>
        </w:drawing>
      </w:r>
    </w:p>
    <w:p w14:paraId="5303107C" w14:textId="66F67F36" w:rsidR="00213CFC" w:rsidRPr="00EA4FC3" w:rsidRDefault="00213CFC" w:rsidP="00FF4829">
      <w:pPr>
        <w:ind w:left="720"/>
        <w:jc w:val="center"/>
        <w:rPr>
          <w:rFonts w:ascii="Times New Roman" w:hAnsi="Times New Roman" w:cs="Times New Roman"/>
          <w:b/>
          <w:bCs/>
        </w:rPr>
      </w:pPr>
      <w:r w:rsidRPr="00EA4FC3">
        <w:rPr>
          <w:rFonts w:ascii="Times New Roman" w:hAnsi="Times New Roman" w:cs="Times New Roman"/>
          <w:b/>
          <w:bCs/>
        </w:rPr>
        <w:t xml:space="preserve">Table </w:t>
      </w:r>
      <w:r w:rsidR="00FF4829" w:rsidRPr="00EA4FC3">
        <w:rPr>
          <w:rFonts w:ascii="Times New Roman" w:hAnsi="Times New Roman" w:cs="Times New Roman"/>
          <w:b/>
          <w:bCs/>
        </w:rPr>
        <w:t>6 : Low profit high discounts products</w:t>
      </w:r>
    </w:p>
    <w:p w14:paraId="60FA0270" w14:textId="3852EA1D" w:rsidR="00B97071" w:rsidRPr="00EA4FC3" w:rsidRDefault="00B97071" w:rsidP="00B97071">
      <w:pPr>
        <w:numPr>
          <w:ilvl w:val="0"/>
          <w:numId w:val="12"/>
        </w:numPr>
        <w:rPr>
          <w:rFonts w:ascii="Times New Roman" w:hAnsi="Times New Roman" w:cs="Times New Roman"/>
        </w:rPr>
      </w:pPr>
      <w:r w:rsidRPr="00EA4FC3">
        <w:rPr>
          <w:rFonts w:ascii="Times New Roman" w:hAnsi="Times New Roman" w:cs="Times New Roman"/>
        </w:rPr>
        <w:lastRenderedPageBreak/>
        <w:t>Frozen foods, confectionery, or pet food sugges</w:t>
      </w:r>
      <w:r w:rsidR="00BD41AB" w:rsidRPr="00EA4FC3">
        <w:rPr>
          <w:rFonts w:ascii="Times New Roman" w:hAnsi="Times New Roman" w:cs="Times New Roman"/>
        </w:rPr>
        <w:t>t</w:t>
      </w:r>
      <w:r w:rsidRPr="00EA4FC3">
        <w:rPr>
          <w:rFonts w:ascii="Times New Roman" w:hAnsi="Times New Roman" w:cs="Times New Roman"/>
        </w:rPr>
        <w:t xml:space="preserve"> the need for waste-preventive actions in these zones.</w:t>
      </w:r>
    </w:p>
    <w:p w14:paraId="51FC241C" w14:textId="5C32BBF9" w:rsidR="00BD41AB" w:rsidRPr="00EA4FC3" w:rsidRDefault="00BD41AB" w:rsidP="00BD41AB">
      <w:pPr>
        <w:jc w:val="both"/>
        <w:rPr>
          <w:rFonts w:ascii="Times New Roman" w:hAnsi="Times New Roman" w:cs="Times New Roman"/>
        </w:rPr>
      </w:pPr>
      <w:r w:rsidRPr="00EA4FC3">
        <w:rPr>
          <w:rFonts w:ascii="Times New Roman" w:hAnsi="Times New Roman" w:cs="Times New Roman"/>
        </w:rPr>
        <w:t>Here, circular strategies like donation of unsold perishables, better shelf-life tracking, or promotional reform can help reduce food waste without compromising overall profitability.</w:t>
      </w:r>
    </w:p>
    <w:p w14:paraId="74FD6070" w14:textId="51022628" w:rsidR="00B97071" w:rsidRPr="00EA4FC3" w:rsidRDefault="00B97071" w:rsidP="00153D07">
      <w:pPr>
        <w:rPr>
          <w:rFonts w:ascii="Times New Roman" w:hAnsi="Times New Roman" w:cs="Times New Roman"/>
        </w:rPr>
      </w:pPr>
    </w:p>
    <w:p w14:paraId="260ACE1C" w14:textId="192B84CF" w:rsidR="00BD41AB" w:rsidRPr="00EA4FC3" w:rsidRDefault="00BD41AB" w:rsidP="00BD41AB">
      <w:pPr>
        <w:rPr>
          <w:rFonts w:ascii="Times New Roman" w:hAnsi="Times New Roman" w:cs="Times New Roman"/>
          <w:b/>
          <w:bCs/>
        </w:rPr>
      </w:pPr>
      <w:r w:rsidRPr="00EA4FC3">
        <w:rPr>
          <w:rFonts w:ascii="Times New Roman" w:hAnsi="Times New Roman" w:cs="Times New Roman"/>
          <w:b/>
          <w:bCs/>
        </w:rPr>
        <w:t xml:space="preserve">Predictive analytics </w:t>
      </w:r>
      <w:r w:rsidR="00257E00" w:rsidRPr="00EA4FC3">
        <w:rPr>
          <w:rFonts w:ascii="Times New Roman" w:hAnsi="Times New Roman" w:cs="Times New Roman"/>
          <w:b/>
          <w:bCs/>
        </w:rPr>
        <w:t>(preparing</w:t>
      </w:r>
      <w:r w:rsidRPr="00EA4FC3">
        <w:rPr>
          <w:rFonts w:ascii="Times New Roman" w:hAnsi="Times New Roman" w:cs="Times New Roman"/>
          <w:b/>
          <w:bCs/>
        </w:rPr>
        <w:t xml:space="preserve"> annual report)</w:t>
      </w:r>
    </w:p>
    <w:p w14:paraId="446F3721" w14:textId="77777777" w:rsidR="00D37943" w:rsidRPr="00D37943" w:rsidRDefault="00D37943" w:rsidP="00D37943">
      <w:pPr>
        <w:jc w:val="both"/>
        <w:rPr>
          <w:rFonts w:ascii="Times New Roman" w:hAnsi="Times New Roman" w:cs="Times New Roman"/>
        </w:rPr>
      </w:pPr>
      <w:r w:rsidRPr="00D37943">
        <w:rPr>
          <w:rFonts w:ascii="Times New Roman" w:hAnsi="Times New Roman" w:cs="Times New Roman"/>
        </w:rPr>
        <w:t>Since our IGA dataset covers just one month from a single store, we created a yearly projection to:</w:t>
      </w:r>
    </w:p>
    <w:p w14:paraId="79A2D450" w14:textId="77777777" w:rsidR="00D37943" w:rsidRPr="00D37943" w:rsidRDefault="00D37943" w:rsidP="00D37943">
      <w:pPr>
        <w:numPr>
          <w:ilvl w:val="0"/>
          <w:numId w:val="13"/>
        </w:numPr>
        <w:jc w:val="both"/>
        <w:rPr>
          <w:rFonts w:ascii="Times New Roman" w:hAnsi="Times New Roman" w:cs="Times New Roman"/>
        </w:rPr>
      </w:pPr>
      <w:r w:rsidRPr="00D37943">
        <w:rPr>
          <w:rFonts w:ascii="Times New Roman" w:hAnsi="Times New Roman" w:cs="Times New Roman"/>
        </w:rPr>
        <w:t>Benchmark IGA’s performance against Woolworths and Coles, despite limited access to category-level annual data on food waste.</w:t>
      </w:r>
    </w:p>
    <w:p w14:paraId="76B7ED68" w14:textId="77777777" w:rsidR="00D37943" w:rsidRPr="00D37943" w:rsidRDefault="00D37943" w:rsidP="00D37943">
      <w:pPr>
        <w:numPr>
          <w:ilvl w:val="0"/>
          <w:numId w:val="13"/>
        </w:numPr>
        <w:jc w:val="both"/>
        <w:rPr>
          <w:rFonts w:ascii="Times New Roman" w:hAnsi="Times New Roman" w:cs="Times New Roman"/>
        </w:rPr>
      </w:pPr>
      <w:r w:rsidRPr="00D37943">
        <w:rPr>
          <w:rFonts w:ascii="Times New Roman" w:hAnsi="Times New Roman" w:cs="Times New Roman"/>
        </w:rPr>
        <w:t>Show how one store’s trends can scale across IGA’s 1,301 locations.</w:t>
      </w:r>
    </w:p>
    <w:p w14:paraId="091BA1CD" w14:textId="77777777" w:rsidR="00D37943" w:rsidRPr="00D37943" w:rsidRDefault="00D37943" w:rsidP="00D37943">
      <w:pPr>
        <w:numPr>
          <w:ilvl w:val="0"/>
          <w:numId w:val="13"/>
        </w:numPr>
        <w:jc w:val="both"/>
        <w:rPr>
          <w:rFonts w:ascii="Times New Roman" w:hAnsi="Times New Roman" w:cs="Times New Roman"/>
        </w:rPr>
      </w:pPr>
      <w:r w:rsidRPr="00D37943">
        <w:rPr>
          <w:rFonts w:ascii="Times New Roman" w:hAnsi="Times New Roman" w:cs="Times New Roman"/>
        </w:rPr>
        <w:t>Provide a basis for actionable, network-wide circular economy recommendations.</w:t>
      </w:r>
    </w:p>
    <w:p w14:paraId="344C880F" w14:textId="17FE9C32" w:rsidR="00B10B2A" w:rsidRPr="00EA4FC3" w:rsidRDefault="00D37943" w:rsidP="00B10B2A">
      <w:pPr>
        <w:jc w:val="both"/>
        <w:rPr>
          <w:rFonts w:ascii="Times New Roman" w:hAnsi="Times New Roman" w:cs="Times New Roman"/>
        </w:rPr>
      </w:pPr>
      <w:r w:rsidRPr="00EA4FC3">
        <w:rPr>
          <w:rFonts w:ascii="Times New Roman" w:hAnsi="Times New Roman" w:cs="Times New Roman"/>
          <w:noProof/>
        </w:rPr>
        <w:drawing>
          <wp:inline distT="0" distB="0" distL="0" distR="0" wp14:anchorId="0643597D" wp14:editId="2490AB84">
            <wp:extent cx="4061254" cy="2284095"/>
            <wp:effectExtent l="0" t="0" r="0" b="1905"/>
            <wp:docPr id="1340894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4420" name="Picture 1" descr="A screenshot of a computer&#10;&#10;AI-generated content may be incorrect."/>
                    <pic:cNvPicPr/>
                  </pic:nvPicPr>
                  <pic:blipFill>
                    <a:blip r:embed="rId14"/>
                    <a:stretch>
                      <a:fillRect/>
                    </a:stretch>
                  </pic:blipFill>
                  <pic:spPr>
                    <a:xfrm>
                      <a:off x="0" y="0"/>
                      <a:ext cx="4066981" cy="2287316"/>
                    </a:xfrm>
                    <a:prstGeom prst="rect">
                      <a:avLst/>
                    </a:prstGeom>
                  </pic:spPr>
                </pic:pic>
              </a:graphicData>
            </a:graphic>
          </wp:inline>
        </w:drawing>
      </w:r>
      <w:r w:rsidRPr="00EA4FC3">
        <w:rPr>
          <w:rFonts w:ascii="Times New Roman" w:hAnsi="Times New Roman" w:cs="Times New Roman"/>
          <w:noProof/>
        </w:rPr>
        <w:drawing>
          <wp:inline distT="0" distB="0" distL="0" distR="0" wp14:anchorId="1DBAD686" wp14:editId="57126AA4">
            <wp:extent cx="1703705" cy="2281434"/>
            <wp:effectExtent l="0" t="0" r="0" b="5080"/>
            <wp:docPr id="187328849"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8849" name="Picture 1" descr="A screenshot of a black and white screen&#10;&#10;AI-generated content may be incorrect."/>
                    <pic:cNvPicPr/>
                  </pic:nvPicPr>
                  <pic:blipFill>
                    <a:blip r:embed="rId15"/>
                    <a:stretch>
                      <a:fillRect/>
                    </a:stretch>
                  </pic:blipFill>
                  <pic:spPr>
                    <a:xfrm>
                      <a:off x="0" y="0"/>
                      <a:ext cx="1743878" cy="2335230"/>
                    </a:xfrm>
                    <a:prstGeom prst="rect">
                      <a:avLst/>
                    </a:prstGeom>
                  </pic:spPr>
                </pic:pic>
              </a:graphicData>
            </a:graphic>
          </wp:inline>
        </w:drawing>
      </w:r>
    </w:p>
    <w:p w14:paraId="16913A61" w14:textId="77777777" w:rsidR="009C0533" w:rsidRPr="009C0533" w:rsidRDefault="009C0533" w:rsidP="009C0533">
      <w:pPr>
        <w:jc w:val="both"/>
        <w:rPr>
          <w:rFonts w:ascii="Times New Roman" w:hAnsi="Times New Roman" w:cs="Times New Roman"/>
        </w:rPr>
      </w:pPr>
      <w:r w:rsidRPr="009C0533">
        <w:rPr>
          <w:rFonts w:ascii="Times New Roman" w:hAnsi="Times New Roman" w:cs="Times New Roman"/>
        </w:rPr>
        <w:t>Our annualized analysis of Valley IGA suggests the store could generate approximately $2.74 million in total annual sales and over $689,000 in annual profit (based on average monthly figures). However, the data shows a high standard deviation in both sales and profit across departments, reflecting major inconsistencies in performance and potential waste.</w:t>
      </w:r>
    </w:p>
    <w:p w14:paraId="5C7964D1" w14:textId="519D9055" w:rsidR="009C0533" w:rsidRPr="009C0533" w:rsidRDefault="008E667D" w:rsidP="009C0533">
      <w:pPr>
        <w:jc w:val="both"/>
        <w:rPr>
          <w:rFonts w:ascii="Times New Roman" w:hAnsi="Times New Roman" w:cs="Times New Roman"/>
        </w:rPr>
      </w:pPr>
      <w:r w:rsidRPr="00EA4FC3">
        <w:rPr>
          <w:rFonts w:ascii="Times New Roman" w:hAnsi="Times New Roman" w:cs="Times New Roman"/>
        </w:rPr>
        <w:t>T</w:t>
      </w:r>
      <w:r w:rsidR="009C0533" w:rsidRPr="009C0533">
        <w:rPr>
          <w:rFonts w:ascii="Times New Roman" w:hAnsi="Times New Roman" w:cs="Times New Roman"/>
        </w:rPr>
        <w:t>he average Specials % share is 18.23%, with some departments discounting over 50% of their stock. This high level of markdowns</w:t>
      </w:r>
      <w:r w:rsidR="009C0533" w:rsidRPr="00EA4FC3">
        <w:rPr>
          <w:rFonts w:ascii="Times New Roman" w:hAnsi="Times New Roman" w:cs="Times New Roman"/>
        </w:rPr>
        <w:t xml:space="preserve">, </w:t>
      </w:r>
      <w:r w:rsidR="009C0533" w:rsidRPr="009C0533">
        <w:rPr>
          <w:rFonts w:ascii="Times New Roman" w:hAnsi="Times New Roman" w:cs="Times New Roman"/>
        </w:rPr>
        <w:t>particularly in perishable or low-margin categories</w:t>
      </w:r>
      <w:r w:rsidR="009C0533" w:rsidRPr="00EA4FC3">
        <w:rPr>
          <w:rFonts w:ascii="Times New Roman" w:hAnsi="Times New Roman" w:cs="Times New Roman"/>
        </w:rPr>
        <w:t xml:space="preserve">, </w:t>
      </w:r>
      <w:r w:rsidR="009C0533" w:rsidRPr="009C0533">
        <w:rPr>
          <w:rFonts w:ascii="Times New Roman" w:hAnsi="Times New Roman" w:cs="Times New Roman"/>
        </w:rPr>
        <w:t>signals risks of excess stock, poor demand forecasting, or food nearing expiry, all of which align with circular economy concerns.</w:t>
      </w:r>
    </w:p>
    <w:p w14:paraId="381D8E01" w14:textId="11672ED1" w:rsidR="009C0533" w:rsidRPr="009C0533" w:rsidRDefault="009C0533" w:rsidP="009C0533">
      <w:pPr>
        <w:jc w:val="both"/>
        <w:rPr>
          <w:rFonts w:ascii="Times New Roman" w:hAnsi="Times New Roman" w:cs="Times New Roman"/>
        </w:rPr>
      </w:pPr>
      <w:r w:rsidRPr="009C0533">
        <w:rPr>
          <w:rFonts w:ascii="Times New Roman" w:hAnsi="Times New Roman" w:cs="Times New Roman"/>
        </w:rPr>
        <w:t>If these inefficiencies persist across IGA’s 1,301 stores, the cumulative impact could be significant</w:t>
      </w:r>
      <w:r w:rsidRPr="00EA4FC3">
        <w:rPr>
          <w:rFonts w:ascii="Times New Roman" w:hAnsi="Times New Roman" w:cs="Times New Roman"/>
        </w:rPr>
        <w:t xml:space="preserve">, </w:t>
      </w:r>
      <w:r w:rsidRPr="009C0533">
        <w:rPr>
          <w:rFonts w:ascii="Times New Roman" w:hAnsi="Times New Roman" w:cs="Times New Roman"/>
        </w:rPr>
        <w:t xml:space="preserve">both financially and environmentally. These projections highlight the urgent need for waste-minimization strategies such as improved stock rotation, predictive ordering, and donation programs. By addressing these issues at the department level, IGA can scale improvements across </w:t>
      </w:r>
      <w:r w:rsidRPr="009C0533">
        <w:rPr>
          <w:rFonts w:ascii="Times New Roman" w:hAnsi="Times New Roman" w:cs="Times New Roman"/>
        </w:rPr>
        <w:lastRenderedPageBreak/>
        <w:t>its national footprint and move toward more sustainable, circular operations, closing the gap with competitors like Woolworths and Coles.</w:t>
      </w:r>
    </w:p>
    <w:p w14:paraId="42AC3E1A" w14:textId="3E2F0623" w:rsidR="009C0533" w:rsidRPr="00EA4FC3" w:rsidRDefault="009C0533" w:rsidP="009C0533">
      <w:pPr>
        <w:rPr>
          <w:rFonts w:ascii="Times New Roman" w:hAnsi="Times New Roman" w:cs="Times New Roman"/>
          <w:b/>
          <w:bCs/>
          <w:u w:val="single"/>
        </w:rPr>
      </w:pPr>
      <w:r w:rsidRPr="00EA4FC3">
        <w:rPr>
          <w:rFonts w:ascii="Times New Roman" w:hAnsi="Times New Roman" w:cs="Times New Roman"/>
          <w:b/>
          <w:bCs/>
          <w:u w:val="single"/>
        </w:rPr>
        <w:t>Comparison analysis:</w:t>
      </w:r>
    </w:p>
    <w:p w14:paraId="676E5831" w14:textId="6CEB66AC" w:rsidR="00B10B2A" w:rsidRPr="00EA4FC3" w:rsidRDefault="00CB7C1B" w:rsidP="00B10B2A">
      <w:pPr>
        <w:jc w:val="both"/>
        <w:rPr>
          <w:rFonts w:ascii="Times New Roman" w:hAnsi="Times New Roman" w:cs="Times New Roman"/>
        </w:rPr>
      </w:pPr>
      <w:r w:rsidRPr="00EA4FC3">
        <w:rPr>
          <w:rFonts w:ascii="Times New Roman" w:hAnsi="Times New Roman" w:cs="Times New Roman"/>
        </w:rPr>
        <w:t>We extended our research by comparing IGA’s performance with Woolworths and Coles by extracting useful information from their respective 2024 sustainability reports. A detailed table is provided in Appendix 3. We examined key indicators such as revenue, waste diversion rates, and emissions reduction percentages, and performed a gap analysis to observe the performance differences between IGA and its centralized competitors. This provided us with deeper insights into the systematic challenges faced by IGA due to its decentralized model, particularly in implementing food waste reduction and circular economy initiatives.</w:t>
      </w:r>
    </w:p>
    <w:p w14:paraId="46EEB825" w14:textId="189A5C67" w:rsidR="00B10B2A" w:rsidRPr="00EA4FC3" w:rsidRDefault="00317537" w:rsidP="00B10B2A">
      <w:pPr>
        <w:jc w:val="both"/>
        <w:rPr>
          <w:rFonts w:ascii="Times New Roman" w:hAnsi="Times New Roman" w:cs="Times New Roman"/>
        </w:rPr>
      </w:pPr>
      <w:r w:rsidRPr="00EA4FC3">
        <w:rPr>
          <w:rFonts w:ascii="Times New Roman" w:hAnsi="Times New Roman" w:cs="Times New Roman"/>
          <w:noProof/>
        </w:rPr>
        <w:drawing>
          <wp:inline distT="0" distB="0" distL="0" distR="0" wp14:anchorId="74D793B0" wp14:editId="4464C53B">
            <wp:extent cx="5943600" cy="1734185"/>
            <wp:effectExtent l="0" t="0" r="0" b="0"/>
            <wp:docPr id="13031793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79352" name="Picture 1" descr="A screenshot of a graph&#10;&#10;AI-generated content may be incorrect."/>
                    <pic:cNvPicPr/>
                  </pic:nvPicPr>
                  <pic:blipFill>
                    <a:blip r:embed="rId16"/>
                    <a:stretch>
                      <a:fillRect/>
                    </a:stretch>
                  </pic:blipFill>
                  <pic:spPr>
                    <a:xfrm>
                      <a:off x="0" y="0"/>
                      <a:ext cx="5943600" cy="1734185"/>
                    </a:xfrm>
                    <a:prstGeom prst="rect">
                      <a:avLst/>
                    </a:prstGeom>
                  </pic:spPr>
                </pic:pic>
              </a:graphicData>
            </a:graphic>
          </wp:inline>
        </w:drawing>
      </w:r>
    </w:p>
    <w:p w14:paraId="62C00830" w14:textId="14F49C09" w:rsidR="00B10B2A" w:rsidRPr="00EA4FC3" w:rsidRDefault="00C825DE" w:rsidP="009E6A21">
      <w:pPr>
        <w:ind w:left="1440" w:firstLine="720"/>
        <w:jc w:val="both"/>
        <w:rPr>
          <w:rFonts w:ascii="Times New Roman" w:hAnsi="Times New Roman" w:cs="Times New Roman"/>
        </w:rPr>
      </w:pPr>
      <w:r w:rsidRPr="00EA4FC3">
        <w:rPr>
          <w:rFonts w:ascii="Times New Roman" w:hAnsi="Times New Roman" w:cs="Times New Roman"/>
        </w:rPr>
        <w:t xml:space="preserve">Fig </w:t>
      </w:r>
      <w:r w:rsidR="009E6A21" w:rsidRPr="00EA4FC3">
        <w:rPr>
          <w:rFonts w:ascii="Times New Roman" w:hAnsi="Times New Roman" w:cs="Times New Roman"/>
        </w:rPr>
        <w:t>: Chart showing comparison analysis</w:t>
      </w:r>
    </w:p>
    <w:p w14:paraId="700FF052" w14:textId="37268D98" w:rsidR="00C73967" w:rsidRPr="00EA4FC3" w:rsidRDefault="00C73967" w:rsidP="00C73967">
      <w:pPr>
        <w:jc w:val="both"/>
        <w:rPr>
          <w:rFonts w:ascii="Times New Roman" w:hAnsi="Times New Roman" w:cs="Times New Roman"/>
        </w:rPr>
      </w:pPr>
      <w:r w:rsidRPr="00EA4FC3">
        <w:rPr>
          <w:rFonts w:ascii="Times New Roman" w:hAnsi="Times New Roman" w:cs="Times New Roman"/>
        </w:rPr>
        <w:t>Due to d</w:t>
      </w:r>
      <w:r w:rsidR="001E3307" w:rsidRPr="00EA4FC3">
        <w:rPr>
          <w:rFonts w:ascii="Times New Roman" w:hAnsi="Times New Roman" w:cs="Times New Roman"/>
        </w:rPr>
        <w:t xml:space="preserve">ata limitations of </w:t>
      </w:r>
      <w:r w:rsidR="00E8613F" w:rsidRPr="00EA4FC3">
        <w:rPr>
          <w:rFonts w:ascii="Times New Roman" w:hAnsi="Times New Roman" w:cs="Times New Roman"/>
        </w:rPr>
        <w:t>Coles</w:t>
      </w:r>
      <w:r w:rsidR="001E3307" w:rsidRPr="00EA4FC3">
        <w:rPr>
          <w:rFonts w:ascii="Times New Roman" w:hAnsi="Times New Roman" w:cs="Times New Roman"/>
        </w:rPr>
        <w:t xml:space="preserve"> retail</w:t>
      </w:r>
      <w:r w:rsidR="00E8613F" w:rsidRPr="00EA4FC3">
        <w:rPr>
          <w:rFonts w:ascii="Times New Roman" w:hAnsi="Times New Roman" w:cs="Times New Roman"/>
        </w:rPr>
        <w:t>,</w:t>
      </w:r>
      <w:r w:rsidR="001E3307" w:rsidRPr="00EA4FC3">
        <w:rPr>
          <w:rFonts w:ascii="Times New Roman" w:hAnsi="Times New Roman" w:cs="Times New Roman"/>
        </w:rPr>
        <w:t xml:space="preserve"> </w:t>
      </w:r>
      <w:r w:rsidR="006C72A8" w:rsidRPr="00EA4FC3">
        <w:rPr>
          <w:rFonts w:ascii="Times New Roman" w:hAnsi="Times New Roman" w:cs="Times New Roman"/>
        </w:rPr>
        <w:t xml:space="preserve">we failed to take it in waste diversion and emissions </w:t>
      </w:r>
      <w:r w:rsidR="00E8613F" w:rsidRPr="00EA4FC3">
        <w:rPr>
          <w:rFonts w:ascii="Times New Roman" w:hAnsi="Times New Roman" w:cs="Times New Roman"/>
        </w:rPr>
        <w:t>reduction</w:t>
      </w:r>
      <w:r w:rsidR="006C72A8" w:rsidRPr="00EA4FC3">
        <w:rPr>
          <w:rFonts w:ascii="Times New Roman" w:hAnsi="Times New Roman" w:cs="Times New Roman"/>
        </w:rPr>
        <w:t xml:space="preserve"> analysis </w:t>
      </w:r>
    </w:p>
    <w:p w14:paraId="149380A7" w14:textId="6638CC60" w:rsidR="00897AD1" w:rsidRPr="00EA4FC3" w:rsidRDefault="00897AD1" w:rsidP="008C1C3D">
      <w:pPr>
        <w:jc w:val="both"/>
        <w:rPr>
          <w:rFonts w:ascii="Times New Roman" w:hAnsi="Times New Roman" w:cs="Times New Roman"/>
        </w:rPr>
      </w:pPr>
      <w:r w:rsidRPr="00EA4FC3">
        <w:rPr>
          <w:rFonts w:ascii="Times New Roman" w:hAnsi="Times New Roman" w:cs="Times New Roman"/>
          <w:u w:val="single"/>
        </w:rPr>
        <w:t>Observation</w:t>
      </w:r>
      <w:r w:rsidR="008244E3" w:rsidRPr="00EA4FC3">
        <w:rPr>
          <w:rFonts w:ascii="Times New Roman" w:hAnsi="Times New Roman" w:cs="Times New Roman"/>
          <w:u w:val="single"/>
        </w:rPr>
        <w:t>s</w:t>
      </w:r>
      <w:r w:rsidRPr="00EA4FC3">
        <w:rPr>
          <w:rFonts w:ascii="Times New Roman" w:hAnsi="Times New Roman" w:cs="Times New Roman"/>
        </w:rPr>
        <w:t>:</w:t>
      </w:r>
    </w:p>
    <w:p w14:paraId="28AAE973" w14:textId="341398B1" w:rsidR="00341134" w:rsidRPr="00EA4FC3" w:rsidRDefault="00341134" w:rsidP="00F9458C">
      <w:pPr>
        <w:pStyle w:val="ListParagraph"/>
        <w:numPr>
          <w:ilvl w:val="0"/>
          <w:numId w:val="14"/>
        </w:numPr>
        <w:jc w:val="both"/>
        <w:rPr>
          <w:rFonts w:ascii="Times New Roman" w:hAnsi="Times New Roman" w:cs="Times New Roman"/>
        </w:rPr>
      </w:pPr>
      <w:r w:rsidRPr="00EA4FC3">
        <w:rPr>
          <w:rFonts w:ascii="Times New Roman" w:hAnsi="Times New Roman" w:cs="Times New Roman"/>
        </w:rPr>
        <w:t>IGA (Metcash) lags behind its competitors in waste diversion, achieving only 66%, compared to over 80% by Woolworths. This highlights the need for IGA to adopt stronger reuse and redistribution strategies, such as expanding food donation programs, implementing recovery initiatives, and collaborating more actively with donation agencies. Additionally, improving the turnover of low-selling perishable products by integrating with online retail platforms like Amazon, DoorDash, or Uber Eats could be a highly effective circular economy strategy to reduce food waste and enhance sustainability.</w:t>
      </w:r>
    </w:p>
    <w:p w14:paraId="60774381" w14:textId="0A8C216B" w:rsidR="00755530" w:rsidRPr="00EA4FC3" w:rsidRDefault="00755530" w:rsidP="00F9458C">
      <w:pPr>
        <w:pStyle w:val="ListParagraph"/>
        <w:numPr>
          <w:ilvl w:val="0"/>
          <w:numId w:val="14"/>
        </w:numPr>
        <w:jc w:val="both"/>
        <w:rPr>
          <w:rFonts w:ascii="Times New Roman" w:hAnsi="Times New Roman" w:cs="Times New Roman"/>
        </w:rPr>
      </w:pPr>
      <w:r w:rsidRPr="00EA4FC3">
        <w:rPr>
          <w:rFonts w:ascii="Times New Roman" w:hAnsi="Times New Roman" w:cs="Times New Roman"/>
        </w:rPr>
        <w:t>IGA reports the lowest revenue among the major retailers, reflecting the scalability limitations of its decentralized structure. To address this and move toward greater sustainability, IGA could focus on empowering individual store managers with circular economy training, implementing AI-driven demand forecasting, and incentivizing local surplus redistribution. These strategies can help reduce food waste at the source while promoting a more adaptable and sustainable retail model tailored to IGA’s unique operational setup.</w:t>
      </w:r>
    </w:p>
    <w:p w14:paraId="6660665F" w14:textId="2A8A1CB1" w:rsidR="005C40DE" w:rsidRPr="00EA4FC3" w:rsidRDefault="00DC7122" w:rsidP="00F9458C">
      <w:pPr>
        <w:pStyle w:val="ListParagraph"/>
        <w:numPr>
          <w:ilvl w:val="0"/>
          <w:numId w:val="14"/>
        </w:numPr>
        <w:jc w:val="both"/>
        <w:rPr>
          <w:rFonts w:ascii="Times New Roman" w:hAnsi="Times New Roman" w:cs="Times New Roman"/>
        </w:rPr>
      </w:pPr>
      <w:r w:rsidRPr="00EA4FC3">
        <w:rPr>
          <w:rFonts w:ascii="Times New Roman" w:hAnsi="Times New Roman" w:cs="Times New Roman"/>
        </w:rPr>
        <w:lastRenderedPageBreak/>
        <w:t>IGA lags slightly behind its competitors in emissions reduction, indicating a need for stronger environmental control systems. To become more environmentally responsible, IGA should consider adopting store-level energy monitoring, eco-friendly refrigeration systems, and sustainable packaging practices. These initiatives could form an effective strategy to lower emissions, reduce operational waste, and align with broader circular economy goals.</w:t>
      </w:r>
    </w:p>
    <w:p w14:paraId="2DDA9FC5" w14:textId="6850C64D" w:rsidR="00F9458C" w:rsidRPr="00EA4FC3" w:rsidRDefault="008244E3" w:rsidP="008C1C3D">
      <w:pPr>
        <w:jc w:val="both"/>
        <w:rPr>
          <w:rFonts w:ascii="Times New Roman" w:hAnsi="Times New Roman" w:cs="Times New Roman"/>
          <w:b/>
          <w:bCs/>
          <w:u w:val="single"/>
        </w:rPr>
      </w:pPr>
      <w:r w:rsidRPr="00EA4FC3">
        <w:rPr>
          <w:rFonts w:ascii="Times New Roman" w:hAnsi="Times New Roman" w:cs="Times New Roman"/>
          <w:b/>
          <w:bCs/>
          <w:u w:val="single"/>
        </w:rPr>
        <w:t>Recommendations</w:t>
      </w:r>
      <w:r w:rsidR="00310CF8" w:rsidRPr="00EA4FC3">
        <w:rPr>
          <w:rFonts w:ascii="Times New Roman" w:hAnsi="Times New Roman" w:cs="Times New Roman"/>
          <w:b/>
          <w:bCs/>
          <w:u w:val="single"/>
        </w:rPr>
        <w:t>:</w:t>
      </w:r>
    </w:p>
    <w:p w14:paraId="7C30D35B" w14:textId="4B6F44D7" w:rsidR="00251C63" w:rsidRPr="00EA4FC3" w:rsidRDefault="00251C63"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It is necessary to standardize food rescue partnerships by establishing consistent donation protocols via OzHarvest, SecondBite, etc.</w:t>
      </w:r>
    </w:p>
    <w:p w14:paraId="200CDF7C" w14:textId="29C65A8C" w:rsidR="00251C63" w:rsidRPr="00EA4FC3" w:rsidRDefault="00214675"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Implement centralized waste tracking to monitor inventory movement, markdowns, and disposal rates.</w:t>
      </w:r>
    </w:p>
    <w:p w14:paraId="5336C3AC" w14:textId="27C38D9C" w:rsidR="00214675" w:rsidRPr="00EA4FC3" w:rsidRDefault="00214675"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Set a fixed waste diversion KPI and train staff on expiry control, donation eligibility, and shelf-line planning.</w:t>
      </w:r>
    </w:p>
    <w:p w14:paraId="461F432B" w14:textId="0896629C" w:rsidR="00214675" w:rsidRPr="00EA4FC3" w:rsidRDefault="008D6080"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 xml:space="preserve">Use sensor tracking systems not only on low-selling perishable products but also on fast-selling items, identifying which shelf rows customers are selecting from. Rotate products based on expiry dates, focusing on those specific shelf areas. This will not only reduce waste but also significantly increase the overall </w:t>
      </w:r>
      <w:r w:rsidR="00E8613F" w:rsidRPr="00EA4FC3">
        <w:rPr>
          <w:rFonts w:ascii="Times New Roman" w:hAnsi="Times New Roman" w:cs="Times New Roman"/>
        </w:rPr>
        <w:t>store's</w:t>
      </w:r>
      <w:r w:rsidRPr="00EA4FC3">
        <w:rPr>
          <w:rFonts w:ascii="Times New Roman" w:hAnsi="Times New Roman" w:cs="Times New Roman"/>
        </w:rPr>
        <w:t xml:space="preserve"> profitability and revenue.</w:t>
      </w:r>
    </w:p>
    <w:p w14:paraId="29C95FF7" w14:textId="44A571DE" w:rsidR="008D6080" w:rsidRPr="00EA4FC3" w:rsidRDefault="008D6080"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Analyze adjustment reports (based on out-of-date, dumped, damaged, or corrected products) and compare them with store sales data on a fortnightly or monthly basis. This will help identify high-risk fast-selling or low-selling products, contributing to reduced food waste.</w:t>
      </w:r>
    </w:p>
    <w:p w14:paraId="23DA40C1" w14:textId="772EA8A1" w:rsidR="008D6080" w:rsidRPr="00EA4FC3" w:rsidRDefault="008D6080" w:rsidP="00251C63">
      <w:pPr>
        <w:pStyle w:val="ListParagraph"/>
        <w:numPr>
          <w:ilvl w:val="0"/>
          <w:numId w:val="17"/>
        </w:numPr>
        <w:jc w:val="both"/>
        <w:rPr>
          <w:rFonts w:ascii="Times New Roman" w:hAnsi="Times New Roman" w:cs="Times New Roman"/>
        </w:rPr>
      </w:pPr>
      <w:r w:rsidRPr="00EA4FC3">
        <w:rPr>
          <w:rFonts w:ascii="Times New Roman" w:hAnsi="Times New Roman" w:cs="Times New Roman"/>
        </w:rPr>
        <w:t xml:space="preserve">Customer awareness programs should also be organized, encouraging customers to buy near-expiry products. Display photos and videos in-store showing how donated meals and food help those in need, </w:t>
      </w:r>
      <w:r w:rsidR="0003553D">
        <w:rPr>
          <w:rFonts w:ascii="Times New Roman" w:hAnsi="Times New Roman" w:cs="Times New Roman"/>
        </w:rPr>
        <w:t>ultimately enhancing</w:t>
      </w:r>
      <w:r w:rsidRPr="00EA4FC3">
        <w:rPr>
          <w:rFonts w:ascii="Times New Roman" w:hAnsi="Times New Roman" w:cs="Times New Roman"/>
        </w:rPr>
        <w:t xml:space="preserve"> IGA’s image positively among customers.</w:t>
      </w:r>
    </w:p>
    <w:p w14:paraId="2F2784D6" w14:textId="56B7DA32" w:rsidR="00B10B2A" w:rsidRDefault="008244E3" w:rsidP="00B10B2A">
      <w:pPr>
        <w:jc w:val="both"/>
        <w:rPr>
          <w:rFonts w:ascii="Times New Roman" w:hAnsi="Times New Roman" w:cs="Times New Roman"/>
        </w:rPr>
      </w:pPr>
      <w:r w:rsidRPr="00EA4FC3">
        <w:rPr>
          <w:rFonts w:ascii="Times New Roman" w:hAnsi="Times New Roman" w:cs="Times New Roman"/>
        </w:rPr>
        <w:t>So, if we apply all these circular economy strategies, it will not only help reduce food waste and increase the diversion rate but also improve the overall profitability of the store while building strong trust between customers and retailers.</w:t>
      </w:r>
    </w:p>
    <w:p w14:paraId="6F29E1E3" w14:textId="75CD9D85" w:rsidR="00EA4FC3" w:rsidRDefault="005108F7" w:rsidP="00B10B2A">
      <w:pPr>
        <w:jc w:val="both"/>
        <w:rPr>
          <w:rFonts w:ascii="Times New Roman" w:hAnsi="Times New Roman" w:cs="Times New Roman"/>
          <w:b/>
          <w:bCs/>
          <w:u w:val="single"/>
        </w:rPr>
      </w:pPr>
      <w:r w:rsidRPr="005108F7">
        <w:rPr>
          <w:rFonts w:ascii="Times New Roman" w:hAnsi="Times New Roman" w:cs="Times New Roman"/>
          <w:b/>
          <w:bCs/>
          <w:u w:val="single"/>
        </w:rPr>
        <w:t>Conclusion</w:t>
      </w:r>
    </w:p>
    <w:p w14:paraId="441E452B" w14:textId="5D86826F" w:rsidR="005108F7" w:rsidRDefault="0058576F" w:rsidP="00B10B2A">
      <w:pPr>
        <w:jc w:val="both"/>
        <w:rPr>
          <w:rFonts w:ascii="Times New Roman" w:hAnsi="Times New Roman" w:cs="Times New Roman"/>
        </w:rPr>
      </w:pPr>
      <w:r>
        <w:rPr>
          <w:rFonts w:ascii="Times New Roman" w:hAnsi="Times New Roman" w:cs="Times New Roman"/>
        </w:rPr>
        <w:t xml:space="preserve">This report has highlighted the implementation of circular economy (CE) strategies in the decentralized structure of </w:t>
      </w:r>
      <w:r w:rsidR="0003553D">
        <w:rPr>
          <w:rFonts w:ascii="Times New Roman" w:hAnsi="Times New Roman" w:cs="Times New Roman"/>
        </w:rPr>
        <w:t xml:space="preserve">IGA supermarkets to mitigate food waste and improve overall operational sustainability. The sales data of one IGA store has been analyzed and the trends have been compared across 1,301IGA stores. Various inefficiencies like discounting behavior, gross profit margins, and management of perishable products have been identified. </w:t>
      </w:r>
    </w:p>
    <w:p w14:paraId="1D4BEA64" w14:textId="54705E73" w:rsidR="0003553D" w:rsidRDefault="0003553D" w:rsidP="00B10B2A">
      <w:pPr>
        <w:jc w:val="both"/>
        <w:rPr>
          <w:rFonts w:ascii="Times New Roman" w:hAnsi="Times New Roman" w:cs="Times New Roman"/>
        </w:rPr>
      </w:pPr>
      <w:r>
        <w:rPr>
          <w:rFonts w:ascii="Times New Roman" w:hAnsi="Times New Roman" w:cs="Times New Roman"/>
        </w:rPr>
        <w:t>In departments with low margins and high discount intensity significant food waste has been witnessed due to inconsistent markdown strategies, and ineffective waste diversion protocol. Competitors like Coles and Woolworths stand out in this context due to the coordinated CE practices, while IGA struggles due to decentralized structure and store-level autonomy.</w:t>
      </w:r>
    </w:p>
    <w:p w14:paraId="5B7EC909" w14:textId="126CDA33" w:rsidR="0003553D" w:rsidRDefault="0003553D" w:rsidP="00B10B2A">
      <w:pPr>
        <w:jc w:val="both"/>
        <w:rPr>
          <w:rFonts w:ascii="Times New Roman" w:hAnsi="Times New Roman" w:cs="Times New Roman"/>
        </w:rPr>
      </w:pPr>
      <w:r>
        <w:rPr>
          <w:rFonts w:ascii="Times New Roman" w:hAnsi="Times New Roman" w:cs="Times New Roman"/>
        </w:rPr>
        <w:lastRenderedPageBreak/>
        <w:t xml:space="preserve">Various statistical tools such as descriptive analytics, correlation </w:t>
      </w:r>
      <w:r w:rsidR="00EE0CFC">
        <w:rPr>
          <w:rFonts w:ascii="Times New Roman" w:hAnsi="Times New Roman" w:cs="Times New Roman"/>
        </w:rPr>
        <w:t>matrices</w:t>
      </w:r>
      <w:r>
        <w:rPr>
          <w:rFonts w:ascii="Times New Roman" w:hAnsi="Times New Roman" w:cs="Times New Roman"/>
        </w:rPr>
        <w:t xml:space="preserve">, and </w:t>
      </w:r>
      <w:r w:rsidR="00EE0CFC">
        <w:rPr>
          <w:rFonts w:ascii="Times New Roman" w:hAnsi="Times New Roman" w:cs="Times New Roman"/>
        </w:rPr>
        <w:t>t-tests have been used to analyze the data and found that high-volume, low-margin departments are top contributors to food waste. This research highlights the perishable categories of IGA vary greatly and thus require effective waste management strategies.</w:t>
      </w:r>
    </w:p>
    <w:p w14:paraId="38B18756" w14:textId="783AE2B7" w:rsidR="00EE0CFC" w:rsidRPr="0058576F" w:rsidRDefault="00EE0CFC" w:rsidP="00B10B2A">
      <w:pPr>
        <w:jc w:val="both"/>
        <w:rPr>
          <w:rFonts w:ascii="Times New Roman" w:hAnsi="Times New Roman" w:cs="Times New Roman"/>
        </w:rPr>
      </w:pPr>
      <w:r>
        <w:rPr>
          <w:rFonts w:ascii="Times New Roman" w:hAnsi="Times New Roman" w:cs="Times New Roman"/>
        </w:rPr>
        <w:t>To conclude</w:t>
      </w:r>
      <w:r w:rsidRPr="00EE0CFC">
        <w:rPr>
          <w:rFonts w:ascii="Times New Roman" w:hAnsi="Times New Roman" w:cs="Times New Roman"/>
        </w:rPr>
        <w:t>, this report argues that although IGA's decentralized approach presents structural problems, it also allows for agile, store-level innovations in waste management. By using digital tools, establishing common CE standards, and equipping store managers with relevant training and resources, IGA can be brought into alignment with national food waste reduction objectives, and in doing so improve the profits, brand</w:t>
      </w:r>
      <w:r>
        <w:rPr>
          <w:rFonts w:ascii="Times New Roman" w:hAnsi="Times New Roman" w:cs="Times New Roman"/>
        </w:rPr>
        <w:t>,</w:t>
      </w:r>
      <w:r w:rsidRPr="00EE0CFC">
        <w:rPr>
          <w:rFonts w:ascii="Times New Roman" w:hAnsi="Times New Roman" w:cs="Times New Roman"/>
        </w:rPr>
        <w:t xml:space="preserve"> and eco-credentials of its franchisees.</w:t>
      </w:r>
    </w:p>
    <w:p w14:paraId="52167CB7" w14:textId="47CDB6B5" w:rsidR="00B10B2A" w:rsidRPr="00EA4FC3" w:rsidRDefault="00550BD5" w:rsidP="00B10B2A">
      <w:pPr>
        <w:jc w:val="both"/>
        <w:rPr>
          <w:rFonts w:ascii="Times New Roman" w:hAnsi="Times New Roman" w:cs="Times New Roman"/>
          <w:b/>
          <w:bCs/>
          <w:u w:val="single"/>
        </w:rPr>
      </w:pPr>
      <w:r w:rsidRPr="00EA4FC3">
        <w:rPr>
          <w:rFonts w:ascii="Times New Roman" w:hAnsi="Times New Roman" w:cs="Times New Roman"/>
          <w:b/>
          <w:bCs/>
          <w:u w:val="single"/>
        </w:rPr>
        <w:t>References:</w:t>
      </w:r>
    </w:p>
    <w:p w14:paraId="792C4696"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Anderson, L., Grudnoff, M., Hawking, T., &amp; Campbell, R. (2023). </w:t>
      </w:r>
      <w:r w:rsidRPr="00D05280">
        <w:rPr>
          <w:rFonts w:ascii="Times New Roman" w:hAnsi="Times New Roman" w:cs="Times New Roman"/>
          <w:i/>
          <w:iCs/>
        </w:rPr>
        <w:t>Food waste in Australia: And how supermarkets profit from it</w:t>
      </w:r>
      <w:r w:rsidRPr="00D05280">
        <w:rPr>
          <w:rFonts w:ascii="Times New Roman" w:hAnsi="Times New Roman" w:cs="Times New Roman"/>
        </w:rPr>
        <w:t xml:space="preserve">. The Australia Institute. </w:t>
      </w:r>
      <w:hyperlink r:id="rId17" w:tgtFrame="_new" w:history="1">
        <w:r w:rsidRPr="00D05280">
          <w:rPr>
            <w:rStyle w:val="Hyperlink"/>
            <w:rFonts w:ascii="Times New Roman" w:hAnsi="Times New Roman" w:cs="Times New Roman"/>
          </w:rPr>
          <w:t>https://australiainstitute.org.au</w:t>
        </w:r>
      </w:hyperlink>
    </w:p>
    <w:p w14:paraId="329CD07E"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Australian Bureau of Statistics. (2023). </w:t>
      </w:r>
      <w:r w:rsidRPr="00D05280">
        <w:rPr>
          <w:rFonts w:ascii="Times New Roman" w:hAnsi="Times New Roman" w:cs="Times New Roman"/>
          <w:i/>
          <w:iCs/>
        </w:rPr>
        <w:t>Food waste in Australia: Key statistics and environmental impact</w:t>
      </w:r>
      <w:r w:rsidRPr="00D05280">
        <w:rPr>
          <w:rFonts w:ascii="Times New Roman" w:hAnsi="Times New Roman" w:cs="Times New Roman"/>
        </w:rPr>
        <w:t xml:space="preserve">. </w:t>
      </w:r>
      <w:hyperlink r:id="rId18" w:tgtFrame="_new" w:history="1">
        <w:r w:rsidRPr="00D05280">
          <w:rPr>
            <w:rStyle w:val="Hyperlink"/>
            <w:rFonts w:ascii="Times New Roman" w:hAnsi="Times New Roman" w:cs="Times New Roman"/>
          </w:rPr>
          <w:t>https://www.abs.gov.au/statistics/environment/environmental-management/food-waste-australia</w:t>
        </w:r>
      </w:hyperlink>
    </w:p>
    <w:p w14:paraId="44F7501C"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Coles Group. (2024). </w:t>
      </w:r>
      <w:r w:rsidRPr="00D05280">
        <w:rPr>
          <w:rFonts w:ascii="Times New Roman" w:hAnsi="Times New Roman" w:cs="Times New Roman"/>
          <w:i/>
          <w:iCs/>
        </w:rPr>
        <w:t>2024 Sustainability report: Together to zero and better together</w:t>
      </w:r>
      <w:r w:rsidRPr="00D05280">
        <w:rPr>
          <w:rFonts w:ascii="Times New Roman" w:hAnsi="Times New Roman" w:cs="Times New Roman"/>
        </w:rPr>
        <w:t xml:space="preserve">. </w:t>
      </w:r>
      <w:hyperlink r:id="rId19" w:tgtFrame="_new" w:history="1">
        <w:r w:rsidRPr="00D05280">
          <w:rPr>
            <w:rStyle w:val="Hyperlink"/>
            <w:rFonts w:ascii="Times New Roman" w:hAnsi="Times New Roman" w:cs="Times New Roman"/>
          </w:rPr>
          <w:t>https://www.colesgroup.com.au/sustainability</w:t>
        </w:r>
      </w:hyperlink>
    </w:p>
    <w:p w14:paraId="5EC90FF2"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Commonwealth Scientific and Industrial Research Organisation (CSIRO). (2023). </w:t>
      </w:r>
      <w:r w:rsidRPr="00D05280">
        <w:rPr>
          <w:rFonts w:ascii="Times New Roman" w:hAnsi="Times New Roman" w:cs="Times New Roman"/>
          <w:i/>
          <w:iCs/>
        </w:rPr>
        <w:t>Circular economy roadmap for reducing food waste in Australia</w:t>
      </w:r>
      <w:r w:rsidRPr="00D05280">
        <w:rPr>
          <w:rFonts w:ascii="Times New Roman" w:hAnsi="Times New Roman" w:cs="Times New Roman"/>
        </w:rPr>
        <w:t xml:space="preserve">. </w:t>
      </w:r>
      <w:hyperlink r:id="rId20" w:tgtFrame="_new" w:history="1">
        <w:r w:rsidRPr="00D05280">
          <w:rPr>
            <w:rStyle w:val="Hyperlink"/>
            <w:rFonts w:ascii="Times New Roman" w:hAnsi="Times New Roman" w:cs="Times New Roman"/>
          </w:rPr>
          <w:t>https://www.csiro.au/en/work-with-us/industries/food-and-agriculture/food-waste</w:t>
        </w:r>
      </w:hyperlink>
    </w:p>
    <w:p w14:paraId="6275A595"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DAWE. (2021). </w:t>
      </w:r>
      <w:r w:rsidRPr="00D05280">
        <w:rPr>
          <w:rFonts w:ascii="Times New Roman" w:hAnsi="Times New Roman" w:cs="Times New Roman"/>
          <w:i/>
          <w:iCs/>
        </w:rPr>
        <w:t>National food waste strategy</w:t>
      </w:r>
      <w:r w:rsidRPr="00D05280">
        <w:rPr>
          <w:rFonts w:ascii="Times New Roman" w:hAnsi="Times New Roman" w:cs="Times New Roman"/>
        </w:rPr>
        <w:t xml:space="preserve">. Department of Agriculture, Water and the Environment. </w:t>
      </w:r>
      <w:hyperlink r:id="rId21" w:tgtFrame="_new" w:history="1">
        <w:r w:rsidRPr="00D05280">
          <w:rPr>
            <w:rStyle w:val="Hyperlink"/>
            <w:rFonts w:ascii="Times New Roman" w:hAnsi="Times New Roman" w:cs="Times New Roman"/>
          </w:rPr>
          <w:t>https://www.dcceew.gov.au</w:t>
        </w:r>
      </w:hyperlink>
    </w:p>
    <w:p w14:paraId="565E29D5"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Devin, B., &amp; Richards, C. (2018). Food waste, power, and corporate social responsibility in the Australian food supply chain. </w:t>
      </w:r>
      <w:r w:rsidRPr="00D05280">
        <w:rPr>
          <w:rFonts w:ascii="Times New Roman" w:hAnsi="Times New Roman" w:cs="Times New Roman"/>
          <w:i/>
          <w:iCs/>
        </w:rPr>
        <w:t>Journal of Business Ethics, 150</w:t>
      </w:r>
      <w:r w:rsidRPr="00D05280">
        <w:rPr>
          <w:rFonts w:ascii="Times New Roman" w:hAnsi="Times New Roman" w:cs="Times New Roman"/>
        </w:rPr>
        <w:t>(1), 199–210.</w:t>
      </w:r>
    </w:p>
    <w:p w14:paraId="7577AF03"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Ellen MacArthur Foundation. (2022). </w:t>
      </w:r>
      <w:r w:rsidRPr="00D05280">
        <w:rPr>
          <w:rFonts w:ascii="Times New Roman" w:hAnsi="Times New Roman" w:cs="Times New Roman"/>
          <w:i/>
          <w:iCs/>
        </w:rPr>
        <w:t>What is the circular economy?</w:t>
      </w:r>
      <w:r w:rsidRPr="00D05280">
        <w:rPr>
          <w:rFonts w:ascii="Times New Roman" w:hAnsi="Times New Roman" w:cs="Times New Roman"/>
        </w:rPr>
        <w:t xml:space="preserve"> </w:t>
      </w:r>
      <w:hyperlink r:id="rId22" w:tgtFrame="_new" w:history="1">
        <w:r w:rsidRPr="00D05280">
          <w:rPr>
            <w:rStyle w:val="Hyperlink"/>
            <w:rFonts w:ascii="Times New Roman" w:hAnsi="Times New Roman" w:cs="Times New Roman"/>
          </w:rPr>
          <w:t>https://ellenmacarthurfoundation.org</w:t>
        </w:r>
      </w:hyperlink>
    </w:p>
    <w:p w14:paraId="0B81EFBE"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Eriksson, M., Strid, I., &amp; Hansson, P. (2012). Waste of organic and conventional meat and dairy products in retail. </w:t>
      </w:r>
      <w:r w:rsidRPr="00D05280">
        <w:rPr>
          <w:rFonts w:ascii="Times New Roman" w:hAnsi="Times New Roman" w:cs="Times New Roman"/>
          <w:i/>
          <w:iCs/>
        </w:rPr>
        <w:t>Resources, Conservation &amp; Recycling, 66</w:t>
      </w:r>
      <w:r w:rsidRPr="00D05280">
        <w:rPr>
          <w:rFonts w:ascii="Times New Roman" w:hAnsi="Times New Roman" w:cs="Times New Roman"/>
        </w:rPr>
        <w:t>, 14–20.</w:t>
      </w:r>
    </w:p>
    <w:p w14:paraId="12D703FF"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Garrone, P., Melacini, M., Perego, A., &amp; Sert, S. (2023). Food waste in the retail sector: A systematic review of drivers, practices, and outcomes. </w:t>
      </w:r>
      <w:r w:rsidRPr="00D05280">
        <w:rPr>
          <w:rFonts w:ascii="Times New Roman" w:hAnsi="Times New Roman" w:cs="Times New Roman"/>
          <w:i/>
          <w:iCs/>
        </w:rPr>
        <w:t>Journal of Cleaner Production, 406</w:t>
      </w:r>
      <w:r w:rsidRPr="00D05280">
        <w:rPr>
          <w:rFonts w:ascii="Times New Roman" w:hAnsi="Times New Roman" w:cs="Times New Roman"/>
        </w:rPr>
        <w:t xml:space="preserve">, 137016. </w:t>
      </w:r>
      <w:hyperlink r:id="rId23" w:tgtFrame="_new" w:history="1">
        <w:r w:rsidRPr="00D05280">
          <w:rPr>
            <w:rStyle w:val="Hyperlink"/>
            <w:rFonts w:ascii="Times New Roman" w:hAnsi="Times New Roman" w:cs="Times New Roman"/>
          </w:rPr>
          <w:t>https://doi.org/10.1016/j.jclepro.2023.137016</w:t>
        </w:r>
      </w:hyperlink>
    </w:p>
    <w:p w14:paraId="5DC11B69"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Granot, D., &amp; Sošić, G. (2003). A three-stage model for a decentralized distribution system of retailers. </w:t>
      </w:r>
      <w:r w:rsidRPr="00D05280">
        <w:rPr>
          <w:rFonts w:ascii="Times New Roman" w:hAnsi="Times New Roman" w:cs="Times New Roman"/>
          <w:i/>
          <w:iCs/>
        </w:rPr>
        <w:t>Operations Research, 51</w:t>
      </w:r>
      <w:r w:rsidRPr="00D05280">
        <w:rPr>
          <w:rFonts w:ascii="Times New Roman" w:hAnsi="Times New Roman" w:cs="Times New Roman"/>
        </w:rPr>
        <w:t>(5), 771–784.</w:t>
      </w:r>
    </w:p>
    <w:p w14:paraId="544579D0"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Kusumowardani, N., Tjahjono, B., Lazell, J., Bek, D., Theodorakopoulos, N., Andrikopoulos, P., &amp; Priadi, C. R. (2022). A circular capability framework to address food waste and losses in the agri-food supply chain: The antecedents, principles and outcomes of circular economy. </w:t>
      </w:r>
      <w:r w:rsidRPr="00D05280">
        <w:rPr>
          <w:rFonts w:ascii="Times New Roman" w:hAnsi="Times New Roman" w:cs="Times New Roman"/>
          <w:i/>
          <w:iCs/>
        </w:rPr>
        <w:t>Journal of Business Research, 142</w:t>
      </w:r>
      <w:r w:rsidRPr="00D05280">
        <w:rPr>
          <w:rFonts w:ascii="Times New Roman" w:hAnsi="Times New Roman" w:cs="Times New Roman"/>
        </w:rPr>
        <w:t>, 17–31.</w:t>
      </w:r>
    </w:p>
    <w:p w14:paraId="085F0545"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lastRenderedPageBreak/>
        <w:t xml:space="preserve">Lebersorger, S., &amp; Schneider, F. (2014). Food waste in the food supply chain. </w:t>
      </w:r>
      <w:r w:rsidRPr="00D05280">
        <w:rPr>
          <w:rFonts w:ascii="Times New Roman" w:hAnsi="Times New Roman" w:cs="Times New Roman"/>
          <w:i/>
          <w:iCs/>
        </w:rPr>
        <w:t>Waste Management, 34</w:t>
      </w:r>
      <w:r w:rsidRPr="00D05280">
        <w:rPr>
          <w:rFonts w:ascii="Times New Roman" w:hAnsi="Times New Roman" w:cs="Times New Roman"/>
        </w:rPr>
        <w:t>(3), 631–638.</w:t>
      </w:r>
    </w:p>
    <w:p w14:paraId="4059E056"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Lehtokunnas, T. (2023). The circular economy futures in the making. </w:t>
      </w:r>
      <w:r w:rsidRPr="00D05280">
        <w:rPr>
          <w:rFonts w:ascii="Times New Roman" w:hAnsi="Times New Roman" w:cs="Times New Roman"/>
          <w:i/>
          <w:iCs/>
        </w:rPr>
        <w:t>Futures, 153</w:t>
      </w:r>
      <w:r w:rsidRPr="00D05280">
        <w:rPr>
          <w:rFonts w:ascii="Times New Roman" w:hAnsi="Times New Roman" w:cs="Times New Roman"/>
        </w:rPr>
        <w:t xml:space="preserve">, 103241. </w:t>
      </w:r>
      <w:hyperlink r:id="rId24" w:tgtFrame="_new" w:history="1">
        <w:r w:rsidRPr="00D05280">
          <w:rPr>
            <w:rStyle w:val="Hyperlink"/>
            <w:rFonts w:ascii="Times New Roman" w:hAnsi="Times New Roman" w:cs="Times New Roman"/>
          </w:rPr>
          <w:t>https://doi.org/10.1016/j.futures.2023.103241</w:t>
        </w:r>
      </w:hyperlink>
    </w:p>
    <w:p w14:paraId="53002CE4"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Martin, J., &amp; Yates, M. (2022). Retail food waste and the circular economy: Insights from the Australian grocery sector.</w:t>
      </w:r>
    </w:p>
    <w:p w14:paraId="48C70503"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Metcash. (2024). </w:t>
      </w:r>
      <w:r w:rsidRPr="00D05280">
        <w:rPr>
          <w:rFonts w:ascii="Times New Roman" w:hAnsi="Times New Roman" w:cs="Times New Roman"/>
          <w:i/>
          <w:iCs/>
        </w:rPr>
        <w:t>Sustainability report 2024</w:t>
      </w:r>
      <w:r w:rsidRPr="00D05280">
        <w:rPr>
          <w:rFonts w:ascii="Times New Roman" w:hAnsi="Times New Roman" w:cs="Times New Roman"/>
        </w:rPr>
        <w:t xml:space="preserve">. </w:t>
      </w:r>
      <w:hyperlink r:id="rId25" w:tgtFrame="_new" w:history="1">
        <w:r w:rsidRPr="00D05280">
          <w:rPr>
            <w:rStyle w:val="Hyperlink"/>
            <w:rFonts w:ascii="Times New Roman" w:hAnsi="Times New Roman" w:cs="Times New Roman"/>
          </w:rPr>
          <w:t>https://www.metcash.com/sustainability</w:t>
        </w:r>
      </w:hyperlink>
    </w:p>
    <w:p w14:paraId="16182A4B"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Nguyen, L., &amp; Foster, R. (2021). </w:t>
      </w:r>
      <w:r w:rsidRPr="00D05280">
        <w:rPr>
          <w:rFonts w:ascii="Times New Roman" w:hAnsi="Times New Roman" w:cs="Times New Roman"/>
          <w:i/>
          <w:iCs/>
        </w:rPr>
        <w:t>Implementing circular food systems: Barriers and enablers in retail</w:t>
      </w:r>
      <w:r w:rsidRPr="00D05280">
        <w:rPr>
          <w:rFonts w:ascii="Times New Roman" w:hAnsi="Times New Roman" w:cs="Times New Roman"/>
        </w:rPr>
        <w:t>.</w:t>
      </w:r>
    </w:p>
    <w:p w14:paraId="381B4FCB"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Papargyropoulou, E., Lozano, R., Steinberger, J. K., Wright, N., &amp; Ujang, Z. (2014). The food waste hierarchy as a framework for the management of food surplus and food waste. </w:t>
      </w:r>
      <w:r w:rsidRPr="00D05280">
        <w:rPr>
          <w:rFonts w:ascii="Times New Roman" w:hAnsi="Times New Roman" w:cs="Times New Roman"/>
          <w:i/>
          <w:iCs/>
        </w:rPr>
        <w:t>Journal of Cleaner Production, 76</w:t>
      </w:r>
      <w:r w:rsidRPr="00D05280">
        <w:rPr>
          <w:rFonts w:ascii="Times New Roman" w:hAnsi="Times New Roman" w:cs="Times New Roman"/>
        </w:rPr>
        <w:t>, 106–115.</w:t>
      </w:r>
    </w:p>
    <w:p w14:paraId="0AD102B4"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Somlai, R. (2023). Insights into business strategies for reducing food waste in the Australian food industry. </w:t>
      </w:r>
      <w:r w:rsidRPr="00D05280">
        <w:rPr>
          <w:rFonts w:ascii="Times New Roman" w:hAnsi="Times New Roman" w:cs="Times New Roman"/>
          <w:i/>
          <w:iCs/>
        </w:rPr>
        <w:t>Business Strategy and the Environment, 32</w:t>
      </w:r>
      <w:r w:rsidRPr="00D05280">
        <w:rPr>
          <w:rFonts w:ascii="Times New Roman" w:hAnsi="Times New Roman" w:cs="Times New Roman"/>
        </w:rPr>
        <w:t>(6), 3151–3164.</w:t>
      </w:r>
    </w:p>
    <w:p w14:paraId="0F6172B5"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Sundin, N., Osowski, C. P., Strid, I., &amp; Eriksson, M. (2022). Surplus food donation and the rebound effect. </w:t>
      </w:r>
      <w:r w:rsidRPr="00D05280">
        <w:rPr>
          <w:rFonts w:ascii="Times New Roman" w:hAnsi="Times New Roman" w:cs="Times New Roman"/>
          <w:i/>
          <w:iCs/>
        </w:rPr>
        <w:t>Resources, Conservation &amp; Recycling, 183</w:t>
      </w:r>
      <w:r w:rsidRPr="00D05280">
        <w:rPr>
          <w:rFonts w:ascii="Times New Roman" w:hAnsi="Times New Roman" w:cs="Times New Roman"/>
        </w:rPr>
        <w:t>, 106355.</w:t>
      </w:r>
    </w:p>
    <w:p w14:paraId="287A4FE3"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Tamasiga, P., Miri, T., Onyeaka, H., &amp; Hart, A. (2022). Food waste and circular economy: Challenges and opportunities. </w:t>
      </w:r>
      <w:r w:rsidRPr="00D05280">
        <w:rPr>
          <w:rFonts w:ascii="Times New Roman" w:hAnsi="Times New Roman" w:cs="Times New Roman"/>
          <w:i/>
          <w:iCs/>
        </w:rPr>
        <w:t>Sustainability, 14</w:t>
      </w:r>
      <w:r w:rsidRPr="00D05280">
        <w:rPr>
          <w:rFonts w:ascii="Times New Roman" w:hAnsi="Times New Roman" w:cs="Times New Roman"/>
        </w:rPr>
        <w:t>(8), 4795.</w:t>
      </w:r>
    </w:p>
    <w:p w14:paraId="775791E6"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Woolworths Group. (2024). </w:t>
      </w:r>
      <w:r w:rsidRPr="00D05280">
        <w:rPr>
          <w:rFonts w:ascii="Times New Roman" w:hAnsi="Times New Roman" w:cs="Times New Roman"/>
          <w:i/>
          <w:iCs/>
        </w:rPr>
        <w:t>Sustainability report 2024: Creating better together</w:t>
      </w:r>
      <w:r w:rsidRPr="00D05280">
        <w:rPr>
          <w:rFonts w:ascii="Times New Roman" w:hAnsi="Times New Roman" w:cs="Times New Roman"/>
        </w:rPr>
        <w:t xml:space="preserve">. </w:t>
      </w:r>
      <w:hyperlink r:id="rId26" w:tgtFrame="_new" w:history="1">
        <w:r w:rsidRPr="00D05280">
          <w:rPr>
            <w:rStyle w:val="Hyperlink"/>
            <w:rFonts w:ascii="Times New Roman" w:hAnsi="Times New Roman" w:cs="Times New Roman"/>
          </w:rPr>
          <w:t>https://www.woolworthsgroup.com.au/page/community-and-responsibility/group-sustainability</w:t>
        </w:r>
      </w:hyperlink>
    </w:p>
    <w:p w14:paraId="75852DF8" w14:textId="77777777" w:rsidR="00D05280" w:rsidRPr="00D05280" w:rsidRDefault="00D05280" w:rsidP="00D05280">
      <w:pPr>
        <w:pStyle w:val="ListParagraph"/>
        <w:numPr>
          <w:ilvl w:val="0"/>
          <w:numId w:val="21"/>
        </w:numPr>
        <w:jc w:val="both"/>
        <w:rPr>
          <w:rFonts w:ascii="Times New Roman" w:hAnsi="Times New Roman" w:cs="Times New Roman"/>
        </w:rPr>
      </w:pPr>
      <w:r w:rsidRPr="00D05280">
        <w:rPr>
          <w:rFonts w:ascii="Times New Roman" w:hAnsi="Times New Roman" w:cs="Times New Roman"/>
        </w:rPr>
        <w:t xml:space="preserve">WRAP. (2023). </w:t>
      </w:r>
      <w:r w:rsidRPr="00D05280">
        <w:rPr>
          <w:rFonts w:ascii="Times New Roman" w:hAnsi="Times New Roman" w:cs="Times New Roman"/>
          <w:i/>
          <w:iCs/>
        </w:rPr>
        <w:t>Tesco case study: Reducing food waste in operations</w:t>
      </w:r>
      <w:r w:rsidRPr="00D05280">
        <w:rPr>
          <w:rFonts w:ascii="Times New Roman" w:hAnsi="Times New Roman" w:cs="Times New Roman"/>
        </w:rPr>
        <w:t xml:space="preserve">. </w:t>
      </w:r>
      <w:hyperlink r:id="rId27" w:tgtFrame="_new" w:history="1">
        <w:r w:rsidRPr="00D05280">
          <w:rPr>
            <w:rStyle w:val="Hyperlink"/>
            <w:rFonts w:ascii="Times New Roman" w:hAnsi="Times New Roman" w:cs="Times New Roman"/>
          </w:rPr>
          <w:t>https://wrap.org.uk/resources/case-studies/tesco-food-waste</w:t>
        </w:r>
      </w:hyperlink>
    </w:p>
    <w:p w14:paraId="3AFF2AE1" w14:textId="77777777" w:rsidR="005A0E1D" w:rsidRPr="00D05280" w:rsidRDefault="005A0E1D" w:rsidP="00D05280">
      <w:pPr>
        <w:jc w:val="both"/>
        <w:rPr>
          <w:rFonts w:ascii="Times New Roman" w:hAnsi="Times New Roman" w:cs="Times New Roman"/>
        </w:rPr>
      </w:pPr>
    </w:p>
    <w:p w14:paraId="71CE9065" w14:textId="77777777" w:rsidR="00550BD5" w:rsidRPr="00EA4FC3" w:rsidRDefault="00550BD5" w:rsidP="00B10B2A">
      <w:pPr>
        <w:jc w:val="both"/>
        <w:rPr>
          <w:rFonts w:ascii="Times New Roman" w:hAnsi="Times New Roman" w:cs="Times New Roman"/>
        </w:rPr>
      </w:pPr>
    </w:p>
    <w:p w14:paraId="075FC24A" w14:textId="77777777" w:rsidR="00B10B2A" w:rsidRDefault="00B10B2A" w:rsidP="00B10B2A">
      <w:pPr>
        <w:jc w:val="both"/>
        <w:rPr>
          <w:rFonts w:ascii="Times New Roman" w:hAnsi="Times New Roman" w:cs="Times New Roman"/>
        </w:rPr>
      </w:pPr>
    </w:p>
    <w:p w14:paraId="3033FD66" w14:textId="77777777" w:rsidR="009E21FA" w:rsidRDefault="009E21FA" w:rsidP="00B10B2A">
      <w:pPr>
        <w:jc w:val="both"/>
        <w:rPr>
          <w:rFonts w:ascii="Times New Roman" w:hAnsi="Times New Roman" w:cs="Times New Roman"/>
        </w:rPr>
      </w:pPr>
    </w:p>
    <w:p w14:paraId="1E0E4D60" w14:textId="77777777" w:rsidR="009E21FA" w:rsidRDefault="009E21FA" w:rsidP="00B10B2A">
      <w:pPr>
        <w:jc w:val="both"/>
        <w:rPr>
          <w:rFonts w:ascii="Times New Roman" w:hAnsi="Times New Roman" w:cs="Times New Roman"/>
        </w:rPr>
      </w:pPr>
    </w:p>
    <w:p w14:paraId="17707D08" w14:textId="77777777" w:rsidR="009E21FA" w:rsidRDefault="009E21FA" w:rsidP="00B10B2A">
      <w:pPr>
        <w:jc w:val="both"/>
        <w:rPr>
          <w:rFonts w:ascii="Times New Roman" w:hAnsi="Times New Roman" w:cs="Times New Roman"/>
        </w:rPr>
      </w:pPr>
    </w:p>
    <w:p w14:paraId="34C4E156" w14:textId="77777777" w:rsidR="009E21FA" w:rsidRDefault="009E21FA" w:rsidP="00B10B2A">
      <w:pPr>
        <w:jc w:val="both"/>
        <w:rPr>
          <w:rFonts w:ascii="Times New Roman" w:hAnsi="Times New Roman" w:cs="Times New Roman"/>
        </w:rPr>
      </w:pPr>
    </w:p>
    <w:p w14:paraId="6C3AB408" w14:textId="77777777" w:rsidR="009E21FA" w:rsidRDefault="009E21FA" w:rsidP="00B10B2A">
      <w:pPr>
        <w:jc w:val="both"/>
        <w:rPr>
          <w:rFonts w:ascii="Times New Roman" w:hAnsi="Times New Roman" w:cs="Times New Roman"/>
        </w:rPr>
      </w:pPr>
    </w:p>
    <w:p w14:paraId="273A131F" w14:textId="77777777" w:rsidR="009E21FA" w:rsidRDefault="009E21FA" w:rsidP="00B10B2A">
      <w:pPr>
        <w:jc w:val="both"/>
        <w:rPr>
          <w:rFonts w:ascii="Times New Roman" w:hAnsi="Times New Roman" w:cs="Times New Roman"/>
        </w:rPr>
      </w:pPr>
    </w:p>
    <w:p w14:paraId="5D5CA4E0" w14:textId="77777777" w:rsidR="009E21FA" w:rsidRDefault="009E21FA" w:rsidP="00B10B2A">
      <w:pPr>
        <w:jc w:val="both"/>
        <w:rPr>
          <w:rFonts w:ascii="Times New Roman" w:hAnsi="Times New Roman" w:cs="Times New Roman"/>
        </w:rPr>
      </w:pPr>
    </w:p>
    <w:p w14:paraId="6D59F603" w14:textId="77777777" w:rsidR="009E21FA" w:rsidRPr="00EA4FC3" w:rsidRDefault="009E21FA" w:rsidP="00B10B2A">
      <w:pPr>
        <w:jc w:val="both"/>
        <w:rPr>
          <w:rFonts w:ascii="Times New Roman" w:hAnsi="Times New Roman" w:cs="Times New Roman"/>
        </w:rPr>
      </w:pPr>
    </w:p>
    <w:p w14:paraId="11E2C7BD" w14:textId="0A55FA6B" w:rsidR="00513523" w:rsidRPr="00EA4FC3" w:rsidRDefault="00513523" w:rsidP="00513523">
      <w:pPr>
        <w:jc w:val="both"/>
        <w:rPr>
          <w:rFonts w:ascii="Times New Roman" w:hAnsi="Times New Roman" w:cs="Times New Roman"/>
        </w:rPr>
      </w:pPr>
      <w:r w:rsidRPr="00EA4FC3">
        <w:rPr>
          <w:rFonts w:ascii="Times New Roman" w:hAnsi="Times New Roman" w:cs="Times New Roman"/>
        </w:rPr>
        <w:lastRenderedPageBreak/>
        <w:t>Appendix:</w:t>
      </w:r>
      <w:r w:rsidR="009B5C99" w:rsidRPr="00EA4FC3">
        <w:rPr>
          <w:rFonts w:ascii="Times New Roman" w:hAnsi="Times New Roman" w:cs="Times New Roman"/>
        </w:rPr>
        <w:t>1</w:t>
      </w:r>
    </w:p>
    <w:p w14:paraId="5BA3497A" w14:textId="6CE574F8" w:rsidR="00EE0570" w:rsidRPr="00EA4FC3" w:rsidRDefault="00EE0570" w:rsidP="00513523">
      <w:pPr>
        <w:jc w:val="both"/>
        <w:rPr>
          <w:rFonts w:ascii="Times New Roman" w:hAnsi="Times New Roman" w:cs="Times New Roman"/>
          <w:b/>
          <w:bCs/>
        </w:rPr>
      </w:pPr>
      <w:r w:rsidRPr="00EA4FC3">
        <w:rPr>
          <w:rFonts w:ascii="Times New Roman" w:hAnsi="Times New Roman" w:cs="Times New Roman"/>
          <w:b/>
          <w:bCs/>
        </w:rPr>
        <w:t>IGA sales report:</w:t>
      </w:r>
    </w:p>
    <w:p w14:paraId="6892838E" w14:textId="51527F71" w:rsidR="00513523" w:rsidRPr="00EA4FC3" w:rsidRDefault="00513523" w:rsidP="00513523">
      <w:pPr>
        <w:jc w:val="both"/>
        <w:rPr>
          <w:rFonts w:ascii="Times New Roman" w:hAnsi="Times New Roman" w:cs="Times New Roman"/>
        </w:rPr>
      </w:pPr>
      <w:r w:rsidRPr="00EA4FC3">
        <w:rPr>
          <w:rFonts w:ascii="Times New Roman" w:hAnsi="Times New Roman" w:cs="Times New Roman"/>
          <w:noProof/>
        </w:rPr>
        <w:drawing>
          <wp:inline distT="0" distB="0" distL="0" distR="0" wp14:anchorId="64EFFEEB" wp14:editId="52F4F8BE">
            <wp:extent cx="5943600" cy="3333750"/>
            <wp:effectExtent l="0" t="0" r="0" b="0"/>
            <wp:docPr id="1834203352"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3352" name="Picture 1" descr="A close-up of a paper&#10;&#10;AI-generated content may be incorrect."/>
                    <pic:cNvPicPr/>
                  </pic:nvPicPr>
                  <pic:blipFill>
                    <a:blip r:embed="rId28"/>
                    <a:stretch>
                      <a:fillRect/>
                    </a:stretch>
                  </pic:blipFill>
                  <pic:spPr>
                    <a:xfrm>
                      <a:off x="0" y="0"/>
                      <a:ext cx="5943600" cy="3333750"/>
                    </a:xfrm>
                    <a:prstGeom prst="rect">
                      <a:avLst/>
                    </a:prstGeom>
                  </pic:spPr>
                </pic:pic>
              </a:graphicData>
            </a:graphic>
          </wp:inline>
        </w:drawing>
      </w:r>
    </w:p>
    <w:p w14:paraId="475C91F2" w14:textId="357CC47C" w:rsidR="00513523" w:rsidRPr="00EA4FC3" w:rsidRDefault="00513523" w:rsidP="00513523">
      <w:pPr>
        <w:jc w:val="both"/>
        <w:rPr>
          <w:rFonts w:ascii="Times New Roman" w:hAnsi="Times New Roman" w:cs="Times New Roman"/>
        </w:rPr>
      </w:pPr>
      <w:r w:rsidRPr="00EA4FC3">
        <w:rPr>
          <w:rFonts w:ascii="Times New Roman" w:hAnsi="Times New Roman" w:cs="Times New Roman"/>
          <w:noProof/>
        </w:rPr>
        <w:drawing>
          <wp:inline distT="0" distB="0" distL="0" distR="0" wp14:anchorId="0E8A9926" wp14:editId="42671C9D">
            <wp:extent cx="5943600" cy="2637155"/>
            <wp:effectExtent l="0" t="0" r="0" b="0"/>
            <wp:docPr id="1514724329"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4329" name="Picture 1" descr="A close-up of a paper&#10;&#10;AI-generated content may be incorrect."/>
                    <pic:cNvPicPr/>
                  </pic:nvPicPr>
                  <pic:blipFill>
                    <a:blip r:embed="rId29"/>
                    <a:stretch>
                      <a:fillRect/>
                    </a:stretch>
                  </pic:blipFill>
                  <pic:spPr>
                    <a:xfrm>
                      <a:off x="0" y="0"/>
                      <a:ext cx="5943600" cy="2637155"/>
                    </a:xfrm>
                    <a:prstGeom prst="rect">
                      <a:avLst/>
                    </a:prstGeom>
                  </pic:spPr>
                </pic:pic>
              </a:graphicData>
            </a:graphic>
          </wp:inline>
        </w:drawing>
      </w:r>
    </w:p>
    <w:p w14:paraId="6FC20393" w14:textId="5863E1D8" w:rsidR="009B5C99" w:rsidRPr="00EA4FC3" w:rsidRDefault="009B5C99" w:rsidP="00513523">
      <w:pPr>
        <w:jc w:val="both"/>
        <w:rPr>
          <w:rFonts w:ascii="Times New Roman" w:hAnsi="Times New Roman" w:cs="Times New Roman"/>
        </w:rPr>
      </w:pPr>
      <w:r w:rsidRPr="00EA4FC3">
        <w:rPr>
          <w:rFonts w:ascii="Times New Roman" w:hAnsi="Times New Roman" w:cs="Times New Roman"/>
        </w:rPr>
        <w:t>2.</w:t>
      </w:r>
      <w:r w:rsidR="00EE0570" w:rsidRPr="00EA4FC3">
        <w:rPr>
          <w:rFonts w:ascii="Times New Roman" w:hAnsi="Times New Roman" w:cs="Times New Roman"/>
        </w:rPr>
        <w:t xml:space="preserve"> </w:t>
      </w:r>
      <w:r w:rsidR="00093CF8" w:rsidRPr="00EA4FC3">
        <w:rPr>
          <w:rFonts w:ascii="Times New Roman" w:hAnsi="Times New Roman" w:cs="Times New Roman"/>
          <w:b/>
          <w:bCs/>
        </w:rPr>
        <w:t>Sample data report for annual predicted report</w:t>
      </w:r>
    </w:p>
    <w:p w14:paraId="658227D5" w14:textId="494112F3" w:rsidR="00B61502" w:rsidRPr="00EA4FC3" w:rsidRDefault="009B5C99" w:rsidP="00513523">
      <w:pPr>
        <w:jc w:val="both"/>
        <w:rPr>
          <w:rFonts w:ascii="Times New Roman" w:hAnsi="Times New Roman" w:cs="Times New Roman"/>
        </w:rPr>
      </w:pPr>
      <w:r w:rsidRPr="00EA4FC3">
        <w:rPr>
          <w:rFonts w:ascii="Times New Roman" w:hAnsi="Times New Roman" w:cs="Times New Roman"/>
          <w:noProof/>
        </w:rPr>
        <w:lastRenderedPageBreak/>
        <w:drawing>
          <wp:inline distT="0" distB="0" distL="0" distR="0" wp14:anchorId="6080D7EE" wp14:editId="275A474D">
            <wp:extent cx="5943600" cy="2315210"/>
            <wp:effectExtent l="0" t="0" r="0" b="8890"/>
            <wp:docPr id="29175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257" name="Picture 1" descr="A screenshot of a computer&#10;&#10;AI-generated content may be incorrect."/>
                    <pic:cNvPicPr/>
                  </pic:nvPicPr>
                  <pic:blipFill>
                    <a:blip r:embed="rId30"/>
                    <a:stretch>
                      <a:fillRect/>
                    </a:stretch>
                  </pic:blipFill>
                  <pic:spPr>
                    <a:xfrm>
                      <a:off x="0" y="0"/>
                      <a:ext cx="5943600" cy="2315210"/>
                    </a:xfrm>
                    <a:prstGeom prst="rect">
                      <a:avLst/>
                    </a:prstGeom>
                  </pic:spPr>
                </pic:pic>
              </a:graphicData>
            </a:graphic>
          </wp:inline>
        </w:drawing>
      </w:r>
    </w:p>
    <w:p w14:paraId="62E81886" w14:textId="24E14EFE" w:rsidR="00FA3B77" w:rsidRPr="00EA4FC3" w:rsidRDefault="00093CF8" w:rsidP="00093CF8">
      <w:pPr>
        <w:jc w:val="both"/>
        <w:rPr>
          <w:rFonts w:ascii="Times New Roman" w:hAnsi="Times New Roman" w:cs="Times New Roman"/>
          <w:b/>
          <w:bCs/>
        </w:rPr>
      </w:pPr>
      <w:r w:rsidRPr="00EA4FC3">
        <w:rPr>
          <w:rFonts w:ascii="Times New Roman" w:hAnsi="Times New Roman" w:cs="Times New Roman"/>
          <w:b/>
          <w:bCs/>
        </w:rPr>
        <w:t>3.</w:t>
      </w:r>
      <w:r w:rsidR="00454600" w:rsidRPr="00EA4FC3">
        <w:rPr>
          <w:rFonts w:ascii="Times New Roman" w:hAnsi="Times New Roman" w:cs="Times New Roman"/>
          <w:b/>
          <w:bCs/>
        </w:rPr>
        <w:t xml:space="preserve"> Extracted data report from sustainability reports </w:t>
      </w:r>
    </w:p>
    <w:p w14:paraId="03221F8E" w14:textId="37DAF120" w:rsidR="00B61502" w:rsidRPr="00EA4FC3" w:rsidRDefault="00B61502" w:rsidP="00FA3B77">
      <w:pPr>
        <w:jc w:val="both"/>
        <w:rPr>
          <w:rFonts w:ascii="Times New Roman" w:hAnsi="Times New Roman" w:cs="Times New Roman"/>
        </w:rPr>
      </w:pPr>
      <w:r w:rsidRPr="00EA4FC3">
        <w:rPr>
          <w:rFonts w:ascii="Times New Roman" w:hAnsi="Times New Roman" w:cs="Times New Roman"/>
          <w:noProof/>
        </w:rPr>
        <w:drawing>
          <wp:inline distT="0" distB="0" distL="0" distR="0" wp14:anchorId="40E688E3" wp14:editId="5D00CD11">
            <wp:extent cx="5943600" cy="1390015"/>
            <wp:effectExtent l="0" t="0" r="0" b="635"/>
            <wp:docPr id="242498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8757" name="Picture 1" descr="A screenshot of a computer&#10;&#10;AI-generated content may be incorrect."/>
                    <pic:cNvPicPr/>
                  </pic:nvPicPr>
                  <pic:blipFill>
                    <a:blip r:embed="rId31"/>
                    <a:stretch>
                      <a:fillRect/>
                    </a:stretch>
                  </pic:blipFill>
                  <pic:spPr>
                    <a:xfrm>
                      <a:off x="0" y="0"/>
                      <a:ext cx="5943600" cy="1390015"/>
                    </a:xfrm>
                    <a:prstGeom prst="rect">
                      <a:avLst/>
                    </a:prstGeom>
                  </pic:spPr>
                </pic:pic>
              </a:graphicData>
            </a:graphic>
          </wp:inline>
        </w:drawing>
      </w:r>
    </w:p>
    <w:p w14:paraId="3829D4F1" w14:textId="77777777" w:rsidR="00466001" w:rsidRPr="00EA4FC3" w:rsidRDefault="00466001" w:rsidP="00FA3B77">
      <w:pPr>
        <w:jc w:val="both"/>
        <w:rPr>
          <w:rFonts w:ascii="Times New Roman" w:hAnsi="Times New Roman" w:cs="Times New Roman"/>
        </w:rPr>
      </w:pPr>
    </w:p>
    <w:p w14:paraId="08331E96" w14:textId="7D889786" w:rsidR="009B5C99" w:rsidRPr="00EA4FC3" w:rsidRDefault="0081102E" w:rsidP="00513523">
      <w:pPr>
        <w:jc w:val="both"/>
        <w:rPr>
          <w:rFonts w:ascii="Times New Roman" w:hAnsi="Times New Roman" w:cs="Times New Roman"/>
          <w:u w:val="single"/>
        </w:rPr>
      </w:pPr>
      <w:r w:rsidRPr="00EA4FC3">
        <w:rPr>
          <w:rFonts w:ascii="Times New Roman" w:hAnsi="Times New Roman" w:cs="Times New Roman"/>
          <w:u w:val="single"/>
        </w:rPr>
        <w:t>More tables and figures:</w:t>
      </w:r>
    </w:p>
    <w:p w14:paraId="70491E65" w14:textId="472CEFAE" w:rsidR="0081102E" w:rsidRPr="00EA4FC3" w:rsidRDefault="00C4026D" w:rsidP="00513523">
      <w:pPr>
        <w:jc w:val="both"/>
        <w:rPr>
          <w:rFonts w:ascii="Times New Roman" w:hAnsi="Times New Roman" w:cs="Times New Roman"/>
          <w:u w:val="single"/>
        </w:rPr>
      </w:pPr>
      <w:r w:rsidRPr="00EA4FC3">
        <w:rPr>
          <w:rFonts w:ascii="Times New Roman" w:hAnsi="Times New Roman" w:cs="Times New Roman"/>
          <w:noProof/>
        </w:rPr>
        <w:drawing>
          <wp:inline distT="0" distB="0" distL="0" distR="0" wp14:anchorId="14865943" wp14:editId="5ACC0356">
            <wp:extent cx="5943600" cy="2951018"/>
            <wp:effectExtent l="0" t="0" r="0" b="1905"/>
            <wp:docPr id="1041152016" name="Picture 2"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52016" name="Picture 2" descr="A graph of blue bar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44" cy="2952579"/>
                    </a:xfrm>
                    <a:prstGeom prst="rect">
                      <a:avLst/>
                    </a:prstGeom>
                    <a:noFill/>
                    <a:ln>
                      <a:noFill/>
                    </a:ln>
                  </pic:spPr>
                </pic:pic>
              </a:graphicData>
            </a:graphic>
          </wp:inline>
        </w:drawing>
      </w:r>
    </w:p>
    <w:p w14:paraId="41338149" w14:textId="77777777" w:rsidR="00C4026D" w:rsidRPr="00EA4FC3" w:rsidRDefault="00C4026D" w:rsidP="00513523">
      <w:pPr>
        <w:jc w:val="both"/>
        <w:rPr>
          <w:rFonts w:ascii="Times New Roman" w:hAnsi="Times New Roman" w:cs="Times New Roman"/>
          <w:u w:val="single"/>
        </w:rPr>
      </w:pPr>
    </w:p>
    <w:p w14:paraId="72C6F650" w14:textId="64DE0AC4" w:rsidR="00C4026D" w:rsidRPr="00EA4FC3" w:rsidRDefault="00027D83" w:rsidP="00513523">
      <w:pPr>
        <w:jc w:val="both"/>
        <w:rPr>
          <w:rFonts w:ascii="Times New Roman" w:hAnsi="Times New Roman" w:cs="Times New Roman"/>
          <w:u w:val="single"/>
        </w:rPr>
      </w:pPr>
      <w:r w:rsidRPr="00EA4FC3">
        <w:rPr>
          <w:rFonts w:ascii="Times New Roman" w:hAnsi="Times New Roman" w:cs="Times New Roman"/>
          <w:noProof/>
        </w:rPr>
        <w:lastRenderedPageBreak/>
        <w:drawing>
          <wp:inline distT="0" distB="0" distL="0" distR="0" wp14:anchorId="090C47CA" wp14:editId="3CEDC125">
            <wp:extent cx="5943600" cy="2743200"/>
            <wp:effectExtent l="0" t="0" r="0" b="0"/>
            <wp:docPr id="1861913775" name="Picture 3"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3775" name="Picture 3" descr="A graph with green ba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091" cy="2743888"/>
                    </a:xfrm>
                    <a:prstGeom prst="rect">
                      <a:avLst/>
                    </a:prstGeom>
                    <a:noFill/>
                    <a:ln>
                      <a:noFill/>
                    </a:ln>
                  </pic:spPr>
                </pic:pic>
              </a:graphicData>
            </a:graphic>
          </wp:inline>
        </w:drawing>
      </w:r>
    </w:p>
    <w:p w14:paraId="0A8043BA" w14:textId="198B4052" w:rsidR="00027D83" w:rsidRPr="00EA4FC3" w:rsidRDefault="00027D83" w:rsidP="00513523">
      <w:pPr>
        <w:jc w:val="both"/>
        <w:rPr>
          <w:rFonts w:ascii="Times New Roman" w:hAnsi="Times New Roman" w:cs="Times New Roman"/>
          <w:u w:val="single"/>
        </w:rPr>
      </w:pPr>
      <w:r w:rsidRPr="00EA4FC3">
        <w:rPr>
          <w:rFonts w:ascii="Times New Roman" w:hAnsi="Times New Roman" w:cs="Times New Roman"/>
          <w:noProof/>
        </w:rPr>
        <w:drawing>
          <wp:inline distT="0" distB="0" distL="0" distR="0" wp14:anchorId="2DFAF821" wp14:editId="647EC855">
            <wp:extent cx="5943600" cy="2842952"/>
            <wp:effectExtent l="0" t="0" r="0" b="0"/>
            <wp:docPr id="204477559" name="Picture 4" descr="A graph of orang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559" name="Picture 4" descr="A graph of orange bars with black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457" cy="2843362"/>
                    </a:xfrm>
                    <a:prstGeom prst="rect">
                      <a:avLst/>
                    </a:prstGeom>
                    <a:noFill/>
                    <a:ln>
                      <a:noFill/>
                    </a:ln>
                  </pic:spPr>
                </pic:pic>
              </a:graphicData>
            </a:graphic>
          </wp:inline>
        </w:drawing>
      </w:r>
    </w:p>
    <w:p w14:paraId="753BBEEB" w14:textId="6845135D" w:rsidR="00027D83" w:rsidRPr="00EA4FC3" w:rsidRDefault="00F463DE" w:rsidP="00513523">
      <w:pPr>
        <w:jc w:val="both"/>
        <w:rPr>
          <w:rFonts w:ascii="Times New Roman" w:hAnsi="Times New Roman" w:cs="Times New Roman"/>
          <w:u w:val="single"/>
        </w:rPr>
      </w:pPr>
      <w:r w:rsidRPr="00EA4FC3">
        <w:rPr>
          <w:rFonts w:ascii="Times New Roman" w:hAnsi="Times New Roman" w:cs="Times New Roman"/>
          <w:noProof/>
        </w:rPr>
        <w:drawing>
          <wp:inline distT="0" distB="0" distL="0" distR="0" wp14:anchorId="5AB06168" wp14:editId="413FED91">
            <wp:extent cx="5941698" cy="2352098"/>
            <wp:effectExtent l="0" t="0" r="1905" b="0"/>
            <wp:docPr id="1368640038" name="Picture 5" descr="A graph showing the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40038" name="Picture 5" descr="A graph showing the number of individual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9266" cy="2355094"/>
                    </a:xfrm>
                    <a:prstGeom prst="rect">
                      <a:avLst/>
                    </a:prstGeom>
                    <a:noFill/>
                    <a:ln>
                      <a:noFill/>
                    </a:ln>
                  </pic:spPr>
                </pic:pic>
              </a:graphicData>
            </a:graphic>
          </wp:inline>
        </w:drawing>
      </w:r>
    </w:p>
    <w:p w14:paraId="6D60509D" w14:textId="77777777" w:rsidR="00F463DE" w:rsidRPr="00EA4FC3" w:rsidRDefault="00F463DE" w:rsidP="00513523">
      <w:pPr>
        <w:jc w:val="both"/>
        <w:rPr>
          <w:rFonts w:ascii="Times New Roman" w:hAnsi="Times New Roman" w:cs="Times New Roman"/>
          <w:u w:val="single"/>
        </w:rPr>
      </w:pPr>
    </w:p>
    <w:sectPr w:rsidR="00F463DE" w:rsidRPr="00EA4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792F"/>
    <w:multiLevelType w:val="hybridMultilevel"/>
    <w:tmpl w:val="EDB275AA"/>
    <w:lvl w:ilvl="0" w:tplc="EEDC23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D4AE5"/>
    <w:multiLevelType w:val="multilevel"/>
    <w:tmpl w:val="00725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63138"/>
    <w:multiLevelType w:val="multilevel"/>
    <w:tmpl w:val="27761F7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0D97"/>
    <w:multiLevelType w:val="multilevel"/>
    <w:tmpl w:val="12D2754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C2425"/>
    <w:multiLevelType w:val="multilevel"/>
    <w:tmpl w:val="CBB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A056D"/>
    <w:multiLevelType w:val="hybridMultilevel"/>
    <w:tmpl w:val="71F8A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737DB"/>
    <w:multiLevelType w:val="hybridMultilevel"/>
    <w:tmpl w:val="37BA4B4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1A0F67EC"/>
    <w:multiLevelType w:val="multilevel"/>
    <w:tmpl w:val="17D4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17718"/>
    <w:multiLevelType w:val="hybridMultilevel"/>
    <w:tmpl w:val="50D44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A34D4"/>
    <w:multiLevelType w:val="hybridMultilevel"/>
    <w:tmpl w:val="80FE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53412D"/>
    <w:multiLevelType w:val="hybridMultilevel"/>
    <w:tmpl w:val="2B6AD24C"/>
    <w:lvl w:ilvl="0" w:tplc="9CB66B0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A1181"/>
    <w:multiLevelType w:val="multilevel"/>
    <w:tmpl w:val="6034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B7103"/>
    <w:multiLevelType w:val="hybridMultilevel"/>
    <w:tmpl w:val="B4C6A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815FB"/>
    <w:multiLevelType w:val="hybridMultilevel"/>
    <w:tmpl w:val="F766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43F5F"/>
    <w:multiLevelType w:val="multilevel"/>
    <w:tmpl w:val="A184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1F26D6"/>
    <w:multiLevelType w:val="multilevel"/>
    <w:tmpl w:val="13DC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54EEE"/>
    <w:multiLevelType w:val="hybridMultilevel"/>
    <w:tmpl w:val="9254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56543"/>
    <w:multiLevelType w:val="multilevel"/>
    <w:tmpl w:val="F87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577EE5"/>
    <w:multiLevelType w:val="hybridMultilevel"/>
    <w:tmpl w:val="E5663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F527AE"/>
    <w:multiLevelType w:val="multilevel"/>
    <w:tmpl w:val="EEDC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2E6ED5"/>
    <w:multiLevelType w:val="hybridMultilevel"/>
    <w:tmpl w:val="F94ED162"/>
    <w:lvl w:ilvl="0" w:tplc="9CB66B0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0385805">
    <w:abstractNumId w:val="7"/>
  </w:num>
  <w:num w:numId="2" w16cid:durableId="1616401582">
    <w:abstractNumId w:val="12"/>
  </w:num>
  <w:num w:numId="3" w16cid:durableId="2069763269">
    <w:abstractNumId w:val="15"/>
  </w:num>
  <w:num w:numId="4" w16cid:durableId="275525986">
    <w:abstractNumId w:val="5"/>
  </w:num>
  <w:num w:numId="5" w16cid:durableId="2063479589">
    <w:abstractNumId w:val="20"/>
  </w:num>
  <w:num w:numId="6" w16cid:durableId="1256787101">
    <w:abstractNumId w:val="10"/>
  </w:num>
  <w:num w:numId="7" w16cid:durableId="909195577">
    <w:abstractNumId w:val="0"/>
  </w:num>
  <w:num w:numId="8" w16cid:durableId="156269287">
    <w:abstractNumId w:val="2"/>
  </w:num>
  <w:num w:numId="9" w16cid:durableId="1070427053">
    <w:abstractNumId w:val="14"/>
  </w:num>
  <w:num w:numId="10" w16cid:durableId="1921593292">
    <w:abstractNumId w:val="17"/>
  </w:num>
  <w:num w:numId="11" w16cid:durableId="461533314">
    <w:abstractNumId w:val="19"/>
  </w:num>
  <w:num w:numId="12" w16cid:durableId="142623284">
    <w:abstractNumId w:val="4"/>
  </w:num>
  <w:num w:numId="13" w16cid:durableId="414328502">
    <w:abstractNumId w:val="11"/>
  </w:num>
  <w:num w:numId="14" w16cid:durableId="1566910765">
    <w:abstractNumId w:val="16"/>
  </w:num>
  <w:num w:numId="15" w16cid:durableId="1402753358">
    <w:abstractNumId w:val="18"/>
  </w:num>
  <w:num w:numId="16" w16cid:durableId="810512485">
    <w:abstractNumId w:val="9"/>
  </w:num>
  <w:num w:numId="17" w16cid:durableId="1201631724">
    <w:abstractNumId w:val="13"/>
  </w:num>
  <w:num w:numId="18" w16cid:durableId="1093816441">
    <w:abstractNumId w:val="3"/>
  </w:num>
  <w:num w:numId="19" w16cid:durableId="110780195">
    <w:abstractNumId w:val="6"/>
  </w:num>
  <w:num w:numId="20" w16cid:durableId="1806119809">
    <w:abstractNumId w:val="1"/>
  </w:num>
  <w:num w:numId="21" w16cid:durableId="2071997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FCD"/>
    <w:rsid w:val="00027D83"/>
    <w:rsid w:val="0003553D"/>
    <w:rsid w:val="00065895"/>
    <w:rsid w:val="000774E9"/>
    <w:rsid w:val="00082326"/>
    <w:rsid w:val="00093CF8"/>
    <w:rsid w:val="000B17BC"/>
    <w:rsid w:val="000F09B6"/>
    <w:rsid w:val="0010187F"/>
    <w:rsid w:val="00140DE7"/>
    <w:rsid w:val="00145B89"/>
    <w:rsid w:val="00153D07"/>
    <w:rsid w:val="001606CE"/>
    <w:rsid w:val="001741A6"/>
    <w:rsid w:val="001A1B1E"/>
    <w:rsid w:val="001A76E1"/>
    <w:rsid w:val="001E3307"/>
    <w:rsid w:val="001E7AA1"/>
    <w:rsid w:val="001F2670"/>
    <w:rsid w:val="001F5E24"/>
    <w:rsid w:val="00201585"/>
    <w:rsid w:val="00213CFC"/>
    <w:rsid w:val="00214675"/>
    <w:rsid w:val="0022209E"/>
    <w:rsid w:val="00227C08"/>
    <w:rsid w:val="002342FE"/>
    <w:rsid w:val="00251C63"/>
    <w:rsid w:val="00257E00"/>
    <w:rsid w:val="002B6F33"/>
    <w:rsid w:val="00310CF8"/>
    <w:rsid w:val="00317537"/>
    <w:rsid w:val="00341134"/>
    <w:rsid w:val="00352C74"/>
    <w:rsid w:val="003B0C18"/>
    <w:rsid w:val="00454600"/>
    <w:rsid w:val="00460FFD"/>
    <w:rsid w:val="00466001"/>
    <w:rsid w:val="004B3823"/>
    <w:rsid w:val="004B3F7A"/>
    <w:rsid w:val="004C1759"/>
    <w:rsid w:val="004D4DB8"/>
    <w:rsid w:val="004F29FD"/>
    <w:rsid w:val="005108F7"/>
    <w:rsid w:val="00513523"/>
    <w:rsid w:val="00524F17"/>
    <w:rsid w:val="00545ED0"/>
    <w:rsid w:val="00550BD5"/>
    <w:rsid w:val="005578CE"/>
    <w:rsid w:val="00581E22"/>
    <w:rsid w:val="0058576F"/>
    <w:rsid w:val="005A0E1D"/>
    <w:rsid w:val="005A3D34"/>
    <w:rsid w:val="005B43A5"/>
    <w:rsid w:val="005C40DE"/>
    <w:rsid w:val="00600B71"/>
    <w:rsid w:val="006041C4"/>
    <w:rsid w:val="00647BB3"/>
    <w:rsid w:val="0068707B"/>
    <w:rsid w:val="006C72A8"/>
    <w:rsid w:val="006E5F4A"/>
    <w:rsid w:val="006E736E"/>
    <w:rsid w:val="006F6CCC"/>
    <w:rsid w:val="006F6D25"/>
    <w:rsid w:val="00707058"/>
    <w:rsid w:val="007266E9"/>
    <w:rsid w:val="00730294"/>
    <w:rsid w:val="007321DF"/>
    <w:rsid w:val="0073516D"/>
    <w:rsid w:val="00740661"/>
    <w:rsid w:val="00751DD8"/>
    <w:rsid w:val="00755530"/>
    <w:rsid w:val="0077095F"/>
    <w:rsid w:val="007862EF"/>
    <w:rsid w:val="007B3722"/>
    <w:rsid w:val="00802DA6"/>
    <w:rsid w:val="0081102E"/>
    <w:rsid w:val="008165E7"/>
    <w:rsid w:val="008173C5"/>
    <w:rsid w:val="008244E3"/>
    <w:rsid w:val="00897AD1"/>
    <w:rsid w:val="008A1813"/>
    <w:rsid w:val="008B6E86"/>
    <w:rsid w:val="008C1C3D"/>
    <w:rsid w:val="008D6080"/>
    <w:rsid w:val="008E2F3A"/>
    <w:rsid w:val="008E667D"/>
    <w:rsid w:val="00902FB6"/>
    <w:rsid w:val="00951732"/>
    <w:rsid w:val="00986075"/>
    <w:rsid w:val="00986C77"/>
    <w:rsid w:val="00990744"/>
    <w:rsid w:val="00991FF6"/>
    <w:rsid w:val="009A1403"/>
    <w:rsid w:val="009B5C99"/>
    <w:rsid w:val="009C0533"/>
    <w:rsid w:val="009C7873"/>
    <w:rsid w:val="009D3291"/>
    <w:rsid w:val="009D3994"/>
    <w:rsid w:val="009D701D"/>
    <w:rsid w:val="009E21FA"/>
    <w:rsid w:val="009E6A21"/>
    <w:rsid w:val="00A45D0E"/>
    <w:rsid w:val="00A474D7"/>
    <w:rsid w:val="00A67FB4"/>
    <w:rsid w:val="00A85D31"/>
    <w:rsid w:val="00AF3B6D"/>
    <w:rsid w:val="00B04FBA"/>
    <w:rsid w:val="00B10B2A"/>
    <w:rsid w:val="00B42883"/>
    <w:rsid w:val="00B61502"/>
    <w:rsid w:val="00B77464"/>
    <w:rsid w:val="00B97071"/>
    <w:rsid w:val="00BC0F4B"/>
    <w:rsid w:val="00BC1763"/>
    <w:rsid w:val="00BC3245"/>
    <w:rsid w:val="00BD41AB"/>
    <w:rsid w:val="00BE0511"/>
    <w:rsid w:val="00BE2C92"/>
    <w:rsid w:val="00BE5E6E"/>
    <w:rsid w:val="00C072E8"/>
    <w:rsid w:val="00C22721"/>
    <w:rsid w:val="00C4026D"/>
    <w:rsid w:val="00C443C0"/>
    <w:rsid w:val="00C63684"/>
    <w:rsid w:val="00C73967"/>
    <w:rsid w:val="00C825DE"/>
    <w:rsid w:val="00CB7C1B"/>
    <w:rsid w:val="00CC04D7"/>
    <w:rsid w:val="00D05280"/>
    <w:rsid w:val="00D168DD"/>
    <w:rsid w:val="00D22BF5"/>
    <w:rsid w:val="00D37943"/>
    <w:rsid w:val="00DC7122"/>
    <w:rsid w:val="00DD402C"/>
    <w:rsid w:val="00DD4A98"/>
    <w:rsid w:val="00DE79FA"/>
    <w:rsid w:val="00DF0CBC"/>
    <w:rsid w:val="00E07276"/>
    <w:rsid w:val="00E3186F"/>
    <w:rsid w:val="00E34FCD"/>
    <w:rsid w:val="00E44A32"/>
    <w:rsid w:val="00E61373"/>
    <w:rsid w:val="00E8613F"/>
    <w:rsid w:val="00E94AFD"/>
    <w:rsid w:val="00EA4FC3"/>
    <w:rsid w:val="00EC6C2E"/>
    <w:rsid w:val="00EE0570"/>
    <w:rsid w:val="00EE0CFC"/>
    <w:rsid w:val="00F155B0"/>
    <w:rsid w:val="00F22DCF"/>
    <w:rsid w:val="00F33646"/>
    <w:rsid w:val="00F463DE"/>
    <w:rsid w:val="00F66BD8"/>
    <w:rsid w:val="00F678B4"/>
    <w:rsid w:val="00F759AF"/>
    <w:rsid w:val="00F85230"/>
    <w:rsid w:val="00F9458C"/>
    <w:rsid w:val="00F94E5B"/>
    <w:rsid w:val="00F96F03"/>
    <w:rsid w:val="00FA3B77"/>
    <w:rsid w:val="00FA7988"/>
    <w:rsid w:val="00FC7766"/>
    <w:rsid w:val="00FE3AB0"/>
    <w:rsid w:val="00FF1E02"/>
    <w:rsid w:val="00FF4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7655A"/>
  <w15:chartTrackingRefBased/>
  <w15:docId w15:val="{040FDD53-34C4-429E-99C7-66DD30F2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F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F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F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F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F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F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F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F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F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F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FCD"/>
    <w:rPr>
      <w:rFonts w:eastAsiaTheme="majorEastAsia" w:cstheme="majorBidi"/>
      <w:color w:val="272727" w:themeColor="text1" w:themeTint="D8"/>
    </w:rPr>
  </w:style>
  <w:style w:type="paragraph" w:styleId="Title">
    <w:name w:val="Title"/>
    <w:basedOn w:val="Normal"/>
    <w:next w:val="Normal"/>
    <w:link w:val="TitleChar"/>
    <w:uiPriority w:val="10"/>
    <w:qFormat/>
    <w:rsid w:val="00E34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F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FCD"/>
    <w:pPr>
      <w:spacing w:before="160"/>
      <w:jc w:val="center"/>
    </w:pPr>
    <w:rPr>
      <w:i/>
      <w:iCs/>
      <w:color w:val="404040" w:themeColor="text1" w:themeTint="BF"/>
    </w:rPr>
  </w:style>
  <w:style w:type="character" w:customStyle="1" w:styleId="QuoteChar">
    <w:name w:val="Quote Char"/>
    <w:basedOn w:val="DefaultParagraphFont"/>
    <w:link w:val="Quote"/>
    <w:uiPriority w:val="29"/>
    <w:rsid w:val="00E34FCD"/>
    <w:rPr>
      <w:i/>
      <w:iCs/>
      <w:color w:val="404040" w:themeColor="text1" w:themeTint="BF"/>
    </w:rPr>
  </w:style>
  <w:style w:type="paragraph" w:styleId="ListParagraph">
    <w:name w:val="List Paragraph"/>
    <w:basedOn w:val="Normal"/>
    <w:uiPriority w:val="34"/>
    <w:qFormat/>
    <w:rsid w:val="00E34FCD"/>
    <w:pPr>
      <w:ind w:left="720"/>
      <w:contextualSpacing/>
    </w:pPr>
  </w:style>
  <w:style w:type="character" w:styleId="IntenseEmphasis">
    <w:name w:val="Intense Emphasis"/>
    <w:basedOn w:val="DefaultParagraphFont"/>
    <w:uiPriority w:val="21"/>
    <w:qFormat/>
    <w:rsid w:val="00E34FCD"/>
    <w:rPr>
      <w:i/>
      <w:iCs/>
      <w:color w:val="0F4761" w:themeColor="accent1" w:themeShade="BF"/>
    </w:rPr>
  </w:style>
  <w:style w:type="paragraph" w:styleId="IntenseQuote">
    <w:name w:val="Intense Quote"/>
    <w:basedOn w:val="Normal"/>
    <w:next w:val="Normal"/>
    <w:link w:val="IntenseQuoteChar"/>
    <w:uiPriority w:val="30"/>
    <w:qFormat/>
    <w:rsid w:val="00E34F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FCD"/>
    <w:rPr>
      <w:i/>
      <w:iCs/>
      <w:color w:val="0F4761" w:themeColor="accent1" w:themeShade="BF"/>
    </w:rPr>
  </w:style>
  <w:style w:type="character" w:styleId="IntenseReference">
    <w:name w:val="Intense Reference"/>
    <w:basedOn w:val="DefaultParagraphFont"/>
    <w:uiPriority w:val="32"/>
    <w:qFormat/>
    <w:rsid w:val="00E34FCD"/>
    <w:rPr>
      <w:b/>
      <w:bCs/>
      <w:smallCaps/>
      <w:color w:val="0F4761" w:themeColor="accent1" w:themeShade="BF"/>
      <w:spacing w:val="5"/>
    </w:rPr>
  </w:style>
  <w:style w:type="paragraph" w:styleId="NormalWeb">
    <w:name w:val="Normal (Web)"/>
    <w:basedOn w:val="Normal"/>
    <w:uiPriority w:val="99"/>
    <w:semiHidden/>
    <w:unhideWhenUsed/>
    <w:rsid w:val="00DD402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D402C"/>
    <w:rPr>
      <w:b/>
      <w:bCs/>
    </w:rPr>
  </w:style>
  <w:style w:type="character" w:styleId="Hyperlink">
    <w:name w:val="Hyperlink"/>
    <w:basedOn w:val="DefaultParagraphFont"/>
    <w:uiPriority w:val="99"/>
    <w:unhideWhenUsed/>
    <w:rsid w:val="00145B89"/>
    <w:rPr>
      <w:color w:val="467886" w:themeColor="hyperlink"/>
      <w:u w:val="single"/>
    </w:rPr>
  </w:style>
  <w:style w:type="character" w:styleId="UnresolvedMention">
    <w:name w:val="Unresolved Mention"/>
    <w:basedOn w:val="DefaultParagraphFont"/>
    <w:uiPriority w:val="99"/>
    <w:semiHidden/>
    <w:unhideWhenUsed/>
    <w:rsid w:val="00145B89"/>
    <w:rPr>
      <w:color w:val="605E5C"/>
      <w:shd w:val="clear" w:color="auto" w:fill="E1DFDD"/>
    </w:rPr>
  </w:style>
  <w:style w:type="table" w:styleId="TableGrid">
    <w:name w:val="Table Grid"/>
    <w:basedOn w:val="TableNormal"/>
    <w:uiPriority w:val="39"/>
    <w:rsid w:val="00600B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24125">
      <w:bodyDiv w:val="1"/>
      <w:marLeft w:val="0"/>
      <w:marRight w:val="0"/>
      <w:marTop w:val="0"/>
      <w:marBottom w:val="0"/>
      <w:divBdr>
        <w:top w:val="none" w:sz="0" w:space="0" w:color="auto"/>
        <w:left w:val="none" w:sz="0" w:space="0" w:color="auto"/>
        <w:bottom w:val="none" w:sz="0" w:space="0" w:color="auto"/>
        <w:right w:val="none" w:sz="0" w:space="0" w:color="auto"/>
      </w:divBdr>
    </w:div>
    <w:div w:id="131751216">
      <w:bodyDiv w:val="1"/>
      <w:marLeft w:val="0"/>
      <w:marRight w:val="0"/>
      <w:marTop w:val="0"/>
      <w:marBottom w:val="0"/>
      <w:divBdr>
        <w:top w:val="none" w:sz="0" w:space="0" w:color="auto"/>
        <w:left w:val="none" w:sz="0" w:space="0" w:color="auto"/>
        <w:bottom w:val="none" w:sz="0" w:space="0" w:color="auto"/>
        <w:right w:val="none" w:sz="0" w:space="0" w:color="auto"/>
      </w:divBdr>
    </w:div>
    <w:div w:id="238055795">
      <w:bodyDiv w:val="1"/>
      <w:marLeft w:val="0"/>
      <w:marRight w:val="0"/>
      <w:marTop w:val="0"/>
      <w:marBottom w:val="0"/>
      <w:divBdr>
        <w:top w:val="none" w:sz="0" w:space="0" w:color="auto"/>
        <w:left w:val="none" w:sz="0" w:space="0" w:color="auto"/>
        <w:bottom w:val="none" w:sz="0" w:space="0" w:color="auto"/>
        <w:right w:val="none" w:sz="0" w:space="0" w:color="auto"/>
      </w:divBdr>
    </w:div>
    <w:div w:id="240257753">
      <w:bodyDiv w:val="1"/>
      <w:marLeft w:val="0"/>
      <w:marRight w:val="0"/>
      <w:marTop w:val="0"/>
      <w:marBottom w:val="0"/>
      <w:divBdr>
        <w:top w:val="none" w:sz="0" w:space="0" w:color="auto"/>
        <w:left w:val="none" w:sz="0" w:space="0" w:color="auto"/>
        <w:bottom w:val="none" w:sz="0" w:space="0" w:color="auto"/>
        <w:right w:val="none" w:sz="0" w:space="0" w:color="auto"/>
      </w:divBdr>
    </w:div>
    <w:div w:id="309555641">
      <w:bodyDiv w:val="1"/>
      <w:marLeft w:val="0"/>
      <w:marRight w:val="0"/>
      <w:marTop w:val="0"/>
      <w:marBottom w:val="0"/>
      <w:divBdr>
        <w:top w:val="none" w:sz="0" w:space="0" w:color="auto"/>
        <w:left w:val="none" w:sz="0" w:space="0" w:color="auto"/>
        <w:bottom w:val="none" w:sz="0" w:space="0" w:color="auto"/>
        <w:right w:val="none" w:sz="0" w:space="0" w:color="auto"/>
      </w:divBdr>
    </w:div>
    <w:div w:id="331371439">
      <w:bodyDiv w:val="1"/>
      <w:marLeft w:val="0"/>
      <w:marRight w:val="0"/>
      <w:marTop w:val="0"/>
      <w:marBottom w:val="0"/>
      <w:divBdr>
        <w:top w:val="none" w:sz="0" w:space="0" w:color="auto"/>
        <w:left w:val="none" w:sz="0" w:space="0" w:color="auto"/>
        <w:bottom w:val="none" w:sz="0" w:space="0" w:color="auto"/>
        <w:right w:val="none" w:sz="0" w:space="0" w:color="auto"/>
      </w:divBdr>
    </w:div>
    <w:div w:id="479156075">
      <w:bodyDiv w:val="1"/>
      <w:marLeft w:val="0"/>
      <w:marRight w:val="0"/>
      <w:marTop w:val="0"/>
      <w:marBottom w:val="0"/>
      <w:divBdr>
        <w:top w:val="none" w:sz="0" w:space="0" w:color="auto"/>
        <w:left w:val="none" w:sz="0" w:space="0" w:color="auto"/>
        <w:bottom w:val="none" w:sz="0" w:space="0" w:color="auto"/>
        <w:right w:val="none" w:sz="0" w:space="0" w:color="auto"/>
      </w:divBdr>
    </w:div>
    <w:div w:id="645161731">
      <w:bodyDiv w:val="1"/>
      <w:marLeft w:val="0"/>
      <w:marRight w:val="0"/>
      <w:marTop w:val="0"/>
      <w:marBottom w:val="0"/>
      <w:divBdr>
        <w:top w:val="none" w:sz="0" w:space="0" w:color="auto"/>
        <w:left w:val="none" w:sz="0" w:space="0" w:color="auto"/>
        <w:bottom w:val="none" w:sz="0" w:space="0" w:color="auto"/>
        <w:right w:val="none" w:sz="0" w:space="0" w:color="auto"/>
      </w:divBdr>
    </w:div>
    <w:div w:id="1068963573">
      <w:bodyDiv w:val="1"/>
      <w:marLeft w:val="0"/>
      <w:marRight w:val="0"/>
      <w:marTop w:val="0"/>
      <w:marBottom w:val="0"/>
      <w:divBdr>
        <w:top w:val="none" w:sz="0" w:space="0" w:color="auto"/>
        <w:left w:val="none" w:sz="0" w:space="0" w:color="auto"/>
        <w:bottom w:val="none" w:sz="0" w:space="0" w:color="auto"/>
        <w:right w:val="none" w:sz="0" w:space="0" w:color="auto"/>
      </w:divBdr>
    </w:div>
    <w:div w:id="1242107306">
      <w:bodyDiv w:val="1"/>
      <w:marLeft w:val="0"/>
      <w:marRight w:val="0"/>
      <w:marTop w:val="0"/>
      <w:marBottom w:val="0"/>
      <w:divBdr>
        <w:top w:val="none" w:sz="0" w:space="0" w:color="auto"/>
        <w:left w:val="none" w:sz="0" w:space="0" w:color="auto"/>
        <w:bottom w:val="none" w:sz="0" w:space="0" w:color="auto"/>
        <w:right w:val="none" w:sz="0" w:space="0" w:color="auto"/>
      </w:divBdr>
    </w:div>
    <w:div w:id="1291548798">
      <w:bodyDiv w:val="1"/>
      <w:marLeft w:val="0"/>
      <w:marRight w:val="0"/>
      <w:marTop w:val="0"/>
      <w:marBottom w:val="0"/>
      <w:divBdr>
        <w:top w:val="none" w:sz="0" w:space="0" w:color="auto"/>
        <w:left w:val="none" w:sz="0" w:space="0" w:color="auto"/>
        <w:bottom w:val="none" w:sz="0" w:space="0" w:color="auto"/>
        <w:right w:val="none" w:sz="0" w:space="0" w:color="auto"/>
      </w:divBdr>
    </w:div>
    <w:div w:id="1397702476">
      <w:bodyDiv w:val="1"/>
      <w:marLeft w:val="0"/>
      <w:marRight w:val="0"/>
      <w:marTop w:val="0"/>
      <w:marBottom w:val="0"/>
      <w:divBdr>
        <w:top w:val="none" w:sz="0" w:space="0" w:color="auto"/>
        <w:left w:val="none" w:sz="0" w:space="0" w:color="auto"/>
        <w:bottom w:val="none" w:sz="0" w:space="0" w:color="auto"/>
        <w:right w:val="none" w:sz="0" w:space="0" w:color="auto"/>
      </w:divBdr>
    </w:div>
    <w:div w:id="1419524736">
      <w:bodyDiv w:val="1"/>
      <w:marLeft w:val="0"/>
      <w:marRight w:val="0"/>
      <w:marTop w:val="0"/>
      <w:marBottom w:val="0"/>
      <w:divBdr>
        <w:top w:val="none" w:sz="0" w:space="0" w:color="auto"/>
        <w:left w:val="none" w:sz="0" w:space="0" w:color="auto"/>
        <w:bottom w:val="none" w:sz="0" w:space="0" w:color="auto"/>
        <w:right w:val="none" w:sz="0" w:space="0" w:color="auto"/>
      </w:divBdr>
      <w:divsChild>
        <w:div w:id="1149444697">
          <w:marLeft w:val="0"/>
          <w:marRight w:val="0"/>
          <w:marTop w:val="0"/>
          <w:marBottom w:val="0"/>
          <w:divBdr>
            <w:top w:val="none" w:sz="0" w:space="0" w:color="auto"/>
            <w:left w:val="none" w:sz="0" w:space="0" w:color="auto"/>
            <w:bottom w:val="none" w:sz="0" w:space="0" w:color="auto"/>
            <w:right w:val="none" w:sz="0" w:space="0" w:color="auto"/>
          </w:divBdr>
          <w:divsChild>
            <w:div w:id="1878198161">
              <w:marLeft w:val="0"/>
              <w:marRight w:val="0"/>
              <w:marTop w:val="0"/>
              <w:marBottom w:val="0"/>
              <w:divBdr>
                <w:top w:val="none" w:sz="0" w:space="0" w:color="auto"/>
                <w:left w:val="none" w:sz="0" w:space="0" w:color="auto"/>
                <w:bottom w:val="none" w:sz="0" w:space="0" w:color="auto"/>
                <w:right w:val="none" w:sz="0" w:space="0" w:color="auto"/>
              </w:divBdr>
              <w:divsChild>
                <w:div w:id="1673608986">
                  <w:marLeft w:val="0"/>
                  <w:marRight w:val="0"/>
                  <w:marTop w:val="0"/>
                  <w:marBottom w:val="0"/>
                  <w:divBdr>
                    <w:top w:val="none" w:sz="0" w:space="0" w:color="auto"/>
                    <w:left w:val="none" w:sz="0" w:space="0" w:color="auto"/>
                    <w:bottom w:val="none" w:sz="0" w:space="0" w:color="auto"/>
                    <w:right w:val="none" w:sz="0" w:space="0" w:color="auto"/>
                  </w:divBdr>
                  <w:divsChild>
                    <w:div w:id="882248263">
                      <w:marLeft w:val="0"/>
                      <w:marRight w:val="0"/>
                      <w:marTop w:val="0"/>
                      <w:marBottom w:val="0"/>
                      <w:divBdr>
                        <w:top w:val="none" w:sz="0" w:space="0" w:color="auto"/>
                        <w:left w:val="none" w:sz="0" w:space="0" w:color="auto"/>
                        <w:bottom w:val="none" w:sz="0" w:space="0" w:color="auto"/>
                        <w:right w:val="none" w:sz="0" w:space="0" w:color="auto"/>
                      </w:divBdr>
                      <w:divsChild>
                        <w:div w:id="2014600286">
                          <w:marLeft w:val="0"/>
                          <w:marRight w:val="0"/>
                          <w:marTop w:val="0"/>
                          <w:marBottom w:val="0"/>
                          <w:divBdr>
                            <w:top w:val="none" w:sz="0" w:space="0" w:color="auto"/>
                            <w:left w:val="none" w:sz="0" w:space="0" w:color="auto"/>
                            <w:bottom w:val="none" w:sz="0" w:space="0" w:color="auto"/>
                            <w:right w:val="none" w:sz="0" w:space="0" w:color="auto"/>
                          </w:divBdr>
                          <w:divsChild>
                            <w:div w:id="1656226262">
                              <w:marLeft w:val="0"/>
                              <w:marRight w:val="0"/>
                              <w:marTop w:val="0"/>
                              <w:marBottom w:val="0"/>
                              <w:divBdr>
                                <w:top w:val="none" w:sz="0" w:space="0" w:color="auto"/>
                                <w:left w:val="none" w:sz="0" w:space="0" w:color="auto"/>
                                <w:bottom w:val="none" w:sz="0" w:space="0" w:color="auto"/>
                                <w:right w:val="none" w:sz="0" w:space="0" w:color="auto"/>
                              </w:divBdr>
                              <w:divsChild>
                                <w:div w:id="2083598408">
                                  <w:marLeft w:val="0"/>
                                  <w:marRight w:val="0"/>
                                  <w:marTop w:val="0"/>
                                  <w:marBottom w:val="0"/>
                                  <w:divBdr>
                                    <w:top w:val="none" w:sz="0" w:space="0" w:color="auto"/>
                                    <w:left w:val="none" w:sz="0" w:space="0" w:color="auto"/>
                                    <w:bottom w:val="none" w:sz="0" w:space="0" w:color="auto"/>
                                    <w:right w:val="none" w:sz="0" w:space="0" w:color="auto"/>
                                  </w:divBdr>
                                  <w:divsChild>
                                    <w:div w:id="12126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238106">
      <w:bodyDiv w:val="1"/>
      <w:marLeft w:val="0"/>
      <w:marRight w:val="0"/>
      <w:marTop w:val="0"/>
      <w:marBottom w:val="0"/>
      <w:divBdr>
        <w:top w:val="none" w:sz="0" w:space="0" w:color="auto"/>
        <w:left w:val="none" w:sz="0" w:space="0" w:color="auto"/>
        <w:bottom w:val="none" w:sz="0" w:space="0" w:color="auto"/>
        <w:right w:val="none" w:sz="0" w:space="0" w:color="auto"/>
      </w:divBdr>
    </w:div>
    <w:div w:id="1514035142">
      <w:bodyDiv w:val="1"/>
      <w:marLeft w:val="0"/>
      <w:marRight w:val="0"/>
      <w:marTop w:val="0"/>
      <w:marBottom w:val="0"/>
      <w:divBdr>
        <w:top w:val="none" w:sz="0" w:space="0" w:color="auto"/>
        <w:left w:val="none" w:sz="0" w:space="0" w:color="auto"/>
        <w:bottom w:val="none" w:sz="0" w:space="0" w:color="auto"/>
        <w:right w:val="none" w:sz="0" w:space="0" w:color="auto"/>
      </w:divBdr>
    </w:div>
    <w:div w:id="1535271557">
      <w:bodyDiv w:val="1"/>
      <w:marLeft w:val="0"/>
      <w:marRight w:val="0"/>
      <w:marTop w:val="0"/>
      <w:marBottom w:val="0"/>
      <w:divBdr>
        <w:top w:val="none" w:sz="0" w:space="0" w:color="auto"/>
        <w:left w:val="none" w:sz="0" w:space="0" w:color="auto"/>
        <w:bottom w:val="none" w:sz="0" w:space="0" w:color="auto"/>
        <w:right w:val="none" w:sz="0" w:space="0" w:color="auto"/>
      </w:divBdr>
    </w:div>
    <w:div w:id="1582913484">
      <w:bodyDiv w:val="1"/>
      <w:marLeft w:val="0"/>
      <w:marRight w:val="0"/>
      <w:marTop w:val="0"/>
      <w:marBottom w:val="0"/>
      <w:divBdr>
        <w:top w:val="none" w:sz="0" w:space="0" w:color="auto"/>
        <w:left w:val="none" w:sz="0" w:space="0" w:color="auto"/>
        <w:bottom w:val="none" w:sz="0" w:space="0" w:color="auto"/>
        <w:right w:val="none" w:sz="0" w:space="0" w:color="auto"/>
      </w:divBdr>
    </w:div>
    <w:div w:id="1637566773">
      <w:bodyDiv w:val="1"/>
      <w:marLeft w:val="0"/>
      <w:marRight w:val="0"/>
      <w:marTop w:val="0"/>
      <w:marBottom w:val="0"/>
      <w:divBdr>
        <w:top w:val="none" w:sz="0" w:space="0" w:color="auto"/>
        <w:left w:val="none" w:sz="0" w:space="0" w:color="auto"/>
        <w:bottom w:val="none" w:sz="0" w:space="0" w:color="auto"/>
        <w:right w:val="none" w:sz="0" w:space="0" w:color="auto"/>
      </w:divBdr>
    </w:div>
    <w:div w:id="1788699740">
      <w:bodyDiv w:val="1"/>
      <w:marLeft w:val="0"/>
      <w:marRight w:val="0"/>
      <w:marTop w:val="0"/>
      <w:marBottom w:val="0"/>
      <w:divBdr>
        <w:top w:val="none" w:sz="0" w:space="0" w:color="auto"/>
        <w:left w:val="none" w:sz="0" w:space="0" w:color="auto"/>
        <w:bottom w:val="none" w:sz="0" w:space="0" w:color="auto"/>
        <w:right w:val="none" w:sz="0" w:space="0" w:color="auto"/>
      </w:divBdr>
    </w:div>
    <w:div w:id="2075345650">
      <w:bodyDiv w:val="1"/>
      <w:marLeft w:val="0"/>
      <w:marRight w:val="0"/>
      <w:marTop w:val="0"/>
      <w:marBottom w:val="0"/>
      <w:divBdr>
        <w:top w:val="none" w:sz="0" w:space="0" w:color="auto"/>
        <w:left w:val="none" w:sz="0" w:space="0" w:color="auto"/>
        <w:bottom w:val="none" w:sz="0" w:space="0" w:color="auto"/>
        <w:right w:val="none" w:sz="0" w:space="0" w:color="auto"/>
      </w:divBdr>
    </w:div>
    <w:div w:id="2076858381">
      <w:bodyDiv w:val="1"/>
      <w:marLeft w:val="0"/>
      <w:marRight w:val="0"/>
      <w:marTop w:val="0"/>
      <w:marBottom w:val="0"/>
      <w:divBdr>
        <w:top w:val="none" w:sz="0" w:space="0" w:color="auto"/>
        <w:left w:val="none" w:sz="0" w:space="0" w:color="auto"/>
        <w:bottom w:val="none" w:sz="0" w:space="0" w:color="auto"/>
        <w:right w:val="none" w:sz="0" w:space="0" w:color="auto"/>
      </w:divBdr>
    </w:div>
    <w:div w:id="20783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abs.gov.au/statistics/environment/environmental-management/food-waste-australia" TargetMode="External"/><Relationship Id="rId26" Type="http://schemas.openxmlformats.org/officeDocument/2006/relationships/hyperlink" Target="https://www.woolworthsgroup.com.au/page/community-and-responsibility/group-sustainability" TargetMode="External"/><Relationship Id="rId21" Type="http://schemas.openxmlformats.org/officeDocument/2006/relationships/hyperlink" Target="https://www.dcceew.gov.au" TargetMode="External"/><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ustraliainstitute.org.au" TargetMode="External"/><Relationship Id="rId25" Type="http://schemas.openxmlformats.org/officeDocument/2006/relationships/hyperlink" Target="https://www.metcash.com/sustainability"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csiro.au/en/work-with-us/industries/food-and-agriculture/food-wast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futures.2023.103241"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jclepro.2023.137016"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colesgroup.com.au/sustainability"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llenmacarthurfoundation.org" TargetMode="External"/><Relationship Id="rId27" Type="http://schemas.openxmlformats.org/officeDocument/2006/relationships/hyperlink" Target="https://wrap.org.uk/resources/case-studies/tesco-food-waste"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4702</Words>
  <Characters>28734</Characters>
  <Application>Microsoft Office Word</Application>
  <DocSecurity>0</DocSecurity>
  <Lines>542</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Poudel</dc:creator>
  <cp:keywords/>
  <dc:description/>
  <cp:lastModifiedBy>Bikash Poudel</cp:lastModifiedBy>
  <cp:revision>3</cp:revision>
  <dcterms:created xsi:type="dcterms:W3CDTF">2025-06-15T07:57:00Z</dcterms:created>
  <dcterms:modified xsi:type="dcterms:W3CDTF">2025-06-16T14:53:00Z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176f7655-9487-4a06-95f1-d4d7acceebc7</vt:lpwstr>
  </property>
</Properties>
</file>