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詳細設計書 / 内部設計書 (Shousai Sekkeisho)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DOC-003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VP-DOC-003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1"/>
                <w:szCs w:val="21"/>
              </w:rPr>
              <w:t xml:space="preserve">作成中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バックエンドチーム / セキュリティチーム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各モジュールの内部ロジック、クラス設計、暗号化フロー、認証フローの詳細を定義する。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暗号化モジュール詳細設計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2.1 鍵導出フロー (packages/crypto/deriveKey.ts)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ユーザーがマスターパスワードを入力した際、以下のフローで256ビットの暗号化キーを導出する。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入力: masterPassword (string), email (string)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1. salt = Argon2id用ソルト = SHA-256(email + ':vaultpass-kdf-v1')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※ emailを決定論的ソルトとして使用。同一パスワードでも異なるhashが生成される。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2. encryptionKey = Argon2id(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password: masterPassword,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salt: salt,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memoryCost: 65536,  // 64 MB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timeCost: 3,        // 3 iterations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parallelism: 4,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hashLength: 32      // 256 bits → AES-256キー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3. authHash = Argon2id(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password: masterPassword,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salt: SHA-256(email + ':vaultpass-auth-v1'),  // 別のソルト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memoryCost: 65536, timeCost: 3, parallelism: 4, hashLength: 32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出力: { encryptionKey: CryptoKey, authHash: Uint8Array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重要: encryptionKey はメモリのみに保持。authHash のみサーバーに送信。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2.2 暗号化フロー (packages/crypto/encrypt.ts)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入力: encryptionKey (CryptoKey), plaintext (string)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1. iv = crypto.getRandomValues(new Uint8Array(12))  // 96-bit IV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2. encoder = new TextEncoder()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3. { ciphertext, tag } = await crypto.subtle.encrypt(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{ name: 'AES-GCM', iv, tagLength: 128 },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encryptionKey,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encoder.encode(plaintext)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出力: 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ciphertext: base64(ciphertext),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iv:         base64(iv),          // 12 bytes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tag:        base64(tag)           // 16 bytes（GCMタグ）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2.3 Vaultアイテムデータ構造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// クライアントサイド（平文）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interface VaultItemPlaintext 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id:        string;    // UUID v4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title:   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url:     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username: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password: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notes:   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category:  'login' | 'card' | 'identity' | 'note';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createdAt: string;    // ISO 8601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updatedAt: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// サーバー保存形式（暗号文）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interface VaultItemEncrypted 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id:             string;   // UUID（サーバー生成）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userId:       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encryptedBlob:  string;   // base64(AES-GCM ciphertext)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iv:             string;   // base64(12 bytes)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tag:            string;   // base64(16 bytes)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updatedAt:      string;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認証モジュール詳細設計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登録フロー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クライアント: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1. ユーザーがemail + masterPasswordを入力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2. authHash = Argon2id(masterPassword, authSalt)  ← クライアントで計算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3. POST /v1/auth/register { email, authHash }     ← masterPasswordは送らない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サーバー: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4. email重複チェック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5. serverHash = Argon2id(authHash, randomServerSalt)  ← 二重ハッシュ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6. DB保存: { email, serverHash, serverSalt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7. 201 Created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ログインフロー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クライアント: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1. authHash = Argon2id(masterPassword, authSalt)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2. POST /v1/auth/login { email, authHash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サーバー: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3. DBからuserSalt取得 → serverHash再計算 → 比較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4a. 2FA無効: アクセストークン(15分) + リフレッシュトークン(7日) 発行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4b. 2FA有効: preAuthToken(5分, TOTP未検証) 発行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→ クライアント: TOTPコード入力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→ POST /v1/auth/totp/challenge { preAuthToken, totpCode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 → サーバー: TOTP検証 → 本トークンペア発行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3.3 リフレッシュトークンローテーション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クライアント: POST /v1/auth/refresh { refreshToken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サーバー: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1. refreshTokenのハッシュをDBで検索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2. used_at が NULL でなければ → 盗難検知 → 当該ユーザーの全セッション失効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3. expires_at &lt; now → 401 Unauthorized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4. 正常: 旧トークンにused_at記録 → 新トークンペア発行 → 201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3.4 JWT Payload 定義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// Access Token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sub:  string,    // user UUID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type: 'access',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iat:  number,    // 発行時刻（Unix timestamp）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exp:  number,    // 有効期限（iat + 900秒）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jti:  string,    // JWT ID（一意、失効管理用）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// Refresh Token（DBに保存されるハッシュのメタデータ）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tokenHash:  string,   // SHA-256(rawToken)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userId:     string,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expiresAt:  Date,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usedAt:     Date | null,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revoked:    boolean,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userAgent:  string,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ipAddress:  string,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ミドルウェア設計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jwtAuth ミドルウェア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export const jwtAuth = async (req, res, next) =&gt; 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const authHeader = req.headers.authorization;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if (!authHeader?.startsWith('Bearer ')) return res.status(401).json({...});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const token = authHeader.split(' ')[1];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try {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const payload = jwt.verify(token, process.env.JWT_SECRET);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if (payload.type !== 'access') return res.status(401).json({...});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// Redis denylistチェック（ログアウト済みトークン）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const isDenied = await redis.get('denylist:' + payload.jti);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if (isDenied) return res.status(401).json({...});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req.user = { id: payload.sub };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next();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} catch { return res.status(401).json({...}); 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};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4.2 レート制限設定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エンドポイントグループ</w:t>
            </w:r>
          </w:p>
        </w:tc>
        <w:tc>
          <w:tcPr>
            <w:tcW w:type="dxa" w:w="6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制限設定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 /auth/login, /auth/register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IP単位：15分間に5リクエスト。超過時：429 + Retry-After header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 /auth/totp/challenge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ユーザー単位：5分間に5リクエスト。失敗3回でpreAuthToken無効化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IP単位：1分間に10リクエスト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GET/POST/PUT/DELETE /vault/*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ユーザー単位：1分間に60リクエスト</w:t>
            </w:r>
          </w:p>
        </w:tc>
      </w:tr>
      <w:tr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全エンドポイント（グローバル）</w:t>
            </w:r>
          </w:p>
        </w:tc>
        <w:tc>
          <w:tcPr>
            <w:tcW w:type="dxa" w:w="6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IP単位：1分間に200リクエスト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VP-DOC-003 詳細設計書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詳細設計書（内部設計）</w:t>
    </w:r>
    <w:r>
      <w:rPr>
        <w:rFonts w:ascii="Arial" w:cs="Arial" w:eastAsia="Arial" w:hAnsi="Arial"/>
        <w:color w:val="64748B"/>
        <w:sz w:val="19"/>
        <w:szCs w:val="19"/>
      </w:rPr>
      <w:t xml:space="preserve">	VP-DOC-003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2026-06-02T00:17:03.415Z</dcterms:created>
  <dcterms:modified xsi:type="dcterms:W3CDTF">2026-06-02T00:17:03.415Z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