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1A..</w:t>
      </w:r>
    </w:p>
    <w:p w:rsidR="00000000" w:rsidDel="00000000" w:rsidP="00000000" w:rsidRDefault="00000000" w:rsidRPr="00000000" w14:paraId="00000002">
      <w:pPr>
        <w:rPr/>
      </w:pPr>
      <w:r w:rsidDel="00000000" w:rsidR="00000000" w:rsidRPr="00000000">
        <w:rPr>
          <w:rtl w:val="0"/>
        </w:rPr>
        <w:t xml:space="preserve">One tailed z test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1B.</w:t>
      </w:r>
    </w:p>
    <w:p w:rsidR="00000000" w:rsidDel="00000000" w:rsidP="00000000" w:rsidRDefault="00000000" w:rsidRPr="00000000" w14:paraId="00000005">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 &lt;- 0.07</w:t>
      </w:r>
    </w:p>
    <w:p w:rsidR="00000000" w:rsidDel="00000000" w:rsidP="00000000" w:rsidRDefault="00000000" w:rsidRPr="00000000" w14:paraId="00000006">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n &lt;- 209</w:t>
      </w:r>
    </w:p>
    <w:p w:rsidR="00000000" w:rsidDel="00000000" w:rsidP="00000000" w:rsidRDefault="00000000" w:rsidRPr="00000000" w14:paraId="00000007">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x &lt;- 23</w:t>
      </w:r>
    </w:p>
    <w:p w:rsidR="00000000" w:rsidDel="00000000" w:rsidP="00000000" w:rsidRDefault="00000000" w:rsidRPr="00000000" w14:paraId="00000008">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XN &lt;- x/n</w:t>
      </w:r>
    </w:p>
    <w:p w:rsidR="00000000" w:rsidDel="00000000" w:rsidP="00000000" w:rsidRDefault="00000000" w:rsidRPr="00000000" w14:paraId="00000009">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0A">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z &lt;- (XN - p) / sqrt(p*(1-p)/n)</w:t>
      </w:r>
    </w:p>
    <w:p w:rsidR="00000000" w:rsidDel="00000000" w:rsidP="00000000" w:rsidRDefault="00000000" w:rsidRPr="00000000" w14:paraId="0000000B">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pval &lt;- 1 - pnorm(z)</w:t>
      </w:r>
    </w:p>
    <w:p w:rsidR="00000000" w:rsidDel="00000000" w:rsidP="00000000" w:rsidRDefault="00000000" w:rsidRPr="00000000" w14:paraId="0000000C">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0D">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pval</w:t>
      </w:r>
    </w:p>
    <w:p w:rsidR="00000000" w:rsidDel="00000000" w:rsidP="00000000" w:rsidRDefault="00000000" w:rsidRPr="00000000" w14:paraId="0000000E">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0.01162982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1C.</w:t>
      </w:r>
    </w:p>
    <w:p w:rsidR="00000000" w:rsidDel="00000000" w:rsidP="00000000" w:rsidRDefault="00000000" w:rsidRPr="00000000" w14:paraId="00000011">
      <w:pPr>
        <w:rPr/>
      </w:pPr>
      <w:r w:rsidDel="00000000" w:rsidR="00000000" w:rsidRPr="00000000">
        <w:rPr>
          <w:rtl w:val="0"/>
        </w:rPr>
        <w:t xml:space="preserve">since the p-value is less than the significance level of .05, we can reject the null hypothesis. And we conclude that the proportion of low birth weight babies in Sudan is greater than .07.</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1D.</w:t>
      </w:r>
    </w:p>
    <w:p w:rsidR="00000000" w:rsidDel="00000000" w:rsidP="00000000" w:rsidRDefault="00000000" w:rsidRPr="00000000" w14:paraId="00000014">
      <w:pPr>
        <w:rPr/>
      </w:pPr>
      <w:r w:rsidDel="00000000" w:rsidR="00000000" w:rsidRPr="00000000">
        <w:rPr>
          <w:rtl w:val="0"/>
        </w:rPr>
        <w:t xml:space="preserve">since the p-value is still less than the significance level of .01, we reject the null hypothesis. And we conclude that the proportion of low birth weight babies in Sudan is greater than .07.</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2A.</w:t>
      </w:r>
    </w:p>
    <w:p w:rsidR="00000000" w:rsidDel="00000000" w:rsidP="00000000" w:rsidRDefault="00000000" w:rsidRPr="00000000" w14:paraId="00000018">
      <w:pPr>
        <w:rPr/>
      </w:pPr>
      <w:r w:rsidDel="00000000" w:rsidR="00000000" w:rsidRPr="00000000">
        <w:rPr>
          <w:rtl w:val="0"/>
        </w:rPr>
        <w:t xml:space="preserve">chi-squared goodness-of-fit test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2B.</w:t>
      </w:r>
    </w:p>
    <w:p w:rsidR="00000000" w:rsidDel="00000000" w:rsidP="00000000" w:rsidRDefault="00000000" w:rsidRPr="00000000" w14:paraId="0000001B">
      <w:pPr>
        <w:rPr/>
      </w:pPr>
      <w:r w:rsidDel="00000000" w:rsidR="00000000" w:rsidRPr="00000000">
        <w:rPr>
          <w:rtl w:val="0"/>
        </w:rPr>
      </w:r>
    </w:p>
    <w:tbl>
      <w:tblPr>
        <w:tblStyle w:val="Table1"/>
        <w:tblW w:w="9359.999999999998" w:type="dxa"/>
        <w:jc w:val="left"/>
        <w:tblLayout w:type="fixed"/>
        <w:tblLook w:val="0600"/>
      </w:tblPr>
      <w:tblGrid>
        <w:gridCol w:w="9359.999999999998"/>
        <w:tblGridChange w:id="0">
          <w:tblGrid>
            <w:gridCol w:w="9359.999999999998"/>
          </w:tblGrid>
        </w:tblGridChange>
      </w:tblGrid>
      <w:tr>
        <w:trPr>
          <w:cantSplit w:val="0"/>
          <w:trHeight w:val="23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ob &lt;- c(341, 467, 421, 376, 395)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exp &lt;- rep(sum(ob)/5, 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chisq &lt;- sum((ob - exp)^2 / exp)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pval &lt;- 1 - pchisq(chisq, df = 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pval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0.0001571593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w:t>
            </w:r>
          </w:p>
          <w:p w:rsidR="00000000" w:rsidDel="00000000" w:rsidP="00000000" w:rsidRDefault="00000000" w:rsidRPr="00000000" w14:paraId="00000025">
            <w:pPr>
              <w:spacing w:line="288" w:lineRule="auto"/>
              <w:rPr>
                <w:rFonts w:ascii="Courier New" w:cs="Courier New" w:eastAsia="Courier New" w:hAnsi="Courier New"/>
                <w:sz w:val="20"/>
                <w:szCs w:val="20"/>
              </w:rPr>
            </w:pPr>
            <w:r w:rsidDel="00000000" w:rsidR="00000000" w:rsidRPr="00000000">
              <w:rPr>
                <w:rtl w:val="0"/>
              </w:rPr>
            </w:r>
          </w:p>
        </w:tc>
      </w:tr>
      <w:tr>
        <w:trPr>
          <w:cantSplit w:val="0"/>
          <w:trHeight w:val="4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spacing w:line="288" w:lineRule="auto"/>
              <w:rPr>
                <w:rFonts w:ascii="Courier New" w:cs="Courier New" w:eastAsia="Courier New" w:hAnsi="Courier New"/>
                <w:sz w:val="20"/>
                <w:szCs w:val="20"/>
              </w:rPr>
            </w:pPr>
            <w:r w:rsidDel="00000000" w:rsidR="00000000" w:rsidRPr="00000000">
              <w:rPr>
                <w:rtl w:val="0"/>
              </w:rPr>
            </w:r>
          </w:p>
        </w:tc>
      </w:tr>
      <w:tr>
        <w:trPr>
          <w:cantSplit w:val="0"/>
          <w:trHeight w:val="4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tl w:val="0"/>
              </w:rPr>
            </w:r>
          </w:p>
          <w:tbl>
            <w:tblPr>
              <w:tblStyle w:val="Table2"/>
              <w:tblW w:w="6725.660079051382" w:type="dxa"/>
              <w:jc w:val="left"/>
              <w:tblLayout w:type="fixed"/>
              <w:tblLook w:val="0600"/>
            </w:tblPr>
            <w:tblGrid>
              <w:gridCol w:w="6725.660079051382"/>
              <w:tblGridChange w:id="0">
                <w:tblGrid>
                  <w:gridCol w:w="6725.660079051382"/>
                </w:tblGrid>
              </w:tblGridChange>
            </w:tblGrid>
            <w:tr>
              <w:trPr>
                <w:cantSplit w:val="0"/>
                <w:trHeight w:val="46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88"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w:t>
                  </w:r>
                </w:p>
              </w:tc>
            </w:tr>
          </w:tbl>
          <w:p w:rsidR="00000000" w:rsidDel="00000000" w:rsidP="00000000" w:rsidRDefault="00000000" w:rsidRPr="00000000" w14:paraId="00000029">
            <w:pPr>
              <w:spacing w:line="288"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2C.</w:t>
      </w:r>
    </w:p>
    <w:p w:rsidR="00000000" w:rsidDel="00000000" w:rsidP="00000000" w:rsidRDefault="00000000" w:rsidRPr="00000000" w14:paraId="0000002C">
      <w:pPr>
        <w:rPr/>
      </w:pPr>
      <w:r w:rsidDel="00000000" w:rsidR="00000000" w:rsidRPr="00000000">
        <w:rPr>
          <w:rtl w:val="0"/>
        </w:rPr>
        <w:t xml:space="preserve">since the p-value is less than the 0.05, we reject the null hypothesis. We can conclude that the proportion of colors in the jar of M&amp;Ms is not uniform.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2D.</w:t>
      </w:r>
    </w:p>
    <w:p w:rsidR="00000000" w:rsidDel="00000000" w:rsidP="00000000" w:rsidRDefault="00000000" w:rsidRPr="00000000" w14:paraId="0000002F">
      <w:pPr>
        <w:rPr/>
      </w:pPr>
      <w:r w:rsidDel="00000000" w:rsidR="00000000" w:rsidRPr="00000000">
        <w:rPr>
          <w:rtl w:val="0"/>
        </w:rPr>
        <w:t xml:space="preserve">Since the p-value is still less than the 0.01 we reject the null hypothesis. We can conclude that the proportion of colors in the jar of M&amp;Ms is not uniform.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3A.</w:t>
      </w:r>
    </w:p>
    <w:p w:rsidR="00000000" w:rsidDel="00000000" w:rsidP="00000000" w:rsidRDefault="00000000" w:rsidRPr="00000000" w14:paraId="00000033">
      <w:pPr>
        <w:rPr/>
      </w:pPr>
      <w:r w:rsidDel="00000000" w:rsidR="00000000" w:rsidRPr="00000000">
        <w:rPr>
          <w:rtl w:val="0"/>
        </w:rPr>
        <w:t xml:space="preserve">Two side t-test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Statistic is t = (x̄ - μ) / (s / √n) // t &lt;- (x_bar - mu) / (s / sqrt(n))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3B.</w:t>
      </w:r>
    </w:p>
    <w:p w:rsidR="00000000" w:rsidDel="00000000" w:rsidP="00000000" w:rsidRDefault="00000000" w:rsidRPr="00000000" w14:paraId="00000038">
      <w:pPr>
        <w:rPr/>
      </w:pPr>
      <w:r w:rsidDel="00000000" w:rsidR="00000000" w:rsidRPr="00000000">
        <w:rPr>
          <w:rtl w:val="0"/>
        </w:rPr>
        <w:t xml:space="preserve">I don’t really know how to do this, not sure what i’m supposed to sketch or make.</w:t>
        <w:br w:type="textWrapping"/>
        <w:br w:type="textWrapping"/>
        <w:t xml:space="preserve">I did do this though</w:t>
        <w:br w:type="textWrapping"/>
        <w:br w:type="textWrapping"/>
      </w:r>
      <w:r w:rsidDel="00000000" w:rsidR="00000000" w:rsidRPr="00000000">
        <w:rPr/>
        <w:drawing>
          <wp:inline distB="114300" distT="114300" distL="114300" distR="114300">
            <wp:extent cx="3057525" cy="4048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75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3c.</w:t>
      </w:r>
    </w:p>
    <w:p w:rsidR="00000000" w:rsidDel="00000000" w:rsidP="00000000" w:rsidRDefault="00000000" w:rsidRPr="00000000" w14:paraId="0000003B">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thicknesses &lt;- c(7.65, 7.6, 7.65, 7.7, 7.55, 7.55, 7.4, 7.4, 7.5, 7.5)</w:t>
      </w:r>
    </w:p>
    <w:p w:rsidR="00000000" w:rsidDel="00000000" w:rsidP="00000000" w:rsidRDefault="00000000" w:rsidRPr="00000000" w14:paraId="0000003C">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3D">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n &lt;- length(thicknesses)</w:t>
      </w:r>
    </w:p>
    <w:p w:rsidR="00000000" w:rsidDel="00000000" w:rsidP="00000000" w:rsidRDefault="00000000" w:rsidRPr="00000000" w14:paraId="0000003E">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3F">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x_bar &lt;- mean(thicknesses)</w:t>
      </w:r>
    </w:p>
    <w:p w:rsidR="00000000" w:rsidDel="00000000" w:rsidP="00000000" w:rsidRDefault="00000000" w:rsidRPr="00000000" w14:paraId="00000040">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s &lt;- sd(thicknesses)</w:t>
      </w:r>
    </w:p>
    <w:p w:rsidR="00000000" w:rsidDel="00000000" w:rsidP="00000000" w:rsidRDefault="00000000" w:rsidRPr="00000000" w14:paraId="00000041">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42">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mu &lt;- 7.5</w:t>
      </w:r>
    </w:p>
    <w:p w:rsidR="00000000" w:rsidDel="00000000" w:rsidP="00000000" w:rsidRDefault="00000000" w:rsidRPr="00000000" w14:paraId="00000043">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44">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 &lt;- (x_bar - mu) / (s / sqrt(n))</w:t>
      </w:r>
    </w:p>
    <w:p w:rsidR="00000000" w:rsidDel="00000000" w:rsidP="00000000" w:rsidRDefault="00000000" w:rsidRPr="00000000" w14:paraId="00000045">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46">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p_value &lt;- 2 * pt(-abs(t), df = n - 1)</w:t>
      </w:r>
    </w:p>
    <w:p w:rsidR="00000000" w:rsidDel="00000000" w:rsidP="00000000" w:rsidRDefault="00000000" w:rsidRPr="00000000" w14:paraId="00000047">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48">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p_value</w:t>
      </w:r>
    </w:p>
    <w:p w:rsidR="00000000" w:rsidDel="00000000" w:rsidP="00000000" w:rsidRDefault="00000000" w:rsidRPr="00000000" w14:paraId="00000049">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0.1581954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3D.</w:t>
      </w:r>
    </w:p>
    <w:p w:rsidR="00000000" w:rsidDel="00000000" w:rsidP="00000000" w:rsidRDefault="00000000" w:rsidRPr="00000000" w14:paraId="0000004D">
      <w:pPr>
        <w:rPr/>
      </w:pPr>
      <w:r w:rsidDel="00000000" w:rsidR="00000000" w:rsidRPr="00000000">
        <w:rPr>
          <w:rtl w:val="0"/>
        </w:rPr>
        <w:t xml:space="preserve">The p-value is 0.15 which is greater than the 0.05 significance level. Thus, fail to reject the null hypothesis and can conclude that there is not enough evidence to suggest that the mean thickness of the spearmint gum strips is different from the target thickness.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4A.</w:t>
      </w:r>
    </w:p>
    <w:p w:rsidR="00000000" w:rsidDel="00000000" w:rsidP="00000000" w:rsidRDefault="00000000" w:rsidRPr="00000000" w14:paraId="00000050">
      <w:pPr>
        <w:rPr/>
      </w:pPr>
      <w:r w:rsidDel="00000000" w:rsidR="00000000" w:rsidRPr="00000000">
        <w:rPr>
          <w:rtl w:val="0"/>
        </w:rPr>
        <w:t xml:space="preserve">One side t test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 = (x̄ - μ) / (s / sqrt(n))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where xx is the sample mean, μ is the hypothesized mean, s is the sample standard deviation, and n is the sample size.</w:t>
      </w:r>
    </w:p>
    <w:p w:rsidR="00000000" w:rsidDel="00000000" w:rsidP="00000000" w:rsidRDefault="00000000" w:rsidRPr="00000000" w14:paraId="00000055">
      <w:pPr>
        <w:spacing w:after="240" w:before="240" w:lineRule="auto"/>
        <w:rPr/>
      </w:pPr>
      <w:r w:rsidDel="00000000" w:rsidR="00000000" w:rsidRPr="00000000">
        <w:rPr>
          <w:rtl w:val="0"/>
        </w:rPr>
        <w:t xml:space="preserve">Where x is the sample mean, μ is the hypothesized mean (47 mg), s is the sample standard deviation, and n is the sample size. The critical region is given by the t-value that corresponds to a significance level of 0.05 with (n-1) degrees of freedom</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4B.</w:t>
      </w:r>
    </w:p>
    <w:p w:rsidR="00000000" w:rsidDel="00000000" w:rsidP="00000000" w:rsidRDefault="00000000" w:rsidRPr="00000000" w14:paraId="00000058">
      <w:pPr>
        <w:spacing w:after="240" w:before="240" w:lineRule="auto"/>
        <w:rPr/>
      </w:pPr>
      <w:r w:rsidDel="00000000" w:rsidR="00000000" w:rsidRPr="00000000">
        <w:rPr>
          <w:rtl w:val="0"/>
        </w:rPr>
        <w:t xml:space="preserve">P-value is 0.0896, which is larger than the significance level of 0.05. Therefore, we fail to reject the null hypothesis and can conclude that there is not enough evidence to suggest that the mean amount of Vitamin B6 in each pill is less than 47 mg.</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5. Skipping this one as i don’t know how to do it</w:t>
        <w:br w:type="textWrapping"/>
        <w:br w:type="textWrapping"/>
        <w:t xml:space="preserve">6.</w:t>
      </w:r>
    </w:p>
    <w:p w:rsidR="00000000" w:rsidDel="00000000" w:rsidP="00000000" w:rsidRDefault="00000000" w:rsidRPr="00000000" w14:paraId="0000005B">
      <w:pPr>
        <w:spacing w:after="240" w:before="240" w:lineRule="auto"/>
        <w:rPr/>
      </w:pPr>
      <w:r w:rsidDel="00000000" w:rsidR="00000000" w:rsidRPr="00000000">
        <w:rPr>
          <w:rtl w:val="0"/>
        </w:rPr>
        <w:t xml:space="preserve">6A..</w:t>
      </w:r>
    </w:p>
    <w:p w:rsidR="00000000" w:rsidDel="00000000" w:rsidP="00000000" w:rsidRDefault="00000000" w:rsidRPr="00000000" w14:paraId="0000005C">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auto = load('C:\Users\Tetra\Downloads\Be\auto.csv')</w:t>
      </w:r>
    </w:p>
    <w:p w:rsidR="00000000" w:rsidDel="00000000" w:rsidP="00000000" w:rsidRDefault="00000000" w:rsidRPr="00000000" w14:paraId="0000005D">
      <w:pPr>
        <w:spacing w:after="240" w:before="240" w:lineRule="auto"/>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rHeight w:val="52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model1 &lt;- lm(mpg ~ weight, data = auto)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summary(model1)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lm(formula = mpg ~ weight, data = auto)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Residuals: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       1Q   Median       3Q      Max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-12.0123  -2.8076  -0.3541   2.1145  16.4802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Coefficients: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Estimate Std. Error t value Pr(&gt;|t|)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(Intercept) 46.3173992  0.7962915   58.17   &lt;2e-16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      -0.0076766  0.0002578  -29.78   &lt;2e-16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Signif. codes:  0 ‘***’ 0.001 ‘**’ 0.01 ‘*’ 0.05 ‘.’ 0.1 ‘ ’ 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Residual standard error: 4.35 on 395 degrees of freedom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Multiple R-squared:  0.6918,</w:t>
              <w:tab/>
              <w:t xml:space="preserve">Adjusted R-squared:  0.691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F-statistic: 886.6 on 1 and 395 DF,  p-value: &lt; 2.2e-16</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spacing w:line="288" w:lineRule="auto"/>
              <w:rPr>
                <w:rFonts w:ascii="Courier New" w:cs="Courier New" w:eastAsia="Courier New" w:hAnsi="Courier New"/>
                <w:sz w:val="20"/>
                <w:szCs w:val="20"/>
              </w:rPr>
            </w:pPr>
            <w:r w:rsidDel="00000000" w:rsidR="00000000" w:rsidRPr="00000000">
              <w:rPr>
                <w:rtl w:val="0"/>
              </w:rPr>
            </w:r>
          </w:p>
        </w:tc>
      </w:tr>
      <w:tr>
        <w:trPr>
          <w:cantSplit w:val="0"/>
          <w:trHeight w:val="4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spacing w:after="240" w:before="240" w:line="288" w:lineRule="auto"/>
              <w:rPr>
                <w:rFonts w:ascii="Courier New" w:cs="Courier New" w:eastAsia="Courier New" w:hAnsi="Courier New"/>
                <w:sz w:val="20"/>
                <w:szCs w:val="20"/>
              </w:rPr>
            </w:pPr>
            <w:r w:rsidDel="00000000" w:rsidR="00000000" w:rsidRPr="00000000">
              <w:rPr>
                <w:rtl w:val="0"/>
              </w:rPr>
            </w:r>
          </w:p>
        </w:tc>
      </w:tr>
      <w:tr>
        <w:trPr>
          <w:cantSplit w:val="0"/>
          <w:trHeight w:val="4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Courier New" w:cs="Courier New" w:eastAsia="Courier New" w:hAnsi="Courier New"/>
                <w:sz w:val="20"/>
                <w:szCs w:val="20"/>
              </w:rPr>
            </w:pPr>
            <w:r w:rsidDel="00000000" w:rsidR="00000000" w:rsidRPr="00000000">
              <w:rPr>
                <w:rtl w:val="0"/>
              </w:rPr>
            </w:r>
          </w:p>
          <w:tbl>
            <w:tblPr>
              <w:tblStyle w:val="Table4"/>
              <w:tblW w:w="6868.140379185155" w:type="dxa"/>
              <w:jc w:val="left"/>
              <w:tblLayout w:type="fixed"/>
              <w:tblLook w:val="0600"/>
            </w:tblPr>
            <w:tblGrid>
              <w:gridCol w:w="6868.140379185155"/>
              <w:tblGridChange w:id="0">
                <w:tblGrid>
                  <w:gridCol w:w="6868.14037918515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288"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w:t>
                  </w:r>
                </w:p>
              </w:tc>
            </w:tr>
          </w:tbl>
          <w:p w:rsidR="00000000" w:rsidDel="00000000" w:rsidP="00000000" w:rsidRDefault="00000000" w:rsidRPr="00000000" w14:paraId="00000077">
            <w:pPr>
              <w:spacing w:after="240" w:before="240" w:line="288"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6B.</w:t>
      </w:r>
    </w:p>
    <w:p w:rsidR="00000000" w:rsidDel="00000000" w:rsidP="00000000" w:rsidRDefault="00000000" w:rsidRPr="00000000" w14:paraId="0000007A">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modeltwo &lt;- lm(mpg ~ weight + cylinders, data = auto)</w:t>
      </w:r>
    </w:p>
    <w:p w:rsidR="00000000" w:rsidDel="00000000" w:rsidP="00000000" w:rsidRDefault="00000000" w:rsidRPr="00000000" w14:paraId="0000007B">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summary(modeltwo)</w:t>
      </w:r>
    </w:p>
    <w:p w:rsidR="00000000" w:rsidDel="00000000" w:rsidP="00000000" w:rsidRDefault="00000000" w:rsidRPr="00000000" w14:paraId="0000007C">
      <w:pPr>
        <w:spacing w:after="240"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D">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w:t>
      </w:r>
    </w:p>
    <w:p w:rsidR="00000000" w:rsidDel="00000000" w:rsidP="00000000" w:rsidRDefault="00000000" w:rsidRPr="00000000" w14:paraId="0000007E">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lm(formula = mpg ~ weight + cylinders, data = auto)</w:t>
      </w:r>
    </w:p>
    <w:p w:rsidR="00000000" w:rsidDel="00000000" w:rsidP="00000000" w:rsidRDefault="00000000" w:rsidRPr="00000000" w14:paraId="0000007F">
      <w:pPr>
        <w:spacing w:after="240"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0">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Residuals:</w:t>
      </w:r>
    </w:p>
    <w:p w:rsidR="00000000" w:rsidDel="00000000" w:rsidP="00000000" w:rsidRDefault="00000000" w:rsidRPr="00000000" w14:paraId="00000081">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      1Q  Median      3Q     Max </w:t>
      </w:r>
    </w:p>
    <w:p w:rsidR="00000000" w:rsidDel="00000000" w:rsidP="00000000" w:rsidRDefault="00000000" w:rsidRPr="00000000" w14:paraId="00000082">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-12.677  -2.840  -0.297   2.256  16.544 </w:t>
      </w:r>
    </w:p>
    <w:p w:rsidR="00000000" w:rsidDel="00000000" w:rsidP="00000000" w:rsidRDefault="00000000" w:rsidRPr="00000000" w14:paraId="00000083">
      <w:pPr>
        <w:spacing w:after="240"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4">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Coefficients:</w:t>
      </w:r>
    </w:p>
    <w:p w:rsidR="00000000" w:rsidDel="00000000" w:rsidP="00000000" w:rsidRDefault="00000000" w:rsidRPr="00000000" w14:paraId="00000085">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Estimate Std. Error t value Pr(&gt;|t|)    </w:t>
      </w:r>
    </w:p>
    <w:p w:rsidR="00000000" w:rsidDel="00000000" w:rsidP="00000000" w:rsidRDefault="00000000" w:rsidRPr="00000000" w14:paraId="00000086">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46.3966522  0.7919053   58.59   &lt;2e-16 ***</w:t>
      </w:r>
    </w:p>
    <w:p w:rsidR="00000000" w:rsidDel="00000000" w:rsidP="00000000" w:rsidRDefault="00000000" w:rsidRPr="00000000" w14:paraId="00000087">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weight      -0.0063978  0.0005796  -11.04   &lt;2e-16 ***</w:t>
      </w:r>
    </w:p>
    <w:p w:rsidR="00000000" w:rsidDel="00000000" w:rsidP="00000000" w:rsidRDefault="00000000" w:rsidRPr="00000000" w14:paraId="00000088">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cylinders   -0.7104007  0.2888186   -2.46   0.0143 *  </w:t>
      </w:r>
    </w:p>
    <w:p w:rsidR="00000000" w:rsidDel="00000000" w:rsidP="00000000" w:rsidRDefault="00000000" w:rsidRPr="00000000" w14:paraId="00000089">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A">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Signif. codes:  0 ‘***’ 0.001 ‘**’ 0.01 ‘*’ 0.05 ‘.’ 0.1 ‘ ’ 1</w:t>
      </w:r>
    </w:p>
    <w:p w:rsidR="00000000" w:rsidDel="00000000" w:rsidP="00000000" w:rsidRDefault="00000000" w:rsidRPr="00000000" w14:paraId="0000008B">
      <w:pPr>
        <w:spacing w:after="240"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C">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 standard error: 4.323 on 394 degrees of freedom</w:t>
      </w:r>
    </w:p>
    <w:p w:rsidR="00000000" w:rsidDel="00000000" w:rsidP="00000000" w:rsidRDefault="00000000" w:rsidRPr="00000000" w14:paraId="0000008D">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Multiple R-squared:  0.6965,</w:t>
        <w:tab/>
        <w:t xml:space="preserve">Adjusted R-squared:  0.6949 </w:t>
      </w:r>
    </w:p>
    <w:p w:rsidR="00000000" w:rsidDel="00000000" w:rsidP="00000000" w:rsidRDefault="00000000" w:rsidRPr="00000000" w14:paraId="0000008E">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F-statistic:   452 on 2 and 394 DF,  p-value: &lt; 2.2e-16</w:t>
      </w:r>
    </w:p>
    <w:p w:rsidR="00000000" w:rsidDel="00000000" w:rsidP="00000000" w:rsidRDefault="00000000" w:rsidRPr="00000000" w14:paraId="0000008F">
      <w:pPr>
        <w:spacing w:after="240" w:before="240" w:lineRule="auto"/>
        <w:rPr/>
      </w:pPr>
      <w:r w:rsidDel="00000000" w:rsidR="00000000" w:rsidRPr="00000000">
        <w:rPr>
          <w:rtl w:val="0"/>
        </w:rPr>
        <w:t xml:space="preserve">6C.</w:t>
      </w:r>
    </w:p>
    <w:p w:rsidR="00000000" w:rsidDel="00000000" w:rsidP="00000000" w:rsidRDefault="00000000" w:rsidRPr="00000000" w14:paraId="00000090">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model1 &lt;- lm(mpg ~ weight + cylinders, data = auto)</w:t>
      </w:r>
    </w:p>
    <w:p w:rsidR="00000000" w:rsidDel="00000000" w:rsidP="00000000" w:rsidRDefault="00000000" w:rsidRPr="00000000" w14:paraId="00000091">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92">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summary(model1)$r.squared</w:t>
      </w:r>
    </w:p>
    <w:p w:rsidR="00000000" w:rsidDel="00000000" w:rsidP="00000000" w:rsidRDefault="00000000" w:rsidRPr="00000000" w14:paraId="00000093">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0.6964507</w:t>
      </w:r>
    </w:p>
    <w:p w:rsidR="00000000" w:rsidDel="00000000" w:rsidP="00000000" w:rsidRDefault="00000000" w:rsidRPr="00000000" w14:paraId="00000094">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95">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96">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modeltwo &lt;- lm(mpg ~ weight + cylinders + horsepower, data = auto)</w:t>
      </w:r>
    </w:p>
    <w:p w:rsidR="00000000" w:rsidDel="00000000" w:rsidP="00000000" w:rsidRDefault="00000000" w:rsidRPr="00000000" w14:paraId="00000097">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98">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summary(modeltwo)$r.squared</w:t>
      </w:r>
    </w:p>
    <w:p w:rsidR="00000000" w:rsidDel="00000000" w:rsidP="00000000" w:rsidRDefault="00000000" w:rsidRPr="00000000" w14:paraId="00000099">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0.8289737</w:t>
      </w:r>
    </w:p>
    <w:p w:rsidR="00000000" w:rsidDel="00000000" w:rsidP="00000000" w:rsidRDefault="00000000" w:rsidRPr="00000000" w14:paraId="0000009A">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