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Вид операций: Ручные</w:t>
      </w:r>
    </w:p>
    <w:p>
      <w:r>
        <w:t>Сложность изделия: Изделия простой конфигурации, однослойные</w:t>
      </w:r>
    </w:p>
    <w:p>
      <w:r>
        <w:t>Средняя продолжительность операции на доформовочном участке(мин): 40</w:t>
      </w:r>
    </w:p>
    <w:p>
      <w:r>
        <w:t>Средняя продолжительность операции на формовочном участке(мин): 40</w:t>
      </w:r>
    </w:p>
    <w:p>
      <w:r>
        <w:t>Средняя продолжительность операции на послеформовочном участке(мин): 40</w:t>
      </w:r>
    </w:p>
    <w:p>
      <w:r>
        <w:t>Продолжительность цикла формования (мин): 3</w:t>
      </w:r>
    </w:p>
    <w:p>
      <w:r>
        <w:t>Продолжительность передвижения тележек (мин): 1.5</w:t>
      </w:r>
    </w:p>
    <w:p>
      <w:r>
        <w:t>Использовать знаменатель коэффициента?: True</w:t>
      </w:r>
    </w:p>
    <w:p>
      <w:r>
        <w:t>Результат: 92.00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