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University of the West of Scotland</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School of Computing, Engineering and Physical Sciences</w:t>
      </w:r>
    </w:p>
    <w:p w:rsidR="00000000" w:rsidDel="00000000" w:rsidP="00000000" w:rsidRDefault="00000000" w:rsidRPr="00000000" w14:paraId="00000003">
      <w:pPr>
        <w:jc w:val="center"/>
        <w:rPr>
          <w:sz w:val="32"/>
          <w:szCs w:val="32"/>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MSc Masters Project Specification</w:t>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rPr>
          <w:color w:val="0070c0"/>
        </w:rPr>
      </w:pPr>
      <w:r w:rsidDel="00000000" w:rsidR="00000000" w:rsidRPr="00000000">
        <w:rPr>
          <w:color w:val="0070c0"/>
          <w:rtl w:val="0"/>
        </w:rPr>
        <w:t xml:space="preserve">Student’s Name: Saraswoti Pandey</w:t>
      </w:r>
    </w:p>
    <w:p w:rsidR="00000000" w:rsidDel="00000000" w:rsidP="00000000" w:rsidRDefault="00000000" w:rsidRPr="00000000" w14:paraId="00000007">
      <w:pPr>
        <w:rPr>
          <w:color w:val="0070c0"/>
        </w:rPr>
      </w:pPr>
      <w:r w:rsidDel="00000000" w:rsidR="00000000" w:rsidRPr="00000000">
        <w:rPr>
          <w:color w:val="0070c0"/>
          <w:rtl w:val="0"/>
        </w:rPr>
        <w:t xml:space="preserve">Banner id: B01820302</w:t>
      </w:r>
    </w:p>
    <w:p w:rsidR="00000000" w:rsidDel="00000000" w:rsidP="00000000" w:rsidRDefault="00000000" w:rsidRPr="00000000" w14:paraId="00000008">
      <w:pPr>
        <w:rPr>
          <w:color w:val="0070c0"/>
        </w:rPr>
      </w:pPr>
      <w:r w:rsidDel="00000000" w:rsidR="00000000" w:rsidRPr="00000000">
        <w:rPr>
          <w:color w:val="0070c0"/>
          <w:rtl w:val="0"/>
        </w:rPr>
        <w:t xml:space="preserve">MSc Programme (specify the specialist pathway, if any):</w:t>
      </w:r>
    </w:p>
    <w:p w:rsidR="00000000" w:rsidDel="00000000" w:rsidP="00000000" w:rsidRDefault="00000000" w:rsidRPr="00000000" w14:paraId="00000009">
      <w:pPr>
        <w:tabs>
          <w:tab w:val="left" w:leader="none" w:pos="7800"/>
        </w:tabs>
        <w:rPr/>
      </w:pPr>
      <w:r w:rsidDel="00000000" w:rsidR="00000000" w:rsidRPr="00000000">
        <w:rPr>
          <w:color w:val="0070c0"/>
          <w:rtl w:val="0"/>
        </w:rPr>
        <w:t xml:space="preserve">MSc Programme Leader</w:t>
      </w:r>
      <w:r w:rsidDel="00000000" w:rsidR="00000000" w:rsidRPr="00000000">
        <w:rPr>
          <w:rtl w:val="0"/>
        </w:rPr>
        <w:t xml:space="preserve">: </w:t>
        <w:tab/>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0070c0"/>
        </w:rPr>
      </w:pPr>
      <w:r w:rsidDel="00000000" w:rsidR="00000000" w:rsidRPr="00000000">
        <w:rPr>
          <w:color w:val="0070c0"/>
          <w:rtl w:val="0"/>
        </w:rPr>
        <w:t xml:space="preserve">Project Title </w:t>
        <w:tab/>
        <w:tab/>
        <w:tab/>
        <w:tab/>
        <w:tab/>
        <w:tab/>
        <w:tab/>
        <w:tab/>
        <w:tab/>
        <w:tab/>
        <w:t xml:space="preserve">(5 Marks)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Algorithmic Bias in Dynamic Pricing: Evaluating Fairness and Profit Optimisation Using Business Analytics</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70c0"/>
        </w:rPr>
      </w:pPr>
      <w:r w:rsidDel="00000000" w:rsidR="00000000" w:rsidRPr="00000000">
        <w:rPr>
          <w:color w:val="0070c0"/>
          <w:rtl w:val="0"/>
        </w:rPr>
        <w:t xml:space="preserve">Abstract </w:t>
      </w:r>
    </w:p>
    <w:p w:rsidR="00000000" w:rsidDel="00000000" w:rsidP="00000000" w:rsidRDefault="00000000" w:rsidRPr="00000000" w14:paraId="0000000F">
      <w:pPr>
        <w:rPr>
          <w:color w:val="0070c0"/>
        </w:rPr>
      </w:pPr>
      <w:r w:rsidDel="00000000" w:rsidR="00000000" w:rsidRPr="00000000">
        <w:rPr>
          <w:i w:val="1"/>
          <w:iCs w:val="1"/>
          <w:sz w:val="20"/>
          <w:szCs w:val="20"/>
          <w:rtl w:val="0"/>
        </w:rPr>
        <w:t xml:space="preserve">(Project overview reflecting the larger scope of the project.)</w:t>
      </w:r>
      <w:r w:rsidDel="00000000" w:rsidR="00000000" w:rsidRPr="00000000">
        <w:rPr>
          <w:rtl w:val="0"/>
        </w:rPr>
        <w:tab/>
        <w:tab/>
        <w:tab/>
      </w:r>
      <w:r w:rsidDel="00000000" w:rsidR="00000000" w:rsidRPr="00000000">
        <w:rPr>
          <w:color w:val="0070c0"/>
          <w:rtl w:val="0"/>
        </w:rPr>
        <w:t xml:space="preserve"> </w:t>
      </w:r>
      <w:r w:rsidDel="00000000" w:rsidR="00000000" w:rsidRPr="00000000">
        <w:rPr>
          <w:rtl w:val="0"/>
        </w:rPr>
        <w:tab/>
        <w:tab/>
      </w:r>
      <w:r w:rsidDel="00000000" w:rsidR="00000000" w:rsidRPr="00000000">
        <w:rPr>
          <w:color w:val="0070c0"/>
          <w:rtl w:val="0"/>
        </w:rPr>
        <w:t xml:space="preserve">(10 Marks)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Dynamic pricing has become a common strategy in many digital platforms where prices are automatically adjusted according to market conditions, consumer demand, and behavioural data. Online marketplaces and service platforms increasingly rely on data-driven algorithms to determine optimal prices in real time. While this approach can improve efficiency and revenue generation, concerns have emerged regarding the transparency and fairness of automated pricing decisions. This project investigates whether dynamic pricing algorithms may unintentionally generate biased pricing outcomes across different consumer groups. In particular, the research explores how variables such as demand levels, time of purchase, location, and user characteristics may influence price variation within algorithm-driven systems. The study will use publicly available datasets from digital marketplaces to analyse pricing patterns using business analytics techniques. Methods such as exploratory data analysis, regression modelling, and machine learning will be applied to simulate dynamic pricing behaviour and examine potential disparities in pricing outcomes across consumer segments. In addition, fairness analysis techniques will be used to assess whether algorithmic pricing models treat different groups equitably. The main aim of this research is to develop an analytical framework that evaluates both profitability and fairness in dynamic pricing systems. By identifying potential biases within pricing algorithms, the study seeks to contribute to the growing discussion on responsible data analytics and ethical use of artificial intelligence in business decision making. The findings will provide practical insights for organisations seeking to balance revenue optimisation with transparency and consumer trust in digital markets.</w:t>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0070c0"/>
        </w:rPr>
      </w:pPr>
      <w:r w:rsidDel="00000000" w:rsidR="00000000" w:rsidRPr="00000000">
        <w:rPr>
          <w:color w:val="0070c0"/>
          <w:rtl w:val="0"/>
        </w:rPr>
        <w:t xml:space="preserve">Justification and overall Aim </w:t>
      </w:r>
      <w:r w:rsidDel="00000000" w:rsidR="00000000" w:rsidRPr="00000000">
        <w:rPr>
          <w:rtl w:val="0"/>
        </w:rPr>
        <w:tab/>
        <w:tab/>
        <w:tab/>
        <w:tab/>
        <w:tab/>
        <w:tab/>
        <w:tab/>
        <w:tab/>
      </w:r>
      <w:r w:rsidDel="00000000" w:rsidR="00000000" w:rsidRPr="00000000">
        <w:rPr>
          <w:color w:val="0070c0"/>
          <w:rtl w:val="0"/>
        </w:rPr>
        <w:t xml:space="preserve">(10 Marks)</w:t>
      </w:r>
    </w:p>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(Rationale for the research showing gaps in the current knowledge and general statements on intent and direction of the project*) </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6">
            <w:pPr>
              <w:spacing w:after="240" w:before="240" w:lineRule="auto"/>
              <w:rPr/>
            </w:pPr>
            <w:r w:rsidDel="00000000" w:rsidR="00000000" w:rsidRPr="00000000">
              <w:rPr>
                <w:rtl w:val="0"/>
              </w:rPr>
              <w:t xml:space="preserve">Across industries such as e-commerce, travel, and ride-sharing, dynamic pricing has become a standard feature of digital business operations. These systems continuously adjust prices in response to shifts in demand, customer behaviour, and supply availability, offering businesses a powerful tool for maximising revenue. However, the growing reliance on automated pricing decisions has brought with it a set of concerns that go beyond commercial performance. There is increasing evidence that pricing algorithms, even when not deliberately designed to discriminate, may produce outcomes that systematically disadvantage certain groups of consumers. Prices shaped by factors such as location, purchasing history, or demographic proxies can create inequalities that are difficult for consumers to detect or challenge.</w:t>
            </w:r>
          </w:p>
          <w:p w:rsidR="00000000" w:rsidDel="00000000" w:rsidP="00000000" w:rsidRDefault="00000000" w:rsidRPr="00000000" w14:paraId="00000017">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literature on algorithmic bias has largely focused on domains such as hiring, credit scoring, and criminal justice. However, the specific question of how bias operates within pricing algorithms and what consequences this carries for different consumer groups has received far less attention. </w:t>
            </w:r>
            <w:r w:rsidDel="00000000" w:rsidR="00000000" w:rsidRPr="00000000">
              <w:rPr>
                <w:rFonts w:ascii="Times New Roman" w:cs="Times New Roman" w:eastAsia="Times New Roman" w:hAnsi="Times New Roman"/>
                <w:b w:val="1"/>
                <w:bCs w:val="1"/>
                <w:rtl w:val="0"/>
              </w:rPr>
              <w:t xml:space="preserve">Spann et al. (2024)</w:t>
            </w:r>
            <w:r w:rsidDel="00000000" w:rsidR="00000000" w:rsidRPr="00000000">
              <w:rPr>
                <w:rFonts w:ascii="Times New Roman" w:cs="Times New Roman" w:eastAsia="Times New Roman" w:hAnsi="Times New Roman"/>
                <w:rtl w:val="0"/>
              </w:rPr>
              <w:t xml:space="preserve"> point out that when prices shift in ways consumers cannot understand or predict, the result is often a strong sense of unfairness, regardless of whether the pricing logic is commercially sound. </w:t>
            </w:r>
            <w:r w:rsidDel="00000000" w:rsidR="00000000" w:rsidRPr="00000000">
              <w:rPr>
                <w:rFonts w:ascii="Times New Roman" w:cs="Times New Roman" w:eastAsia="Times New Roman" w:hAnsi="Times New Roman"/>
                <w:b w:val="1"/>
                <w:bCs w:val="1"/>
                <w:rtl w:val="0"/>
              </w:rPr>
              <w:t xml:space="preserve">Kopalle et al. (2023)</w:t>
            </w:r>
            <w:r w:rsidDel="00000000" w:rsidR="00000000" w:rsidRPr="00000000">
              <w:rPr>
                <w:rFonts w:ascii="Times New Roman" w:cs="Times New Roman" w:eastAsia="Times New Roman" w:hAnsi="Times New Roman"/>
                <w:rtl w:val="0"/>
              </w:rPr>
              <w:t xml:space="preserve"> make a similar observation, acknowledging that although dynamic pricing delivers measurable profitability gains, the ethical questions it raises have not been adequately addressed in the literature. The combined effect is a notable gap in our understanding of how variables such as demand, time, location, and user behaviour interact within algorithmic systems to produce differential pricing outcomes.</w:t>
            </w:r>
          </w:p>
          <w:p w:rsidR="00000000" w:rsidDel="00000000" w:rsidP="00000000" w:rsidRDefault="00000000" w:rsidRPr="00000000" w14:paraId="00000018">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growing application of machine learning in pricing systems increases the complexity and opacity of pricing decisions, making it harder for consumers and organisations to identify and address potential biases. </w:t>
            </w:r>
            <w:r w:rsidDel="00000000" w:rsidR="00000000" w:rsidRPr="00000000">
              <w:rPr>
                <w:rFonts w:ascii="Times New Roman" w:cs="Times New Roman" w:eastAsia="Times New Roman" w:hAnsi="Times New Roman"/>
                <w:b w:val="1"/>
                <w:bCs w:val="1"/>
                <w:rtl w:val="0"/>
              </w:rPr>
              <w:t xml:space="preserve">Akter et al. (2022)</w:t>
            </w:r>
            <w:r w:rsidDel="00000000" w:rsidR="00000000" w:rsidRPr="00000000">
              <w:rPr>
                <w:rFonts w:ascii="Times New Roman" w:cs="Times New Roman" w:eastAsia="Times New Roman" w:hAnsi="Times New Roman"/>
                <w:rtl w:val="0"/>
              </w:rPr>
              <w:t xml:space="preserve"> observe that algorithmic bias in marketing models can arise from the use of proxy variables that correlate with protected characteristics, even when direct discrimination is not intended. In a dynamic pricing context, where numerous variables feed simultaneously into price calculations, this kind of indirect discrimination can go unnoticed for extended periods.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Overall aim:</w:t>
            </w:r>
          </w:p>
          <w:p w:rsidR="00000000" w:rsidDel="00000000" w:rsidP="00000000" w:rsidRDefault="00000000" w:rsidRPr="00000000" w14:paraId="0000001A">
            <w:pPr>
              <w:spacing w:after="80" w:before="80" w:line="264" w:lineRule="auto"/>
              <w:jc w:val="both"/>
              <w:rPr/>
            </w:pPr>
            <w:r w:rsidDel="00000000" w:rsidR="00000000" w:rsidRPr="00000000">
              <w:rPr>
                <w:rFonts w:ascii="Times New Roman" w:cs="Times New Roman" w:eastAsia="Times New Roman" w:hAnsi="Times New Roman"/>
                <w:rtl w:val="0"/>
              </w:rPr>
              <w:t xml:space="preserve">To develop an analytical framework that evaluates both profitability and fairness in dynamic pricing systems, by identifying potential algorithmic biases in price variation across consumer groups using business analytics techniques.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0070c0"/>
        </w:rPr>
      </w:pPr>
      <w:r w:rsidDel="00000000" w:rsidR="00000000" w:rsidRPr="00000000">
        <w:rPr>
          <w:color w:val="0070c0"/>
          <w:rtl w:val="0"/>
        </w:rPr>
        <w:t xml:space="preserve">Objectives</w:t>
        <w:tab/>
        <w:tab/>
        <w:tab/>
        <w:tab/>
        <w:tab/>
        <w:tab/>
        <w:tab/>
        <w:tab/>
        <w:tab/>
        <w:tab/>
        <w:t xml:space="preserve"> (10 Marks)</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(List of tasks to be undertaken to achieve overall aim of the project* and to answer the research question posed)</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 out a critical review of existing research on dynamic pricing, algorithmic bias, and fairness analysis in order to build a solid theoretical foundation for the study.</w:t>
            </w:r>
          </w:p>
          <w:p w:rsidR="00000000" w:rsidDel="00000000" w:rsidP="00000000" w:rsidRDefault="00000000" w:rsidRPr="00000000" w14:paraId="00000029">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and obtain publicly available datasets from digital marketplace platforms that include relevant variables such as pricing records, demand indicators, time of purchase, geographic data, and user characteristics.</w:t>
            </w:r>
          </w:p>
          <w:p w:rsidR="00000000" w:rsidDel="00000000" w:rsidP="00000000" w:rsidRDefault="00000000" w:rsidRPr="00000000" w14:paraId="0000002A">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exploratory data analysis to examine pricing patterns across the dataset, identify trends and irregularities, and assess whether initial differences in pricing outcomes are visible across consumer segments.</w:t>
            </w:r>
          </w:p>
          <w:p w:rsidR="00000000" w:rsidDel="00000000" w:rsidP="00000000" w:rsidRDefault="00000000" w:rsidRPr="00000000" w14:paraId="0000002B">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regression modelling to measure how individual algorithmic variables — including demand levels, purchase timing, location, and user characteristics — contribute to price variation across consumer groups.</w:t>
            </w:r>
          </w:p>
          <w:p w:rsidR="00000000" w:rsidDel="00000000" w:rsidP="00000000" w:rsidRDefault="00000000" w:rsidRPr="00000000" w14:paraId="0000002C">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machine learning methods to simulate dynamic pricing behaviour and investigate how algorithmic decisions may generate different pricing outcomes under a range of market conditions.</w:t>
            </w:r>
          </w:p>
          <w:p w:rsidR="00000000" w:rsidDel="00000000" w:rsidP="00000000" w:rsidRDefault="00000000" w:rsidRPr="00000000" w14:paraId="0000002D">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fairness analysis techniques to determine whether the pricing models examined treat different consumer groups equitably, making use of established metrics including disparate impact analysis.</w:t>
            </w:r>
          </w:p>
          <w:p w:rsidR="00000000" w:rsidDel="00000000" w:rsidP="00000000" w:rsidRDefault="00000000" w:rsidRPr="00000000" w14:paraId="0000002E">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an analytical framework that brings together profitability evaluation and fairness assessment, giving organisations a practical structure for auditing their own dynamic pricing systems.</w:t>
            </w:r>
          </w:p>
          <w:p w:rsidR="00000000" w:rsidDel="00000000" w:rsidP="00000000" w:rsidRDefault="00000000" w:rsidRPr="00000000" w14:paraId="0000002F">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practical implications of the findings for organisations seeking to balance revenue optimisation with transparency and consumer trust in digital markets, alongside ethical and data-related considerations.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rPr>
          <w:color w:val="0070c0"/>
        </w:rPr>
      </w:pPr>
      <w:r w:rsidDel="00000000" w:rsidR="00000000" w:rsidRPr="00000000">
        <w:rPr>
          <w:rtl w:val="0"/>
        </w:rPr>
      </w:r>
    </w:p>
    <w:p w:rsidR="00000000" w:rsidDel="00000000" w:rsidP="00000000" w:rsidRDefault="00000000" w:rsidRPr="00000000" w14:paraId="00000032">
      <w:pPr>
        <w:rPr>
          <w:color w:val="0070c0"/>
        </w:rPr>
      </w:pPr>
      <w:r w:rsidDel="00000000" w:rsidR="00000000" w:rsidRPr="00000000">
        <w:rPr>
          <w:color w:val="0070c0"/>
          <w:rtl w:val="0"/>
        </w:rPr>
        <w:t xml:space="preserve">Review of Literature </w:t>
      </w:r>
      <w:r w:rsidDel="00000000" w:rsidR="00000000" w:rsidRPr="00000000">
        <w:rPr>
          <w:rtl w:val="0"/>
        </w:rPr>
        <w:tab/>
        <w:tab/>
        <w:tab/>
        <w:tab/>
        <w:tab/>
        <w:tab/>
        <w:tab/>
        <w:tab/>
        <w:tab/>
      </w:r>
      <w:r w:rsidDel="00000000" w:rsidR="00000000" w:rsidRPr="00000000">
        <w:rPr>
          <w:color w:val="0070c0"/>
          <w:rtl w:val="0"/>
        </w:rPr>
        <w:t xml:space="preserve">(20 Marks)</w:t>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(An account of the current thinking/published information in the specific area of project*) </w:t>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3255" w:hRule="atLeast"/>
          <w:tblHeader w:val="0"/>
        </w:trPr>
        <w:tc>
          <w:tcPr/>
          <w:p w:rsidR="00000000" w:rsidDel="00000000" w:rsidP="00000000" w:rsidRDefault="00000000" w:rsidRPr="00000000" w14:paraId="00000034">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Pricing and Algorithmic Decision Making</w:t>
            </w:r>
            <w:r w:rsidDel="00000000" w:rsidR="00000000" w:rsidRPr="00000000">
              <w:rPr>
                <w:rtl w:val="0"/>
              </w:rPr>
            </w:r>
          </w:p>
          <w:p w:rsidR="00000000" w:rsidDel="00000000" w:rsidP="00000000" w:rsidRDefault="00000000" w:rsidRPr="00000000" w14:paraId="00000035">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pricing refers to the practice of adjusting prices in real time based on changes in market conditions, demand, location, and consumer behaviour. (</w:t>
            </w:r>
            <w:r w:rsidDel="00000000" w:rsidR="00000000" w:rsidRPr="00000000">
              <w:rPr>
                <w:rFonts w:ascii="Times New Roman" w:cs="Times New Roman" w:eastAsia="Times New Roman" w:hAnsi="Times New Roman"/>
                <w:b w:val="1"/>
                <w:bCs w:val="1"/>
                <w:rtl w:val="0"/>
              </w:rPr>
              <w:t xml:space="preserve">Kopalle et al., 2023) </w:t>
            </w:r>
            <w:r w:rsidDel="00000000" w:rsidR="00000000" w:rsidRPr="00000000">
              <w:rPr>
                <w:rFonts w:ascii="Times New Roman" w:cs="Times New Roman" w:eastAsia="Times New Roman" w:hAnsi="Times New Roman"/>
                <w:rtl w:val="0"/>
              </w:rPr>
              <w:t xml:space="preserve"> define dynamic pricing as a strategy driven by four key dimensions: people, products, periods, and places, noting that the integration of machine learning and artificial intelligence has accelerated its adoption across industries including e-commerce, ride-sharing, hospitality, and digital platforms.</w:t>
            </w:r>
          </w:p>
          <w:p w:rsidR="00000000" w:rsidDel="00000000" w:rsidP="00000000" w:rsidRDefault="00000000" w:rsidRPr="00000000" w14:paraId="00000036">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machine learning has become central to pricing decisions, the range of variables informing those decisions has expanded well beyond traditional supply and demand signals. Browsing behaviour, device type, purchase history, and even session duration now feed into pricing models alongside more conventional market indicators. </w:t>
            </w:r>
            <w:r w:rsidDel="00000000" w:rsidR="00000000" w:rsidRPr="00000000">
              <w:rPr>
                <w:rFonts w:ascii="Times New Roman" w:cs="Times New Roman" w:eastAsia="Times New Roman" w:hAnsi="Times New Roman"/>
                <w:b w:val="1"/>
                <w:bCs w:val="1"/>
                <w:rtl w:val="0"/>
              </w:rPr>
              <w:t xml:space="preserve">Nowak and Pawłowska-Nowak (2024)</w:t>
            </w:r>
            <w:r w:rsidDel="00000000" w:rsidR="00000000" w:rsidRPr="00000000">
              <w:rPr>
                <w:rFonts w:ascii="Times New Roman" w:cs="Times New Roman" w:eastAsia="Times New Roman" w:hAnsi="Times New Roman"/>
                <w:rtl w:val="0"/>
              </w:rPr>
              <w:t xml:space="preserve"> highlight that while machine learning-driven pricing strategies consistently improve revenue performance, they simultaneously introduce concerns around transparency and equity. Gradient boosting models and reinforcement learning approaches, though highly effective at prediction, produce outputs that are inherently difficult to interpret, creating a challenge for anyone attempting to assess whether pricing decisions are applied consistently and fairly across different groups of consumers.</w:t>
            </w:r>
          </w:p>
          <w:p w:rsidR="00000000" w:rsidDel="00000000" w:rsidP="00000000" w:rsidRDefault="00000000" w:rsidRPr="00000000" w14:paraId="00000037">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Algorithmic Bias and Fairness in Pricing</w:t>
            </w:r>
            <w:r w:rsidDel="00000000" w:rsidR="00000000" w:rsidRPr="00000000">
              <w:rPr>
                <w:rtl w:val="0"/>
              </w:rPr>
            </w:r>
          </w:p>
          <w:p w:rsidR="00000000" w:rsidDel="00000000" w:rsidP="00000000" w:rsidRDefault="00000000" w:rsidRPr="00000000" w14:paraId="00000039">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bias refers to systematic and unjustified disparities in the outputs of automated decision-making systems, which may arise from biased training data, the use of proxy variables, or flawed model design. (</w:t>
            </w:r>
            <w:r w:rsidDel="00000000" w:rsidR="00000000" w:rsidRPr="00000000">
              <w:rPr>
                <w:rFonts w:ascii="Times New Roman" w:cs="Times New Roman" w:eastAsia="Times New Roman" w:hAnsi="Times New Roman"/>
                <w:b w:val="1"/>
                <w:bCs w:val="1"/>
                <w:rtl w:val="0"/>
              </w:rPr>
              <w:t xml:space="preserve">Akter et al., 2022) </w:t>
            </w:r>
            <w:r w:rsidDel="00000000" w:rsidR="00000000" w:rsidRPr="00000000">
              <w:rPr>
                <w:rFonts w:ascii="Times New Roman" w:cs="Times New Roman" w:eastAsia="Times New Roman" w:hAnsi="Times New Roman"/>
                <w:rtl w:val="0"/>
              </w:rPr>
              <w:t xml:space="preserve"> specifically examine algorithmic bias in machine learning-based marketing models, finding that bias often surfaces not through direct targeting but through the use of variables such as location or purchase timing  that stand in for characteristics like socioeconomic status or ethnicity. In dynamic pricing systems, where many such variables operate simultaneously, the conditions for this kind of indirect bias are particularly prevalent.</w:t>
            </w:r>
          </w:p>
          <w:p w:rsidR="00000000" w:rsidDel="00000000" w:rsidP="00000000" w:rsidRDefault="00000000" w:rsidRPr="00000000" w14:paraId="0000003A">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Mehrabi et al. (2021)</w:t>
            </w:r>
            <w:r w:rsidDel="00000000" w:rsidR="00000000" w:rsidRPr="00000000">
              <w:rPr>
                <w:rFonts w:ascii="Times New Roman" w:cs="Times New Roman" w:eastAsia="Times New Roman" w:hAnsi="Times New Roman"/>
                <w:rtl w:val="0"/>
              </w:rPr>
              <w:t xml:space="preserve">, in a widely cite survey on fairness in machine learning, categorise bias into multiple types including representation bias, measurement bias, and aggregation bias, each of which can affect pricing systems in different ways. Building on this foundation,  </w:t>
            </w:r>
            <w:r w:rsidDel="00000000" w:rsidR="00000000" w:rsidRPr="00000000">
              <w:rPr>
                <w:rFonts w:ascii="Times New Roman" w:cs="Times New Roman" w:eastAsia="Times New Roman" w:hAnsi="Times New Roman"/>
                <w:b w:val="1"/>
                <w:bCs w:val="1"/>
                <w:rtl w:val="0"/>
              </w:rPr>
              <w:t xml:space="preserve">Caton and Haas (2024) </w:t>
            </w:r>
            <w:r w:rsidDel="00000000" w:rsidR="00000000" w:rsidRPr="00000000">
              <w:rPr>
                <w:rFonts w:ascii="Times New Roman" w:cs="Times New Roman" w:eastAsia="Times New Roman" w:hAnsi="Times New Roman"/>
                <w:rtl w:val="0"/>
              </w:rPr>
              <w:t xml:space="preserve"> provide a comprehensive review of fairness metrics applicable to machine learning models, organising these into pre-processing, in-processing, and post-processing approaches. Of particular relevance to this project is the concept of disparate impact, which measures whether algorithmic outputs produce systematically different outcomes for different groups. </w:t>
            </w:r>
          </w:p>
          <w:p w:rsidR="00000000" w:rsidDel="00000000" w:rsidP="00000000" w:rsidRDefault="00000000" w:rsidRPr="00000000" w14:paraId="0000003C">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Starke et al. (2022)</w:t>
            </w:r>
            <w:r w:rsidDel="00000000" w:rsidR="00000000" w:rsidRPr="00000000">
              <w:rPr>
                <w:rFonts w:ascii="Times New Roman" w:cs="Times New Roman" w:eastAsia="Times New Roman" w:hAnsi="Times New Roman"/>
                <w:rtl w:val="0"/>
              </w:rPr>
              <w:t xml:space="preserve"> contribute an important finding from the consumer side of this equation. Their systematic review of empirical studies on algorithmic decision-making found that the perceived fairness of algorithmic outputs is heavily shaped by whether explanations are provided. Where pricing decisions are opaque, consumers tend to assume the worst, meaning that a lack of transparency can itself erode trust even when the underlying pricing logic is defensible.</w:t>
            </w:r>
          </w:p>
          <w:p w:rsidR="00000000" w:rsidDel="00000000" w:rsidP="00000000" w:rsidRDefault="00000000" w:rsidRPr="00000000" w14:paraId="0000003D">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Consumer Trust and Transparency in Algorithmic Pricing</w:t>
            </w:r>
            <w:r w:rsidDel="00000000" w:rsidR="00000000" w:rsidRPr="00000000">
              <w:rPr>
                <w:rtl w:val="0"/>
              </w:rPr>
            </w:r>
          </w:p>
          <w:p w:rsidR="00000000" w:rsidDel="00000000" w:rsidP="00000000" w:rsidRDefault="00000000" w:rsidRPr="00000000" w14:paraId="0000003F">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trust in algorithmic pricing is closely linked to perceptions of fairness and transparency. </w:t>
            </w:r>
            <w:r w:rsidDel="00000000" w:rsidR="00000000" w:rsidRPr="00000000">
              <w:rPr>
                <w:rFonts w:ascii="Times New Roman" w:cs="Times New Roman" w:eastAsia="Times New Roman" w:hAnsi="Times New Roman"/>
                <w:b w:val="1"/>
                <w:bCs w:val="1"/>
                <w:rtl w:val="0"/>
              </w:rPr>
              <w:t xml:space="preserve">Vomberg, Homburg and Sarantopoulos, (2024</w:t>
            </w:r>
            <w:r w:rsidDel="00000000" w:rsidR="00000000" w:rsidRPr="00000000">
              <w:rPr>
                <w:rFonts w:ascii="Times New Roman" w:cs="Times New Roman" w:eastAsia="Times New Roman" w:hAnsi="Times New Roman"/>
                <w:rtl w:val="0"/>
              </w:rPr>
              <w:t xml:space="preserve"> demonstrate that dynamic pricing driven by algorithms reduces consumer trust, most sharply when price changes appear erratic or seem to target particular customers. Their research suggests that while consumers may gradually adjust to algorithmic pricing but organisations cannot rely on normalisation alone, active transparency about how prices are set remains essential for maintaining positive consumer relationships.</w:t>
            </w:r>
          </w:p>
          <w:p w:rsidR="00000000" w:rsidDel="00000000" w:rsidP="00000000" w:rsidRDefault="00000000" w:rsidRPr="00000000" w14:paraId="00000040">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Spann et al., (2024) </w:t>
            </w:r>
            <w:r w:rsidDel="00000000" w:rsidR="00000000" w:rsidRPr="00000000">
              <w:rPr>
                <w:rFonts w:ascii="Times New Roman" w:cs="Times New Roman" w:eastAsia="Times New Roman" w:hAnsi="Times New Roman"/>
                <w:rtl w:val="0"/>
              </w:rPr>
              <w:t xml:space="preserve">highlight that consumers generally perceive algorithmic price setting as less fair than human price setting, particularly when prices vary across time or between customers for the same product or service. The authors note that transparency regarding the use of pricing algorithms plays a critical role in shaping consumer trust, and that the opacity of algorithmic pricing remains a significant concern for both consumers and regulators. </w:t>
            </w:r>
          </w:p>
          <w:p w:rsidR="00000000" w:rsidDel="00000000" w:rsidP="00000000" w:rsidRDefault="00000000" w:rsidRPr="00000000" w14:paraId="00000042">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Gaps in the Literature and Project Contribution</w:t>
            </w:r>
            <w:r w:rsidDel="00000000" w:rsidR="00000000" w:rsidRPr="00000000">
              <w:rPr>
                <w:rtl w:val="0"/>
              </w:rPr>
            </w:r>
          </w:p>
          <w:p w:rsidR="00000000" w:rsidDel="00000000" w:rsidP="00000000" w:rsidRDefault="00000000" w:rsidRPr="00000000" w14:paraId="00000044">
            <w:pPr>
              <w:spacing w:after="80" w:before="80" w:line="264" w:lineRule="auto"/>
              <w:jc w:val="both"/>
              <w:rPr>
                <w:i w:val="1"/>
                <w:iCs w:val="1"/>
                <w:sz w:val="20"/>
                <w:szCs w:val="20"/>
              </w:rPr>
            </w:pPr>
            <w:r w:rsidDel="00000000" w:rsidR="00000000" w:rsidRPr="00000000">
              <w:rPr>
                <w:rFonts w:ascii="Times New Roman" w:cs="Times New Roman" w:eastAsia="Times New Roman" w:hAnsi="Times New Roman"/>
                <w:rtl w:val="0"/>
              </w:rPr>
              <w:t xml:space="preserve">Despite growing interest in algorithmic fairness and dynamic pricing, a clear gap remains in the academic literature. Most fairness analysis research focuses on classification tasks in domains such as hiring and credit scoring, and has not been systematically applied to dynamic pricing algorithms. Furthermore, existing studies on pricing personalisation often rely on observational data with limited control over confounding variables, making it difficult to isolate the algorithmic contribution to pricing disparities. There is also a lack of integrated frameworks that address both profitability and fairness objectives simultaneously. This project addresses these gaps by applying business analytics methods to publicly available marketplace data, and by developing an analytical framework that evaluates dynamic pricing systems against both commercial and fairness criteria.</w:t>
            </w:r>
            <w:r w:rsidDel="00000000" w:rsidR="00000000" w:rsidRPr="00000000">
              <w:rPr>
                <w:rtl w:val="0"/>
              </w:rPr>
            </w:r>
          </w:p>
        </w:tc>
      </w:tr>
    </w:tbl>
    <w:p w:rsidR="00000000" w:rsidDel="00000000" w:rsidP="00000000" w:rsidRDefault="00000000" w:rsidRPr="00000000" w14:paraId="00000045">
      <w:pPr>
        <w:spacing w:after="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color w:val="0070c0"/>
          <w:rtl w:val="0"/>
        </w:rPr>
        <w:t xml:space="preserve">Methodology</w:t>
      </w:r>
      <w:r w:rsidDel="00000000" w:rsidR="00000000" w:rsidRPr="00000000">
        <w:rPr>
          <w:rtl w:val="0"/>
        </w:rPr>
        <w:tab/>
        <w:tab/>
        <w:tab/>
        <w:tab/>
        <w:tab/>
        <w:tab/>
        <w:tab/>
        <w:tab/>
        <w:tab/>
        <w:tab/>
      </w:r>
      <w:r w:rsidDel="00000000" w:rsidR="00000000" w:rsidRPr="00000000">
        <w:rPr>
          <w:color w:val="0070c0"/>
          <w:rtl w:val="0"/>
        </w:rPr>
        <w:t xml:space="preserve">(25 Marks)</w:t>
      </w:r>
      <w:r w:rsidDel="00000000" w:rsidR="00000000" w:rsidRPr="00000000">
        <w:rPr>
          <w:rtl w:val="0"/>
        </w:rPr>
      </w:r>
    </w:p>
    <w:p w:rsidR="00000000" w:rsidDel="00000000" w:rsidP="00000000" w:rsidRDefault="00000000" w:rsidRPr="00000000" w14:paraId="00000047">
      <w:pPr>
        <w:rPr>
          <w:i w:val="1"/>
          <w:iCs w:val="1"/>
          <w:sz w:val="20"/>
          <w:szCs w:val="20"/>
        </w:rPr>
      </w:pPr>
      <w:r w:rsidDel="00000000" w:rsidR="00000000" w:rsidRPr="00000000">
        <w:rPr>
          <w:i w:val="1"/>
          <w:iCs w:val="1"/>
          <w:sz w:val="20"/>
          <w:szCs w:val="20"/>
          <w:rtl w:val="0"/>
        </w:rPr>
        <w:t xml:space="preserve">(Explanation and justification of approach and methodology proposed for the project*. This section should explain the nature of the data and method of data collection. Identification and brief discussion of any analytical tools to be used; Identification of any ethical and practical issues.)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8">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Design</w:t>
            </w:r>
            <w:r w:rsidDel="00000000" w:rsidR="00000000" w:rsidRPr="00000000">
              <w:rPr>
                <w:rtl w:val="0"/>
              </w:rPr>
            </w:r>
          </w:p>
          <w:p w:rsidR="00000000" w:rsidDel="00000000" w:rsidP="00000000" w:rsidRDefault="00000000" w:rsidRPr="00000000" w14:paraId="00000049">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adopts a quantitative research design, consistent with the positivist approach in business analytics research. The study aims to produce replicable, evidence-based findings through the systematic application of statistical and computational methods to empirical data. The research follows a structured analytical pipeline comprising data acquisition, exploratory data analysis, regression modelling, machine learning simulation, and fairness evaluation, culminating in the development of a framework that integrates profitability and fairness assessment.</w:t>
            </w:r>
          </w:p>
          <w:p w:rsidR="00000000" w:rsidDel="00000000" w:rsidP="00000000" w:rsidRDefault="00000000" w:rsidRPr="00000000" w14:paraId="0000004A">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Collection</w:t>
            </w:r>
            <w:r w:rsidDel="00000000" w:rsidR="00000000" w:rsidRPr="00000000">
              <w:rPr>
                <w:rtl w:val="0"/>
              </w:rPr>
            </w:r>
          </w:p>
          <w:p w:rsidR="00000000" w:rsidDel="00000000" w:rsidP="00000000" w:rsidRDefault="00000000" w:rsidRPr="00000000" w14:paraId="0000004C">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used in this project will be drawn from publicly available sources. The datasets selected will include transaction records, historical pricing data, and anonymised customer attributes that together provide a sufficient basis for examining how dynamic pricing operates across different consumer segments. Because the data is already publicly available and anonymised, the project can proceed without raising data protection concerns or requiring any form of consent from data subjects.</w:t>
            </w:r>
          </w:p>
          <w:p w:rsidR="00000000" w:rsidDel="00000000" w:rsidP="00000000" w:rsidRDefault="00000000" w:rsidRPr="00000000" w14:paraId="0000004D">
            <w:pPr>
              <w:spacing w:after="80" w:before="8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80" w:before="80" w:line="264"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Pre-processing</w:t>
            </w:r>
          </w:p>
          <w:p w:rsidR="00000000" w:rsidDel="00000000" w:rsidP="00000000" w:rsidRDefault="00000000" w:rsidRPr="00000000" w14:paraId="0000004F">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analysis can begin, the raw datasets will need to be prepared to a standard suitable for modelling. This involves cleaning the data to remove inconsistencies and errors, and normalising variables so that differences in scale do not distort the results. Where values are missing, appropriate strategies will be applied depending on the nature and extent of the gaps, and any outliers that could skew the analysis will be identified and handled carefully. Categorical variables, such as location type or user category, will be converted into a format that analytical models can process, and a considered selection of the most relevant features will be made to ensure the analysis remains focused and meaningful.</w:t>
            </w:r>
          </w:p>
          <w:p w:rsidR="00000000" w:rsidDel="00000000" w:rsidP="00000000" w:rsidRDefault="00000000" w:rsidRPr="00000000" w14:paraId="00000050">
            <w:pPr>
              <w:spacing w:after="80" w:before="80" w:line="26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Data Analysis</w:t>
            </w:r>
            <w:r w:rsidDel="00000000" w:rsidR="00000000" w:rsidRPr="00000000">
              <w:rPr>
                <w:rtl w:val="0"/>
              </w:rPr>
            </w:r>
          </w:p>
          <w:p w:rsidR="00000000" w:rsidDel="00000000" w:rsidP="00000000" w:rsidRDefault="00000000" w:rsidRPr="00000000" w14:paraId="00000052">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stage of the analysis will involve comprehensive exploratory data analysis using Python, with libraries including pandas, matplotlib, and seaborn. This stage will examine the distribution of prices across time periods, geographic zones, and product or service categories; identify outliers and anomalies in the data; and assess preliminary correlations between pricing variables and potential consumer-segment characteristics. The aim is to surface patterns in the data that can inform the subsequent modelling stages and identify variables of analytical significance.</w:t>
            </w:r>
          </w:p>
          <w:p w:rsidR="00000000" w:rsidDel="00000000" w:rsidP="00000000" w:rsidRDefault="00000000" w:rsidRPr="00000000" w14:paraId="0000005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Regression Modelling</w:t>
            </w:r>
            <w:r w:rsidDel="00000000" w:rsidR="00000000" w:rsidRPr="00000000">
              <w:rPr>
                <w:rtl w:val="0"/>
              </w:rPr>
            </w:r>
          </w:p>
          <w:p w:rsidR="00000000" w:rsidDel="00000000" w:rsidP="00000000" w:rsidRDefault="00000000" w:rsidRPr="00000000" w14:paraId="00000055">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influence of individual algorithmic variables on pricing outcomes, multivariate regression models will be developed using Python libraries including scikit-learn and statsmodels. Key independent variables will include demand indicators, temporal features such as hour of day and day of week, geographic attributes, and user-level behavioural proxies where available. The dependent variable will be the observed price or price deviation from a calculated baseline. Both ordinary least squares regression and regularised variants such as Ridge and Lasso regression will be explored to manage potential multicollinearity. Model diagnostics including residual analysis and goodness-of-fit evaluation will be conducted throughout.</w:t>
            </w:r>
          </w:p>
          <w:p w:rsidR="00000000" w:rsidDel="00000000" w:rsidP="00000000" w:rsidRDefault="00000000" w:rsidRPr="00000000" w14:paraId="00000056">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Machine Learning Simulation</w:t>
            </w:r>
            <w:r w:rsidDel="00000000" w:rsidR="00000000" w:rsidRPr="00000000">
              <w:rPr>
                <w:rtl w:val="0"/>
              </w:rPr>
            </w:r>
          </w:p>
          <w:p w:rsidR="00000000" w:rsidDel="00000000" w:rsidP="00000000" w:rsidRDefault="00000000" w:rsidRPr="00000000" w14:paraId="00000058">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pricing behaviour will be simulated using machine learning models, including gradient boosting approaches such as XGBoost and LightGBM, to replicate the behaviour of commercial pricing algorithms. These models allow individual input variables to be adjusted in isolation while other factors are held steady, making it possible to estimate how much each variable contributes to any pricing differences observed across consumer groups. The validity of these models will be checked using cross-validation to ensure that findings are not specific to one portion of the data.</w:t>
            </w:r>
          </w:p>
          <w:p w:rsidR="00000000" w:rsidDel="00000000" w:rsidP="00000000" w:rsidRDefault="00000000" w:rsidRPr="00000000" w14:paraId="00000059">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Fairness Analysis</w:t>
            </w:r>
            <w:r w:rsidDel="00000000" w:rsidR="00000000" w:rsidRPr="00000000">
              <w:rPr>
                <w:rtl w:val="0"/>
              </w:rPr>
            </w:r>
          </w:p>
          <w:p w:rsidR="00000000" w:rsidDel="00000000" w:rsidP="00000000" w:rsidRDefault="00000000" w:rsidRPr="00000000" w14:paraId="0000005B">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evaluation will be conducted using the Fairlearn library in Python. Consumer segments will be defined based on available proxy characteristics including geographic region, purchase timing, and user type. Key fairness metrics to be assessed include disparate impact analysis and group fairness measures such as demographic parity difference and mean price disparity ratios across consumer segments. Findings will be interpreted in relation to established fairness thresholds, including the four-fifths rule, and will be assessed against multiple fairness criteria to acknowledge inherent trade-offs between competing definitions of equitable treatment.</w:t>
            </w:r>
          </w:p>
          <w:p w:rsidR="00000000" w:rsidDel="00000000" w:rsidP="00000000" w:rsidRDefault="00000000" w:rsidRPr="00000000" w14:paraId="0000005C">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Ethical and Practical Considerations</w:t>
            </w:r>
            <w:r w:rsidDel="00000000" w:rsidR="00000000" w:rsidRPr="00000000">
              <w:rPr>
                <w:rtl w:val="0"/>
              </w:rPr>
            </w:r>
          </w:p>
          <w:p w:rsidR="00000000" w:rsidDel="00000000" w:rsidP="00000000" w:rsidRDefault="00000000" w:rsidRPr="00000000" w14:paraId="0000005E">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this project will rely exclusively on publicly available, anonymised datasets, no direct participant recruitment or informed consent procedures are required. However, ethical responsibility extends to the responsible handling and interpretation of data. Proxy variables used to define consumer segments will be treated with care to avoid reinforcing harmful stereotypes or overstating conclusions about causal discrimination. The project will adhere to the British Computer Society Code of Conduct and relevant institutional ethics guidelines. No personal data will be collected, stored, or processed as part of this study.</w:t>
            </w:r>
          </w:p>
          <w:p w:rsidR="00000000" w:rsidDel="00000000" w:rsidP="00000000" w:rsidRDefault="00000000" w:rsidRPr="00000000" w14:paraId="0000005F">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Analytical Tools and Software</w:t>
            </w:r>
            <w:r w:rsidDel="00000000" w:rsidR="00000000" w:rsidRPr="00000000">
              <w:rPr>
                <w:rtl w:val="0"/>
              </w:rPr>
            </w:r>
          </w:p>
          <w:p w:rsidR="00000000" w:rsidDel="00000000" w:rsidP="00000000" w:rsidRDefault="00000000" w:rsidRPr="00000000" w14:paraId="00000061">
            <w:pPr>
              <w:spacing w:after="80" w:before="8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tools will be used throughout the project:</w:t>
            </w:r>
          </w:p>
          <w:p w:rsidR="00000000" w:rsidDel="00000000" w:rsidP="00000000" w:rsidRDefault="00000000" w:rsidRPr="00000000" w14:paraId="00000062">
            <w:pPr>
              <w:numPr>
                <w:ilvl w:val="0"/>
                <w:numId w:val="2"/>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(pandas, NumPy, scikit-learn, XGBoost, LightGBM, statsmodels) for data processing, modelling, and analysis</w:t>
            </w:r>
          </w:p>
          <w:p w:rsidR="00000000" w:rsidDel="00000000" w:rsidP="00000000" w:rsidRDefault="00000000" w:rsidRPr="00000000" w14:paraId="00000063">
            <w:pPr>
              <w:numPr>
                <w:ilvl w:val="0"/>
                <w:numId w:val="2"/>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Fairlearn for fairness metrics and bias evaluation</w:t>
            </w:r>
          </w:p>
          <w:p w:rsidR="00000000" w:rsidDel="00000000" w:rsidP="00000000" w:rsidRDefault="00000000" w:rsidRPr="00000000" w14:paraId="00000064">
            <w:pPr>
              <w:numPr>
                <w:ilvl w:val="0"/>
                <w:numId w:val="2"/>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and Seaborn for data visualisation</w:t>
            </w:r>
          </w:p>
          <w:p w:rsidR="00000000" w:rsidDel="00000000" w:rsidP="00000000" w:rsidRDefault="00000000" w:rsidRPr="00000000" w14:paraId="00000065">
            <w:pPr>
              <w:numPr>
                <w:ilvl w:val="0"/>
                <w:numId w:val="2"/>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Notebooks for reproducible analytical documentation.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color w:val="0070c0"/>
          <w:rtl w:val="0"/>
        </w:rPr>
        <w:t xml:space="preserve">Work Plan </w:t>
        <w:tab/>
        <w:tab/>
        <w:tab/>
        <w:tab/>
        <w:tab/>
        <w:tab/>
        <w:tab/>
        <w:tab/>
        <w:tab/>
        <w:tab/>
        <w:t xml:space="preserve">(10 Marks)</w:t>
      </w:r>
      <w:r w:rsidDel="00000000" w:rsidR="00000000" w:rsidRPr="00000000">
        <w:rPr>
          <w:rtl w:val="0"/>
        </w:rPr>
      </w:r>
    </w:p>
    <w:p w:rsidR="00000000" w:rsidDel="00000000" w:rsidP="00000000" w:rsidRDefault="00000000" w:rsidRPr="00000000" w14:paraId="0000006A">
      <w:pPr>
        <w:rPr>
          <w:i w:val="1"/>
          <w:iCs w:val="1"/>
          <w:sz w:val="20"/>
          <w:szCs w:val="20"/>
        </w:rPr>
      </w:pPr>
      <w:r w:rsidDel="00000000" w:rsidR="00000000" w:rsidRPr="00000000">
        <w:rPr>
          <w:i w:val="1"/>
          <w:iCs w:val="1"/>
          <w:sz w:val="20"/>
          <w:szCs w:val="20"/>
          <w:rtl w:val="0"/>
        </w:rPr>
        <w:t xml:space="preserve">(A timetable for completion of the project*. MSc Masters Project full-time is allowed 15 weeks and part-time is 30 weeks. You may use any appropriate method to present the well-thought-through plan of action reflecting your project* activities)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B">
            <w:pPr>
              <w:spacing w:after="40" w:before="40" w:lineRule="auto"/>
              <w:rPr>
                <w:rFonts w:ascii="Times New Roman" w:cs="Times New Roman" w:eastAsia="Times New Roman" w:hAnsi="Times New Roman"/>
                <w:b w:val="1"/>
                <w:bCs w:val="1"/>
              </w:rPr>
            </w:pPr>
            <w:r w:rsidDel="00000000" w:rsidR="00000000" w:rsidRPr="00000000">
              <w:rPr>
                <w:rtl w:val="0"/>
              </w:rPr>
            </w:r>
          </w:p>
          <w:tbl>
            <w:tblPr>
              <w:tblStyle w:val="Table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390"/>
              <w:tblGridChange w:id="0">
                <w:tblGrid>
                  <w:gridCol w:w="240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&amp; Background Reading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and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Modelling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Simulation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Analysis &amp; Framework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methodology, results, and conclusions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review, presentation preparation, viva demonstration</w:t>
                  </w:r>
                </w:p>
              </w:tc>
            </w:tr>
          </w:tbl>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color w:val="0070c0"/>
        </w:rPr>
      </w:pPr>
      <w:r w:rsidDel="00000000" w:rsidR="00000000" w:rsidRPr="00000000">
        <w:rPr>
          <w:color w:val="0070c0"/>
          <w:rtl w:val="0"/>
        </w:rPr>
        <w:t xml:space="preserve">References</w:t>
      </w:r>
    </w:p>
    <w:p w:rsidR="00000000" w:rsidDel="00000000" w:rsidP="00000000" w:rsidRDefault="00000000" w:rsidRPr="00000000" w14:paraId="00000081">
      <w:pPr>
        <w:rPr>
          <w:color w:val="0070c0"/>
        </w:rPr>
      </w:pPr>
      <w:r w:rsidDel="00000000" w:rsidR="00000000" w:rsidRPr="00000000">
        <w:rPr>
          <w:i w:val="1"/>
          <w:iCs w:val="1"/>
          <w:sz w:val="20"/>
          <w:szCs w:val="20"/>
          <w:rtl w:val="0"/>
        </w:rPr>
        <w:t xml:space="preserve">(Correctly presented in </w:t>
      </w:r>
      <w:hyperlink r:id="rId7">
        <w:r w:rsidDel="00000000" w:rsidR="00000000" w:rsidRPr="00000000">
          <w:rPr>
            <w:i w:val="1"/>
            <w:iCs w:val="1"/>
            <w:color w:val="0000ff"/>
            <w:sz w:val="20"/>
            <w:szCs w:val="20"/>
            <w:u w:val="single"/>
            <w:rtl w:val="0"/>
          </w:rPr>
          <w:t xml:space="preserve">Cite Them Right Harvard</w:t>
        </w:r>
      </w:hyperlink>
      <w:r w:rsidDel="00000000" w:rsidR="00000000" w:rsidRPr="00000000">
        <w:rPr>
          <w:i w:val="1"/>
          <w:iCs w:val="1"/>
          <w:sz w:val="20"/>
          <w:szCs w:val="20"/>
          <w:rtl w:val="0"/>
        </w:rPr>
        <w:t xml:space="preserve"> style)</w:t>
      </w:r>
      <w:r w:rsidDel="00000000" w:rsidR="00000000" w:rsidRPr="00000000">
        <w:rPr>
          <w:rtl w:val="0"/>
        </w:rPr>
        <w:tab/>
        <w:tab/>
        <w:tab/>
        <w:tab/>
        <w:tab/>
      </w:r>
      <w:r w:rsidDel="00000000" w:rsidR="00000000" w:rsidRPr="00000000">
        <w:rPr>
          <w:color w:val="0070c0"/>
          <w:rtl w:val="0"/>
        </w:rPr>
        <w:t xml:space="preserve">(10 Marks)</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Kopalle, P.K., Pauwels, K., Akella, L.Y. and Gangwar, M. (2023) 'Dynamic pricing: Definition, implications for managers, and future research directions', </w:t>
            </w:r>
            <w:r w:rsidDel="00000000" w:rsidR="00000000" w:rsidRPr="00000000">
              <w:rPr>
                <w:i w:val="1"/>
                <w:iCs w:val="1"/>
                <w:rtl w:val="0"/>
              </w:rPr>
              <w:t xml:space="preserve">Journal of Retailing</w:t>
            </w:r>
            <w:r w:rsidDel="00000000" w:rsidR="00000000" w:rsidRPr="00000000">
              <w:rPr>
                <w:rtl w:val="0"/>
              </w:rPr>
              <w:t xml:space="preserve">, 99(4), pp. 580–593.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https://doi.org/10.1016/j.jretai.2023.11.003</w:t>
              </w:r>
            </w:hyperlink>
            <w:r w:rsidDel="00000000" w:rsidR="00000000" w:rsidRPr="00000000">
              <w:rPr>
                <w:rtl w:val="0"/>
              </w:rPr>
              <w:t xml:space="preserve"> (Accessed: 6 March 2026).</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Mehrabi, N., Morstatter, F., Saxena, N., Lerman, K. and Galstyan, A. (2021) 'A survey on bias and fairness in machine learning', </w:t>
            </w:r>
            <w:r w:rsidDel="00000000" w:rsidR="00000000" w:rsidRPr="00000000">
              <w:rPr>
                <w:i w:val="1"/>
                <w:iCs w:val="1"/>
                <w:rtl w:val="0"/>
              </w:rPr>
              <w:t xml:space="preserve">ACM Computing Surveys</w:t>
            </w:r>
            <w:r w:rsidDel="00000000" w:rsidR="00000000" w:rsidRPr="00000000">
              <w:rPr>
                <w:rtl w:val="0"/>
              </w:rPr>
              <w:t xml:space="preserve">, 54(6), Article 115, pp. 1–35.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https://doi.org/10.1145/3457607</w:t>
              </w:r>
            </w:hyperlink>
            <w:r w:rsidDel="00000000" w:rsidR="00000000" w:rsidRPr="00000000">
              <w:rPr>
                <w:rtl w:val="0"/>
              </w:rPr>
              <w:t xml:space="preserve"> (Accessed: 7 March 2026).</w:t>
            </w:r>
          </w:p>
          <w:p w:rsidR="00000000" w:rsidDel="00000000" w:rsidP="00000000" w:rsidRDefault="00000000" w:rsidRPr="00000000" w14:paraId="00000085">
            <w:pPr>
              <w:spacing w:after="240" w:before="240" w:lineRule="auto"/>
              <w:rPr/>
            </w:pPr>
            <w:r w:rsidDel="00000000" w:rsidR="00000000" w:rsidRPr="00000000">
              <w:rPr>
                <w:rtl w:val="0"/>
              </w:rPr>
              <w:t xml:space="preserve">Spann, M., Bertini, M., Koenigsberg, O., Zeithammer, R., Aparicio, D., Chen, Y., Fantini, F., Jin, G.Z., Morwitz, V., Popkowski Leszczyc, P., Vitorino, M.A., Williams, G.Y. and Yoo, H. (2024) </w:t>
            </w:r>
            <w:r w:rsidDel="00000000" w:rsidR="00000000" w:rsidRPr="00000000">
              <w:rPr>
                <w:i w:val="1"/>
                <w:iCs w:val="1"/>
                <w:rtl w:val="0"/>
              </w:rPr>
              <w:t xml:space="preserve">Algorithmic pricing: Implications for marketing strategy and regulation</w:t>
            </w:r>
            <w:r w:rsidDel="00000000" w:rsidR="00000000" w:rsidRPr="00000000">
              <w:rPr>
                <w:rtl w:val="0"/>
              </w:rPr>
              <w:t xml:space="preserve">. NBER Working Paper No. 32540.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https://doi.org/10.3386/w32540</w:t>
              </w:r>
            </w:hyperlink>
            <w:r w:rsidDel="00000000" w:rsidR="00000000" w:rsidRPr="00000000">
              <w:rPr>
                <w:rtl w:val="0"/>
              </w:rPr>
              <w:t xml:space="preserve"> (Accessed: 9 March 2026).</w:t>
            </w:r>
          </w:p>
          <w:p w:rsidR="00000000" w:rsidDel="00000000" w:rsidP="00000000" w:rsidRDefault="00000000" w:rsidRPr="00000000" w14:paraId="00000086">
            <w:pPr>
              <w:rPr/>
            </w:pPr>
            <w:r w:rsidDel="00000000" w:rsidR="00000000" w:rsidRPr="00000000">
              <w:rPr>
                <w:rtl w:val="0"/>
              </w:rPr>
              <w:t xml:space="preserve">Starke, C., Baleis, J., Keller, B. and Marcinkowski, F. (2022) 'Fairness perceptions of algorithmic decision-making: A systematic review of the empirical literature', </w:t>
            </w:r>
            <w:r w:rsidDel="00000000" w:rsidR="00000000" w:rsidRPr="00000000">
              <w:rPr>
                <w:i w:val="1"/>
                <w:iCs w:val="1"/>
                <w:rtl w:val="0"/>
              </w:rPr>
              <w:t xml:space="preserve">Big Data &amp; Society</w:t>
            </w:r>
            <w:r w:rsidDel="00000000" w:rsidR="00000000" w:rsidRPr="00000000">
              <w:rPr>
                <w:rtl w:val="0"/>
              </w:rPr>
              <w:t xml:space="preserve">, 9(2), pp. 1–14.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https://doi.org/10.1177/20539517221115189</w:t>
              </w:r>
            </w:hyperlink>
            <w:r w:rsidDel="00000000" w:rsidR="00000000" w:rsidRPr="00000000">
              <w:rPr>
                <w:rtl w:val="0"/>
              </w:rPr>
              <w:t xml:space="preserve"> (Accessed: 8 March 2026).</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Vomberg, A., Homburg, C. and Sarantopoulos, P. (2024) 'Algorithmic pricing: Effects on consumer trust and price search', </w:t>
            </w:r>
            <w:r w:rsidDel="00000000" w:rsidR="00000000" w:rsidRPr="00000000">
              <w:rPr>
                <w:i w:val="1"/>
                <w:iCs w:val="1"/>
                <w:rtl w:val="0"/>
              </w:rPr>
              <w:t xml:space="preserve">International Journal of Research in Marketing</w:t>
            </w:r>
            <w:r w:rsidDel="00000000" w:rsidR="00000000" w:rsidRPr="00000000">
              <w:rPr>
                <w:rtl w:val="0"/>
              </w:rPr>
              <w:t xml:space="preserve">, 42(4), pp. 1166–1186.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https://doi.org/10.1016/j.ijresmar.2024.10.006</w:t>
              </w:r>
            </w:hyperlink>
            <w:r w:rsidDel="00000000" w:rsidR="00000000" w:rsidRPr="00000000">
              <w:rPr>
                <w:rtl w:val="0"/>
              </w:rPr>
              <w:t xml:space="preserve"> (Accessed: 8 March 2026).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Nowak, M. and Pawłowska-Nowak, M. (2024) 'Dynamic pricing method in the e-commerce industry using machine learning', </w:t>
            </w:r>
            <w:r w:rsidDel="00000000" w:rsidR="00000000" w:rsidRPr="00000000">
              <w:rPr>
                <w:i w:val="1"/>
                <w:iCs w:val="1"/>
                <w:rtl w:val="0"/>
              </w:rPr>
              <w:t xml:space="preserve">Applied Sciences</w:t>
            </w:r>
            <w:r w:rsidDel="00000000" w:rsidR="00000000" w:rsidRPr="00000000">
              <w:rPr>
                <w:rtl w:val="0"/>
              </w:rPr>
              <w:t xml:space="preserve">, 14(24), p. 11668.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https://doi.org/10.3390/app142411668</w:t>
              </w:r>
            </w:hyperlink>
            <w:r w:rsidDel="00000000" w:rsidR="00000000" w:rsidRPr="00000000">
              <w:rPr>
                <w:rtl w:val="0"/>
              </w:rPr>
              <w:t xml:space="preserve"> (Accessed: 9 March 2026).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Akter, S., Dwivedi, Y.K., Sajib, S., Biswas, K., Bandara, R.J. and Michael, K. (2022) 'Algorithmic bias in machine learning-based marketing models', </w:t>
            </w:r>
            <w:r w:rsidDel="00000000" w:rsidR="00000000" w:rsidRPr="00000000">
              <w:rPr>
                <w:i w:val="1"/>
                <w:iCs w:val="1"/>
                <w:rtl w:val="0"/>
              </w:rPr>
              <w:t xml:space="preserve">Journal of Business Research</w:t>
            </w:r>
            <w:r w:rsidDel="00000000" w:rsidR="00000000" w:rsidRPr="00000000">
              <w:rPr>
                <w:rtl w:val="0"/>
              </w:rPr>
              <w:t xml:space="preserve">, 144, pp. 201–216.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https://doi.org/10.1016/j.jbusres.2022.02.083</w:t>
              </w:r>
            </w:hyperlink>
            <w:r w:rsidDel="00000000" w:rsidR="00000000" w:rsidRPr="00000000">
              <w:rPr>
                <w:rtl w:val="0"/>
              </w:rPr>
              <w:t xml:space="preserve"> (Accessed: 7 March 2026).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Caton, S. and Haas, C. (2024) 'Fairness in machine learning: A survey', </w:t>
            </w:r>
            <w:r w:rsidDel="00000000" w:rsidR="00000000" w:rsidRPr="00000000">
              <w:rPr>
                <w:i w:val="1"/>
                <w:iCs w:val="1"/>
                <w:rtl w:val="0"/>
              </w:rPr>
              <w:t xml:space="preserve">ACM Computing Surveys</w:t>
            </w:r>
            <w:r w:rsidDel="00000000" w:rsidR="00000000" w:rsidRPr="00000000">
              <w:rPr>
                <w:rtl w:val="0"/>
              </w:rPr>
              <w:t xml:space="preserve">, 56(7), Article 166, pp. 1–38.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https://doi.org/10.1145/3616865</w:t>
              </w:r>
            </w:hyperlink>
            <w:r w:rsidDel="00000000" w:rsidR="00000000" w:rsidRPr="00000000">
              <w:rPr>
                <w:rtl w:val="0"/>
              </w:rPr>
              <w:t xml:space="preserve"> (Accessed: 7 March 2026).</w:t>
            </w:r>
          </w:p>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rPr>
          <w:i w:val="1"/>
          <w:iCs w:val="1"/>
          <w:sz w:val="20"/>
          <w:szCs w:val="20"/>
        </w:rPr>
      </w:pPr>
      <w:r w:rsidDel="00000000" w:rsidR="00000000" w:rsidRPr="00000000">
        <w:rPr>
          <w:rtl w:val="0"/>
        </w:rPr>
      </w:r>
    </w:p>
    <w:p w:rsidR="00000000" w:rsidDel="00000000" w:rsidP="00000000" w:rsidRDefault="00000000" w:rsidRPr="00000000" w14:paraId="00000091">
      <w:pPr>
        <w:rPr>
          <w:i w:val="1"/>
          <w:iCs w:val="1"/>
          <w:sz w:val="20"/>
          <w:szCs w:val="20"/>
        </w:rPr>
      </w:pPr>
      <w:r w:rsidDel="00000000" w:rsidR="00000000" w:rsidRPr="00000000">
        <w:rPr>
          <w:i w:val="1"/>
          <w:iCs w:val="1"/>
          <w:sz w:val="20"/>
          <w:szCs w:val="20"/>
          <w:rtl w:val="0"/>
        </w:rPr>
        <w:t xml:space="preserve">*Individual contribution for group project</w:t>
      </w:r>
    </w:p>
    <w:p w:rsidR="00000000" w:rsidDel="00000000" w:rsidP="00000000" w:rsidRDefault="00000000" w:rsidRPr="00000000" w14:paraId="00000092">
      <w:pPr>
        <w:rPr>
          <w:color w:val="0070c0"/>
        </w:rPr>
      </w:pPr>
      <w:r w:rsidDel="00000000" w:rsidR="00000000" w:rsidRPr="00000000">
        <w:rPr>
          <w:rtl w:val="0"/>
        </w:rPr>
      </w:r>
    </w:p>
    <w:p w:rsidR="00000000" w:rsidDel="00000000" w:rsidP="00000000" w:rsidRDefault="00000000" w:rsidRPr="00000000" w14:paraId="00000093">
      <w:pPr>
        <w:rPr>
          <w:color w:val="0070c0"/>
        </w:rPr>
      </w:pPr>
      <w:r w:rsidDel="00000000" w:rsidR="00000000" w:rsidRPr="00000000">
        <w:rPr>
          <w:color w:val="0070c0"/>
          <w:rtl w:val="0"/>
        </w:rPr>
        <w:t xml:space="preserve">Marking scheme</w:t>
      </w:r>
    </w:p>
    <w:p w:rsidR="00000000" w:rsidDel="00000000" w:rsidP="00000000" w:rsidRDefault="00000000" w:rsidRPr="00000000" w14:paraId="00000094">
      <w:pPr>
        <w:rPr>
          <w:i w:val="1"/>
          <w:iCs w:val="1"/>
          <w:sz w:val="20"/>
          <w:szCs w:val="20"/>
        </w:rPr>
      </w:pPr>
      <w:r w:rsidDel="00000000" w:rsidR="00000000" w:rsidRPr="00000000">
        <w:rPr>
          <w:i w:val="1"/>
          <w:iCs w:val="1"/>
          <w:sz w:val="20"/>
          <w:szCs w:val="20"/>
          <w:rtl w:val="0"/>
        </w:rPr>
        <w:t xml:space="preserve">(Marking scheme for final report/dissertation. Note: For group project, each student in a team must submit their own sections for- Presentation of results, Conclusions and Critical Self-Evaluation)</w:t>
      </w:r>
    </w:p>
    <w:p w:rsidR="00000000" w:rsidDel="00000000" w:rsidP="00000000" w:rsidRDefault="00000000" w:rsidRPr="00000000" w14:paraId="00000095">
      <w:pPr>
        <w:spacing w:after="0" w:before="0" w:lineRule="auto"/>
        <w:rPr>
          <w:rFonts w:ascii="Calibri" w:cs="Calibri" w:eastAsia="Calibri" w:hAnsi="Calibri"/>
          <w:sz w:val="22"/>
          <w:szCs w:val="22"/>
        </w:rPr>
      </w:pPr>
      <w:r w:rsidDel="00000000" w:rsidR="00000000" w:rsidRPr="00000000">
        <w:rPr>
          <w:rtl w:val="0"/>
        </w:rPr>
      </w:r>
    </w:p>
    <w:tbl>
      <w:tblPr>
        <w:tblStyle w:val="Table10"/>
        <w:tblW w:w="3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795"/>
        <w:tblGridChange w:id="0">
          <w:tblGrid>
            <w:gridCol w:w="2955"/>
            <w:gridCol w:w="79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sz w:val="22"/>
                <w:szCs w:val="22"/>
                <w:rtl w:val="0"/>
              </w:rPr>
              <w:t xml:space="preserve">Introduction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sz w:val="22"/>
                <w:szCs w:val="22"/>
                <w:rtl w:val="0"/>
              </w:rPr>
              <w:t xml:space="preserve">Literature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sz w:val="22"/>
                <w:szCs w:val="22"/>
                <w:rtl w:val="0"/>
              </w:rPr>
              <w:t xml:space="preserve">Research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C">
            <w:pPr>
              <w:spacing w:after="0" w:before="0" w:lineRule="auto"/>
              <w:rPr/>
            </w:pPr>
            <w:r w:rsidDel="00000000" w:rsidR="00000000" w:rsidRPr="00000000">
              <w:rPr>
                <w:rFonts w:ascii="Calibri" w:cs="Calibri" w:eastAsia="Calibri" w:hAnsi="Calibri"/>
                <w:sz w:val="22"/>
                <w:szCs w:val="22"/>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D">
            <w:pPr>
              <w:spacing w:after="0" w:before="0" w:lineRule="auto"/>
              <w:rPr/>
            </w:pPr>
            <w:r w:rsidDel="00000000" w:rsidR="00000000" w:rsidRPr="00000000">
              <w:rPr>
                <w:rFonts w:ascii="Calibri" w:cs="Calibri" w:eastAsia="Calibri" w:hAnsi="Calibri"/>
                <w:sz w:val="22"/>
                <w:szCs w:val="22"/>
                <w:rtl w:val="0"/>
              </w:rPr>
              <w:t xml:space="preserve">25</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sz w:val="22"/>
                <w:szCs w:val="22"/>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sz w:val="22"/>
                <w:szCs w:val="22"/>
                <w:rtl w:val="0"/>
              </w:rPr>
              <w:t xml:space="preserve">Presentation of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sz w:val="22"/>
                <w:szCs w:val="22"/>
                <w:rtl w:val="0"/>
              </w:rPr>
              <w:t xml:space="preserve">Conclusions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3">
            <w:pPr>
              <w:spacing w:after="0" w:before="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sz w:val="22"/>
                <w:szCs w:val="22"/>
                <w:rtl w:val="0"/>
              </w:rPr>
              <w:t xml:space="preserve">Critical Self-Evaluation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sz w:val="22"/>
                <w:szCs w:val="22"/>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0070c0"/>
        </w:rPr>
      </w:pPr>
      <w:r w:rsidDel="00000000" w:rsidR="00000000" w:rsidRPr="00000000">
        <w:rPr>
          <w:color w:val="0070c0"/>
          <w:rtl w:val="0"/>
        </w:rPr>
        <w:t xml:space="preserve">Supervisor</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Micheal Lin</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0070c0"/>
        </w:rPr>
      </w:pPr>
      <w:r w:rsidDel="00000000" w:rsidR="00000000" w:rsidRPr="00000000">
        <w:rPr>
          <w:color w:val="0070c0"/>
          <w:rtl w:val="0"/>
        </w:rPr>
        <w:t xml:space="preserve">Moderator</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D">
            <w:pPr>
              <w:rPr/>
            </w:pPr>
            <w:r w:rsidDel="00000000" w:rsidR="00000000" w:rsidRPr="00000000">
              <w:rPr>
                <w:rtl w:val="0"/>
              </w:rPr>
              <w:t xml:space="preserve">Saqid Hussain</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0070c0"/>
        </w:rPr>
      </w:pPr>
      <w:r w:rsidDel="00000000" w:rsidR="00000000" w:rsidRPr="00000000">
        <w:rPr>
          <w:color w:val="0070c0"/>
          <w:rtl w:val="0"/>
        </w:rPr>
        <w:t xml:space="preserve">Programme Leader</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0">
            <w:pPr>
              <w:rPr/>
            </w:pPr>
            <w:r w:rsidDel="00000000" w:rsidR="00000000" w:rsidRPr="00000000">
              <w:rPr>
                <w:rtl w:val="0"/>
              </w:rPr>
              <w:t xml:space="preserve">Volkan Tunali</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0070c0"/>
        </w:rPr>
      </w:pPr>
      <w:r w:rsidDel="00000000" w:rsidR="00000000" w:rsidRPr="00000000">
        <w:rPr>
          <w:color w:val="0070c0"/>
          <w:rtl w:val="0"/>
        </w:rPr>
        <w:t xml:space="preserve">Date specification submitted</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3">
            <w:pPr>
              <w:rPr/>
            </w:pPr>
            <w:r w:rsidDel="00000000" w:rsidR="00000000" w:rsidRPr="00000000">
              <w:rPr>
                <w:rtl w:val="0"/>
              </w:rPr>
              <w:t xml:space="preserve">10th March 2026</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Please complete the ‘ethics’ &amp; pathway confirmation form below for all projects.</w:t>
      </w:r>
      <w:r w:rsidDel="00000000" w:rsidR="00000000" w:rsidRPr="00000000">
        <w:br w:type="page"/>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School of Computing, Engineering and Physical Sciences</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MSc Masters PROJECT – REQUIREMENT FOR ETHICAL APPROVAL &amp; PATHWAY CONFIRMATION</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spacing w:after="160" w:line="259" w:lineRule="auto"/>
        <w:jc w:val="left"/>
        <w:rPr>
          <w:b w:val="1"/>
          <w:bCs w:val="1"/>
        </w:rPr>
      </w:pPr>
      <w:bookmarkStart w:colFirst="0" w:colLast="0" w:name="_ugh2jvraqt13" w:id="0"/>
      <w:bookmarkEnd w:id="0"/>
      <w:r w:rsidDel="00000000" w:rsidR="00000000" w:rsidRPr="00000000">
        <w:rPr>
          <w:b w:val="1"/>
          <w:bCs w:val="1"/>
          <w:rtl w:val="0"/>
        </w:rPr>
        <w:t xml:space="preserve">SECTION 1: TO BE COMPLETED BY THE STUDENT(S)</w:t>
      </w:r>
    </w:p>
    <w:p w:rsidR="00000000" w:rsidDel="00000000" w:rsidP="00000000" w:rsidRDefault="00000000" w:rsidRPr="00000000" w14:paraId="000000BB">
      <w:pPr>
        <w:spacing w:after="160" w:line="259" w:lineRule="auto"/>
        <w:jc w:val="left"/>
        <w:rPr/>
      </w:pPr>
      <w:r w:rsidDel="00000000" w:rsidR="00000000" w:rsidRPr="00000000">
        <w:rPr>
          <w:rtl w:val="0"/>
        </w:rPr>
        <w:t xml:space="preserve">Does your proposed research involve: research with human subjects (including requirements gathering and product/software testing), access to company documents/records, questionnaires, surveys, focus groups and/or other interview techniques? Does your research entail any process which requires ethical approval? (please enter √ in the appropriate box)</w:t>
      </w:r>
    </w:p>
    <w:p w:rsidR="00000000" w:rsidDel="00000000" w:rsidP="00000000" w:rsidRDefault="00000000" w:rsidRPr="00000000" w14:paraId="000000BC">
      <w:pPr>
        <w:spacing w:after="160" w:line="259" w:lineRule="auto"/>
        <w:jc w:val="left"/>
        <w:rPr/>
      </w:pPr>
      <w:r w:rsidDel="00000000" w:rsidR="00000000" w:rsidRPr="00000000">
        <w:rPr>
          <w:rtl w:val="0"/>
        </w:rPr>
      </w:r>
    </w:p>
    <w:tbl>
      <w:tblPr>
        <w:tblStyle w:val="Table15"/>
        <w:tblW w:w="6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992"/>
        <w:gridCol w:w="4924"/>
        <w:tblGridChange w:id="0">
          <w:tblGrid>
            <w:gridCol w:w="846"/>
            <w:gridCol w:w="992"/>
            <w:gridCol w:w="4924"/>
          </w:tblGrid>
        </w:tblGridChange>
      </w:tblGrid>
      <w:tr>
        <w:trPr>
          <w:cantSplit w:val="0"/>
          <w:tblHeader w:val="0"/>
        </w:trPr>
        <w:tc>
          <w:tcPr/>
          <w:p w:rsidR="00000000" w:rsidDel="00000000" w:rsidP="00000000" w:rsidRDefault="00000000" w:rsidRPr="00000000" w14:paraId="000000BD">
            <w:pPr>
              <w:spacing w:after="160" w:line="259" w:lineRule="auto"/>
              <w:rPr/>
            </w:pPr>
            <w:r w:rsidDel="00000000" w:rsidR="00000000" w:rsidRPr="00000000">
              <w:rPr>
                <w:rtl w:val="0"/>
              </w:rPr>
              <w:t xml:space="preserve">YES</w:t>
            </w:r>
          </w:p>
        </w:tc>
        <w:tc>
          <w:tcPr/>
          <w:p w:rsidR="00000000" w:rsidDel="00000000" w:rsidP="00000000" w:rsidRDefault="00000000" w:rsidRPr="00000000" w14:paraId="000000BE">
            <w:pPr>
              <w:spacing w:after="160" w:line="259" w:lineRule="auto"/>
              <w:rPr/>
            </w:pPr>
            <w:r w:rsidDel="00000000" w:rsidR="00000000" w:rsidRPr="00000000">
              <w:rPr>
                <w:rtl w:val="0"/>
              </w:rPr>
            </w:r>
          </w:p>
        </w:tc>
        <w:tc>
          <w:tcPr/>
          <w:p w:rsidR="00000000" w:rsidDel="00000000" w:rsidP="00000000" w:rsidRDefault="00000000" w:rsidRPr="00000000" w14:paraId="000000BF">
            <w:pPr>
              <w:spacing w:after="160" w:line="259" w:lineRule="auto"/>
              <w:rPr>
                <w:b w:val="1"/>
                <w:bCs w:val="1"/>
              </w:rPr>
            </w:pPr>
            <w:r w:rsidDel="00000000" w:rsidR="00000000" w:rsidRPr="00000000">
              <w:rPr>
                <w:b w:val="1"/>
                <w:bCs w:val="1"/>
                <w:rtl w:val="0"/>
              </w:rPr>
              <w:t xml:space="preserve">You must submit an application for approval to the Ethics Review Manager</w:t>
            </w:r>
          </w:p>
        </w:tc>
      </w:tr>
      <w:tr>
        <w:trPr>
          <w:cantSplit w:val="0"/>
          <w:tblHeader w:val="0"/>
        </w:trPr>
        <w:tc>
          <w:tcPr/>
          <w:p w:rsidR="00000000" w:rsidDel="00000000" w:rsidP="00000000" w:rsidRDefault="00000000" w:rsidRPr="00000000" w14:paraId="000000C0">
            <w:pPr>
              <w:spacing w:after="160" w:line="259" w:lineRule="auto"/>
              <w:rPr/>
            </w:pPr>
            <w:r w:rsidDel="00000000" w:rsidR="00000000" w:rsidRPr="00000000">
              <w:rPr>
                <w:rtl w:val="0"/>
              </w:rPr>
              <w:t xml:space="preserve">NO</w:t>
            </w:r>
          </w:p>
        </w:tc>
        <w:tc>
          <w:tcPr/>
          <w:p w:rsidR="00000000" w:rsidDel="00000000" w:rsidP="00000000" w:rsidRDefault="00000000" w:rsidRPr="00000000" w14:paraId="000000C1">
            <w:pPr>
              <w:spacing w:after="160" w:line="259" w:lineRule="auto"/>
              <w:rPr/>
            </w:pPr>
            <w:r w:rsidDel="00000000" w:rsidR="00000000" w:rsidRPr="00000000">
              <w:rPr>
                <w:rtl w:val="0"/>
              </w:rPr>
              <w:t xml:space="preserve">NO</w:t>
            </w:r>
          </w:p>
        </w:tc>
        <w:tc>
          <w:tcPr/>
          <w:p w:rsidR="00000000" w:rsidDel="00000000" w:rsidP="00000000" w:rsidRDefault="00000000" w:rsidRPr="00000000" w14:paraId="000000C2">
            <w:pPr>
              <w:spacing w:after="160" w:line="259" w:lineRule="auto"/>
              <w:rPr/>
            </w:pPr>
            <w:r w:rsidDel="00000000" w:rsidR="00000000" w:rsidRPr="00000000">
              <w:rPr>
                <w:rtl w:val="0"/>
              </w:rPr>
              <w:t xml:space="preserve">You do not need to submit an application to the Ethics Review Manager</w:t>
            </w:r>
          </w:p>
        </w:tc>
      </w:tr>
    </w:tbl>
    <w:p w:rsidR="00000000" w:rsidDel="00000000" w:rsidP="00000000" w:rsidRDefault="00000000" w:rsidRPr="00000000" w14:paraId="000000C3">
      <w:pPr>
        <w:tabs>
          <w:tab w:val="left" w:leader="none" w:pos="820"/>
        </w:tabs>
        <w:ind w:right="-20"/>
        <w:rPr>
          <w:b w:val="1"/>
          <w:bCs w:val="1"/>
        </w:rPr>
      </w:pPr>
      <w:r w:rsidDel="00000000" w:rsidR="00000000" w:rsidRPr="00000000">
        <w:rPr>
          <w:rtl w:val="0"/>
        </w:rPr>
      </w:r>
    </w:p>
    <w:p w:rsidR="00000000" w:rsidDel="00000000" w:rsidP="00000000" w:rsidRDefault="00000000" w:rsidRPr="00000000" w14:paraId="000000C4">
      <w:pPr>
        <w:tabs>
          <w:tab w:val="left" w:leader="none" w:pos="820"/>
        </w:tabs>
        <w:ind w:right="-20"/>
        <w:rPr>
          <w:b w:val="1"/>
          <w:bCs w:val="1"/>
        </w:rPr>
      </w:pPr>
      <w:r w:rsidDel="00000000" w:rsidR="00000000" w:rsidRPr="00000000">
        <w:rPr>
          <w:rtl w:val="0"/>
        </w:rPr>
      </w:r>
    </w:p>
    <w:p w:rsidR="00000000" w:rsidDel="00000000" w:rsidP="00000000" w:rsidRDefault="00000000" w:rsidRPr="00000000" w14:paraId="000000C5">
      <w:pPr>
        <w:numPr>
          <w:ilvl w:val="0"/>
          <w:numId w:val="3"/>
        </w:numPr>
        <w:spacing w:after="160" w:line="259" w:lineRule="auto"/>
        <w:ind w:left="720" w:hanging="360"/>
        <w:jc w:val="left"/>
        <w:rPr>
          <w:u w:val="none"/>
        </w:rPr>
      </w:pPr>
      <w:r w:rsidDel="00000000" w:rsidR="00000000" w:rsidRPr="00000000">
        <w:rPr>
          <w:rtl w:val="0"/>
        </w:rPr>
        <w:t xml:space="preserve">I confirm that the above project specification aligns with my MSc programme specialist pathway. (please enter √ in the box) </w:t>
      </w:r>
    </w:p>
    <w:p w:rsidR="00000000" w:rsidDel="00000000" w:rsidP="00000000" w:rsidRDefault="00000000" w:rsidRPr="00000000" w14:paraId="000000C6">
      <w:pPr>
        <w:spacing w:after="160" w:line="259" w:lineRule="auto"/>
        <w:ind w:left="0" w:firstLine="0"/>
        <w:jc w:val="left"/>
        <w:rPr>
          <w:b w:val="1"/>
          <w:bCs w:val="1"/>
        </w:rPr>
      </w:pPr>
      <w:r w:rsidDel="00000000" w:rsidR="00000000" w:rsidRPr="00000000">
        <w:rPr>
          <w:b w:val="1"/>
          <w:bCs w:val="1"/>
          <w:rtl w:val="0"/>
        </w:rPr>
        <w:t xml:space="preserve">Name of student (print name): Saraswoti Pandey</w:t>
      </w:r>
    </w:p>
    <w:p w:rsidR="00000000" w:rsidDel="00000000" w:rsidP="00000000" w:rsidRDefault="00000000" w:rsidRPr="00000000" w14:paraId="000000C7">
      <w:pPr>
        <w:spacing w:after="16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C8">
      <w:pPr>
        <w:spacing w:after="160" w:line="259" w:lineRule="auto"/>
        <w:ind w:left="0" w:firstLine="0"/>
        <w:jc w:val="left"/>
        <w:rPr>
          <w:b w:val="1"/>
          <w:bCs w:val="1"/>
        </w:rPr>
      </w:pPr>
      <w:r w:rsidDel="00000000" w:rsidR="00000000" w:rsidRPr="00000000">
        <w:rPr>
          <w:b w:val="1"/>
          <w:bCs w:val="1"/>
          <w:rtl w:val="0"/>
        </w:rPr>
        <w:t xml:space="preserve">Signature: Saraswoti Pandey</w:t>
      </w:r>
    </w:p>
    <w:p w:rsidR="00000000" w:rsidDel="00000000" w:rsidP="00000000" w:rsidRDefault="00000000" w:rsidRPr="00000000" w14:paraId="000000C9">
      <w:pPr>
        <w:spacing w:after="16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CA">
      <w:pPr>
        <w:spacing w:after="160" w:line="259" w:lineRule="auto"/>
        <w:ind w:left="0" w:firstLine="0"/>
        <w:jc w:val="left"/>
        <w:rPr>
          <w:b w:val="1"/>
          <w:bCs w:val="1"/>
        </w:rPr>
      </w:pPr>
      <w:r w:rsidDel="00000000" w:rsidR="00000000" w:rsidRPr="00000000">
        <w:rPr>
          <w:rtl w:val="0"/>
        </w:rPr>
      </w:r>
    </w:p>
    <w:p w:rsidR="00000000" w:rsidDel="00000000" w:rsidP="00000000" w:rsidRDefault="00000000" w:rsidRPr="00000000" w14:paraId="000000CB">
      <w:pPr>
        <w:spacing w:after="160" w:line="259" w:lineRule="auto"/>
        <w:ind w:left="720" w:firstLine="0"/>
        <w:jc w:val="left"/>
        <w:rPr/>
      </w:pPr>
      <w:r w:rsidDel="00000000" w:rsidR="00000000" w:rsidRPr="00000000">
        <w:rPr>
          <w:rtl w:val="0"/>
        </w:rPr>
      </w:r>
    </w:p>
    <w:p w:rsidR="00000000" w:rsidDel="00000000" w:rsidP="00000000" w:rsidRDefault="00000000" w:rsidRPr="00000000" w14:paraId="000000CC">
      <w:pPr>
        <w:spacing w:after="120" w:line="259" w:lineRule="auto"/>
        <w:jc w:val="left"/>
        <w:rPr>
          <w:b w:val="1"/>
          <w:bCs w:val="1"/>
        </w:rPr>
      </w:pPr>
      <w:r w:rsidDel="00000000" w:rsidR="00000000" w:rsidRPr="00000000">
        <w:rPr>
          <w:rtl w:val="0"/>
        </w:rPr>
      </w:r>
    </w:p>
    <w:p w:rsidR="00000000" w:rsidDel="00000000" w:rsidP="00000000" w:rsidRDefault="00000000" w:rsidRPr="00000000" w14:paraId="000000CD">
      <w:pPr>
        <w:spacing w:after="160" w:line="259" w:lineRule="auto"/>
        <w:jc w:val="left"/>
        <w:rPr>
          <w:b w:val="1"/>
          <w:bCs w:val="1"/>
        </w:rPr>
      </w:pPr>
      <w:r w:rsidDel="00000000" w:rsidR="00000000" w:rsidRPr="00000000">
        <w:rPr>
          <w:b w:val="1"/>
          <w:bCs w:val="1"/>
          <w:rtl w:val="0"/>
        </w:rPr>
        <w:t xml:space="preserve">SECTION 2: TO BE COMPLETED BY THE PROJECT SUPERVISOR</w:t>
      </w:r>
    </w:p>
    <w:p w:rsidR="00000000" w:rsidDel="00000000" w:rsidP="00000000" w:rsidRDefault="00000000" w:rsidRPr="00000000" w14:paraId="000000CE">
      <w:pPr>
        <w:spacing w:before="120" w:line="252.00000000000003" w:lineRule="auto"/>
        <w:jc w:val="left"/>
        <w:rPr/>
      </w:pPr>
      <w:r w:rsidDel="00000000" w:rsidR="00000000" w:rsidRPr="00000000">
        <w:rPr>
          <w:rtl w:val="0"/>
        </w:rPr>
        <w:t xml:space="preserve">I understand that the above project requires/does not require* ethical approval (*please delete as appropriate).</w:t>
      </w:r>
    </w:p>
    <w:p w:rsidR="00000000" w:rsidDel="00000000" w:rsidP="00000000" w:rsidRDefault="00000000" w:rsidRPr="00000000" w14:paraId="000000CF">
      <w:pPr>
        <w:spacing w:before="120" w:line="252.00000000000003" w:lineRule="auto"/>
        <w:ind w:firstLine="720"/>
        <w:jc w:val="left"/>
        <w:rPr/>
      </w:pPr>
      <w:r w:rsidDel="00000000" w:rsidR="00000000" w:rsidRPr="00000000">
        <w:rPr>
          <w:rtl w:val="0"/>
        </w:rPr>
        <w:t xml:space="preserve">I confirm that the above project aligns with the MSc programme specialist pathway the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158820</wp:posOffset>
                </wp:positionV>
                <wp:extent cx="304800" cy="277091"/>
                <wp:effectExtent b="0" l="0" r="0" t="0"/>
                <wp:wrapNone/>
                <wp:docPr id="1" name=""/>
                <a:graphic>
                  <a:graphicData uri="http://schemas.microsoft.com/office/word/2010/wordprocessingShape">
                    <wps:wsp>
                      <wps:cNvSpPr/>
                      <wps:cNvPr id="2" name="Shape 2"/>
                      <wps:spPr>
                        <a:xfrm>
                          <a:off x="5198363" y="3646650"/>
                          <a:ext cx="295275" cy="2667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158820</wp:posOffset>
                </wp:positionV>
                <wp:extent cx="304800" cy="277091"/>
                <wp:effectExtent b="0" l="0" r="0" t="0"/>
                <wp:wrapNone/>
                <wp:docPr id="1" name="image1.png"/>
                <a:graphic>
                  <a:graphicData uri="http://schemas.openxmlformats.org/drawingml/2006/picture">
                    <pic:pic>
                      <pic:nvPicPr>
                        <pic:cNvPr id="0" name="image1.png"/>
                        <pic:cNvPicPr preferRelativeResize="0"/>
                      </pic:nvPicPr>
                      <pic:blipFill>
                        <a:blip r:embed="rId24"/>
                        <a:srcRect/>
                        <a:stretch>
                          <a:fillRect/>
                        </a:stretch>
                      </pic:blipFill>
                      <pic:spPr>
                        <a:xfrm>
                          <a:off x="0" y="0"/>
                          <a:ext cx="304800" cy="277091"/>
                        </a:xfrm>
                        <a:prstGeom prst="rect"/>
                        <a:ln/>
                      </pic:spPr>
                    </pic:pic>
                  </a:graphicData>
                </a:graphic>
              </wp:anchor>
            </w:drawing>
          </mc:Fallback>
        </mc:AlternateContent>
      </w:r>
    </w:p>
    <w:p w:rsidR="00000000" w:rsidDel="00000000" w:rsidP="00000000" w:rsidRDefault="00000000" w:rsidRPr="00000000" w14:paraId="000000D0">
      <w:pPr>
        <w:spacing w:before="120" w:line="252.00000000000003" w:lineRule="auto"/>
        <w:ind w:firstLine="720"/>
        <w:jc w:val="left"/>
        <w:rPr/>
      </w:pPr>
      <w:r w:rsidDel="00000000" w:rsidR="00000000" w:rsidRPr="00000000">
        <w:rPr>
          <w:rtl w:val="0"/>
        </w:rPr>
        <w:t xml:space="preserve"> Student(s) is (are) enrolled in. (please enter √ in the box)</w:t>
      </w:r>
    </w:p>
    <w:p w:rsidR="00000000" w:rsidDel="00000000" w:rsidP="00000000" w:rsidRDefault="00000000" w:rsidRPr="00000000" w14:paraId="000000D1">
      <w:pPr>
        <w:spacing w:before="120" w:line="252.00000000000003" w:lineRule="auto"/>
        <w:jc w:val="left"/>
        <w:rPr/>
      </w:pPr>
      <w:r w:rsidDel="00000000" w:rsidR="00000000" w:rsidRPr="00000000">
        <w:rPr>
          <w:rtl w:val="0"/>
        </w:rPr>
      </w:r>
    </w:p>
    <w:p w:rsidR="00000000" w:rsidDel="00000000" w:rsidP="00000000" w:rsidRDefault="00000000" w:rsidRPr="00000000" w14:paraId="000000D2">
      <w:pPr>
        <w:spacing w:after="160" w:line="259" w:lineRule="auto"/>
        <w:jc w:val="left"/>
        <w:rPr/>
      </w:pPr>
      <w:r w:rsidDel="00000000" w:rsidR="00000000" w:rsidRPr="00000000">
        <w:rPr>
          <w:b w:val="1"/>
          <w:bCs w:val="1"/>
          <w:rtl w:val="0"/>
        </w:rPr>
        <w:t xml:space="preserve">Supervisor (print name):</w:t>
      </w:r>
      <w:r w:rsidDel="00000000" w:rsidR="00000000" w:rsidRPr="00000000">
        <w:rPr>
          <w:rtl w:val="0"/>
        </w:rPr>
        <w:t xml:space="preserve"> </w:t>
      </w:r>
    </w:p>
    <w:p w:rsidR="00000000" w:rsidDel="00000000" w:rsidP="00000000" w:rsidRDefault="00000000" w:rsidRPr="00000000" w14:paraId="000000D3">
      <w:pPr>
        <w:spacing w:after="160" w:line="259" w:lineRule="auto"/>
        <w:jc w:val="left"/>
        <w:rPr/>
      </w:pPr>
      <w:r w:rsidDel="00000000" w:rsidR="00000000" w:rsidRPr="00000000">
        <w:rPr>
          <w:rtl w:val="0"/>
        </w:rPr>
      </w:r>
    </w:p>
    <w:p w:rsidR="00000000" w:rsidDel="00000000" w:rsidP="00000000" w:rsidRDefault="00000000" w:rsidRPr="00000000" w14:paraId="000000D4">
      <w:pPr>
        <w:spacing w:after="160" w:line="259" w:lineRule="auto"/>
        <w:jc w:val="left"/>
        <w:rPr/>
      </w:pPr>
      <w:r w:rsidDel="00000000" w:rsidR="00000000" w:rsidRPr="00000000">
        <w:rPr>
          <w:b w:val="1"/>
          <w:bCs w:val="1"/>
          <w:rtl w:val="0"/>
        </w:rPr>
        <w:t xml:space="preserve">Signature</w:t>
      </w:r>
      <w:r w:rsidDel="00000000" w:rsidR="00000000" w:rsidRPr="00000000">
        <w:rPr>
          <w:rtl w:val="0"/>
        </w:rPr>
        <w:t xml:space="preserve">:</w:t>
      </w:r>
    </w:p>
    <w:p w:rsidR="00000000" w:rsidDel="00000000" w:rsidP="00000000" w:rsidRDefault="00000000" w:rsidRPr="00000000" w14:paraId="000000D5">
      <w:pPr>
        <w:spacing w:after="160" w:line="259" w:lineRule="auto"/>
        <w:jc w:val="left"/>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Date:</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rsidR="00000000" w:rsidDel="00000000" w:rsidP="00000000" w:rsidRDefault="00000000" w:rsidRPr="00000000" w14:paraId="000000D9">
      <w:pPr>
        <w:rPr>
          <w:b w:val="1"/>
          <w:bCs w:val="1"/>
        </w:rPr>
      </w:pPr>
      <w:r w:rsidDel="00000000" w:rsidR="00000000" w:rsidRPr="00000000">
        <w:rPr>
          <w:b w:val="1"/>
          <w:bCs w:val="1"/>
          <w:rtl w:val="0"/>
        </w:rPr>
        <w:t xml:space="preserve">Any project requiring ethical approval but which has not been given approval will not be accepted for marking. </w:t>
      </w:r>
    </w:p>
    <w:p w:rsidR="00000000" w:rsidDel="00000000" w:rsidP="00000000" w:rsidRDefault="00000000" w:rsidRPr="00000000" w14:paraId="000000DA">
      <w:pPr>
        <w:rPr>
          <w:b w:val="1"/>
          <w:bCs w:val="1"/>
          <w:color w:val="ff0000"/>
        </w:rPr>
      </w:pPr>
      <w:r w:rsidDel="00000000" w:rsidR="00000000" w:rsidRPr="00000000">
        <w:rPr>
          <w:b w:val="1"/>
          <w:bCs w:val="1"/>
          <w:color w:val="ff0000"/>
          <w:rtl w:val="0"/>
        </w:rPr>
        <w:t xml:space="preserve">Ethical approval cannot be sought in retrospect.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25" w:type="default"/>
      <w:footerReference r:id="rId2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456.0" w:type="dxa"/>
      <w:jc w:val="left"/>
      <w:tblBorders>
        <w:bottom w:color="808080" w:space="0" w:sz="18" w:val="single"/>
        <w:insideV w:color="808080" w:space="0" w:sz="18" w:val="single"/>
      </w:tblBorders>
      <w:tblLayout w:type="fixed"/>
      <w:tblLook w:val="0400"/>
    </w:tblPr>
    <w:tblGrid>
      <w:gridCol w:w="7555"/>
      <w:gridCol w:w="1901"/>
      <w:tblGridChange w:id="0">
        <w:tblGrid>
          <w:gridCol w:w="7555"/>
          <w:gridCol w:w="1901"/>
        </w:tblGrid>
      </w:tblGridChange>
    </w:tblGrid>
    <w:tr>
      <w:trPr>
        <w:cantSplit w:val="0"/>
        <w:trHeight w:val="315" w:hRule="atLeast"/>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MSc Masters Project specification</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1"/>
              <w:bCs w:val="1"/>
              <w:i w:val="0"/>
              <w:iCs w:val="0"/>
              <w:smallCaps w:val="0"/>
              <w:strike w:val="0"/>
              <w:color w:val="4f81bd"/>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4"/>
              <w:szCs w:val="24"/>
              <w:u w:val="none"/>
              <w:shd w:fill="auto" w:val="clear"/>
              <w:vertAlign w:val="baseline"/>
              <w:rtl w:val="0"/>
            </w:rPr>
            <w:t xml:space="preserve">2025/26</w:t>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jc w:val="left"/>
    </w:pPr>
    <w:tblPr>
      <w:tblStyleRowBandSize w:val="1"/>
      <w:tblStyleColBandSize w:val="1"/>
      <w:tblCellMar>
        <w:top w:w="0.0" w:type="dxa"/>
        <w:left w:w="108.0" w:type="dxa"/>
        <w:bottom w:w="0.0" w:type="dxa"/>
        <w:right w:w="108.0" w:type="dxa"/>
      </w:tblCellMar>
    </w:tblPr>
  </w:style>
  <w:style w:type="table" w:styleId="Table2">
    <w:basedOn w:val="TableNormal"/>
    <w:pPr>
      <w:jc w:val="left"/>
    </w:pPr>
    <w:tblPr>
      <w:tblStyleRowBandSize w:val="1"/>
      <w:tblStyleColBandSize w:val="1"/>
      <w:tblCellMar>
        <w:top w:w="0.0" w:type="dxa"/>
        <w:left w:w="108.0" w:type="dxa"/>
        <w:bottom w:w="0.0" w:type="dxa"/>
        <w:right w:w="108.0" w:type="dxa"/>
      </w:tblCellMar>
    </w:tblPr>
  </w:style>
  <w:style w:type="table" w:styleId="Table3">
    <w:basedOn w:val="TableNormal"/>
    <w:pPr>
      <w:jc w:val="left"/>
    </w:pPr>
    <w:tblPr>
      <w:tblStyleRowBandSize w:val="1"/>
      <w:tblStyleColBandSize w:val="1"/>
      <w:tblCellMar>
        <w:top w:w="0.0" w:type="dxa"/>
        <w:left w:w="108.0" w:type="dxa"/>
        <w:bottom w:w="0.0" w:type="dxa"/>
        <w:right w:w="108.0" w:type="dxa"/>
      </w:tblCellMar>
    </w:tblPr>
  </w:style>
  <w:style w:type="table" w:styleId="Table4">
    <w:basedOn w:val="TableNormal"/>
    <w:pPr>
      <w:jc w:val="left"/>
    </w:pPr>
    <w:tblPr>
      <w:tblStyleRowBandSize w:val="1"/>
      <w:tblStyleColBandSize w:val="1"/>
      <w:tblCellMar>
        <w:top w:w="0.0" w:type="dxa"/>
        <w:left w:w="108.0" w:type="dxa"/>
        <w:bottom w:w="0.0" w:type="dxa"/>
        <w:right w:w="108.0" w:type="dxa"/>
      </w:tblCellMar>
    </w:tblPr>
  </w:style>
  <w:style w:type="table" w:styleId="Table5">
    <w:basedOn w:val="TableNormal"/>
    <w:pPr>
      <w:jc w:val="left"/>
    </w:pPr>
    <w:tblPr>
      <w:tblStyleRowBandSize w:val="1"/>
      <w:tblStyleColBandSize w:val="1"/>
      <w:tblCellMar>
        <w:top w:w="0.0" w:type="dxa"/>
        <w:left w:w="108.0" w:type="dxa"/>
        <w:bottom w:w="0.0" w:type="dxa"/>
        <w:right w:w="108.0" w:type="dxa"/>
      </w:tblCellMar>
    </w:tblPr>
  </w:style>
  <w:style w:type="table" w:styleId="Table6">
    <w:basedOn w:val="TableNormal"/>
    <w:pPr>
      <w:jc w:val="left"/>
    </w:pPr>
    <w:tblPr>
      <w:tblStyleRowBandSize w:val="1"/>
      <w:tblStyleColBandSize w:val="1"/>
      <w:tblCellMar>
        <w:top w:w="0.0" w:type="dxa"/>
        <w:left w:w="108.0" w:type="dxa"/>
        <w:bottom w:w="0.0" w:type="dxa"/>
        <w:right w:w="108.0" w:type="dxa"/>
      </w:tblCellMar>
    </w:tblPr>
  </w:style>
  <w:style w:type="table" w:styleId="Table7">
    <w:basedOn w:val="TableNormal"/>
    <w:pPr>
      <w:jc w:val="left"/>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jc w:val="left"/>
    </w:pPr>
    <w:tblPr>
      <w:tblStyleRowBandSize w:val="1"/>
      <w:tblStyleColBandSize w:val="1"/>
      <w:tblCellMar>
        <w:top w:w="0.0" w:type="dxa"/>
        <w:left w:w="108.0" w:type="dxa"/>
        <w:bottom w:w="0.0" w:type="dxa"/>
        <w:right w:w="108.0" w:type="dxa"/>
      </w:tblCellMar>
    </w:tblPr>
  </w:style>
  <w:style w:type="table" w:styleId="Table10">
    <w:basedOn w:val="TableNormal"/>
    <w:pPr>
      <w:jc w:val="left"/>
    </w:pPr>
    <w:tblPr>
      <w:tblStyleRowBandSize w:val="1"/>
      <w:tblStyleColBandSize w:val="1"/>
      <w:tblCellMar>
        <w:top w:w="0.0" w:type="dxa"/>
        <w:left w:w="108.0" w:type="dxa"/>
        <w:bottom w:w="0.0" w:type="dxa"/>
        <w:right w:w="108.0" w:type="dxa"/>
      </w:tblCellMar>
    </w:tblPr>
  </w:style>
  <w:style w:type="table" w:styleId="Table11">
    <w:basedOn w:val="TableNormal"/>
    <w:pPr>
      <w:jc w:val="left"/>
    </w:pPr>
    <w:tblPr>
      <w:tblStyleRowBandSize w:val="1"/>
      <w:tblStyleColBandSize w:val="1"/>
      <w:tblCellMar>
        <w:top w:w="0.0" w:type="dxa"/>
        <w:left w:w="108.0" w:type="dxa"/>
        <w:bottom w:w="0.0" w:type="dxa"/>
        <w:right w:w="108.0" w:type="dxa"/>
      </w:tblCellMar>
    </w:tblPr>
  </w:style>
  <w:style w:type="table" w:styleId="Table12">
    <w:basedOn w:val="TableNormal"/>
    <w:pPr>
      <w:jc w:val="left"/>
    </w:pPr>
    <w:tblPr>
      <w:tblStyleRowBandSize w:val="1"/>
      <w:tblStyleColBandSize w:val="1"/>
      <w:tblCellMar>
        <w:top w:w="0.0" w:type="dxa"/>
        <w:left w:w="108.0" w:type="dxa"/>
        <w:bottom w:w="0.0" w:type="dxa"/>
        <w:right w:w="108.0" w:type="dxa"/>
      </w:tblCellMar>
    </w:tblPr>
  </w:style>
  <w:style w:type="table" w:styleId="Table13">
    <w:basedOn w:val="TableNormal"/>
    <w:pPr>
      <w:jc w:val="left"/>
    </w:pPr>
    <w:tblPr>
      <w:tblStyleRowBandSize w:val="1"/>
      <w:tblStyleColBandSize w:val="1"/>
      <w:tblCellMar>
        <w:top w:w="0.0" w:type="dxa"/>
        <w:left w:w="108.0" w:type="dxa"/>
        <w:bottom w:w="0.0" w:type="dxa"/>
        <w:right w:w="108.0" w:type="dxa"/>
      </w:tblCellMar>
    </w:tblPr>
  </w:style>
  <w:style w:type="table" w:styleId="Table14">
    <w:basedOn w:val="TableNormal"/>
    <w:pPr>
      <w:jc w:val="left"/>
    </w:pPr>
    <w:tblPr>
      <w:tblStyleRowBandSize w:val="1"/>
      <w:tblStyleColBandSize w:val="1"/>
      <w:tblCellMar>
        <w:top w:w="0.0" w:type="dxa"/>
        <w:left w:w="108.0" w:type="dxa"/>
        <w:bottom w:w="0.0" w:type="dxa"/>
        <w:right w:w="108.0" w:type="dxa"/>
      </w:tblCellMar>
    </w:tblPr>
  </w:style>
  <w:style w:type="table" w:styleId="Table15">
    <w:basedOn w:val="TableNormal"/>
    <w:pPr>
      <w:jc w:val="left"/>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jbusres.2022.02.083" TargetMode="External"/><Relationship Id="rId22" Type="http://schemas.openxmlformats.org/officeDocument/2006/relationships/hyperlink" Target="https://doi.org/10.1145/3616865" TargetMode="External"/><Relationship Id="rId21" Type="http://schemas.openxmlformats.org/officeDocument/2006/relationships/hyperlink" Target="https://doi.org/10.1016/j.jbusres.2022.02.083" TargetMode="External"/><Relationship Id="rId24" Type="http://schemas.openxmlformats.org/officeDocument/2006/relationships/image" Target="media/image1.png"/><Relationship Id="rId23" Type="http://schemas.openxmlformats.org/officeDocument/2006/relationships/hyperlink" Target="https://doi.org/10.1145/36168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retai.2023.11.003"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ws-uk.libguides.com/referencing" TargetMode="External"/><Relationship Id="rId8" Type="http://schemas.openxmlformats.org/officeDocument/2006/relationships/hyperlink" Target="https://doi.org/10.1016/j.jretai.2023.11.003" TargetMode="External"/><Relationship Id="rId11" Type="http://schemas.openxmlformats.org/officeDocument/2006/relationships/hyperlink" Target="https://doi.org/10.1145/3457607" TargetMode="External"/><Relationship Id="rId10" Type="http://schemas.openxmlformats.org/officeDocument/2006/relationships/hyperlink" Target="https://doi.org/10.1145/3457607" TargetMode="External"/><Relationship Id="rId13" Type="http://schemas.openxmlformats.org/officeDocument/2006/relationships/hyperlink" Target="https://doi.org/10.3386/w32540" TargetMode="External"/><Relationship Id="rId12" Type="http://schemas.openxmlformats.org/officeDocument/2006/relationships/hyperlink" Target="https://doi.org/10.3386/w32540" TargetMode="External"/><Relationship Id="rId15" Type="http://schemas.openxmlformats.org/officeDocument/2006/relationships/hyperlink" Target="https://doi.org/10.1177/20539517221115189" TargetMode="External"/><Relationship Id="rId14" Type="http://schemas.openxmlformats.org/officeDocument/2006/relationships/hyperlink" Target="https://doi.org/10.1177/20539517221115189" TargetMode="External"/><Relationship Id="rId17" Type="http://schemas.openxmlformats.org/officeDocument/2006/relationships/hyperlink" Target="https://doi.org/10.1016/j.ijresmar.2024.10.006" TargetMode="External"/><Relationship Id="rId16" Type="http://schemas.openxmlformats.org/officeDocument/2006/relationships/hyperlink" Target="https://doi.org/10.1016/j.ijresmar.2024.10.006" TargetMode="External"/><Relationship Id="rId19" Type="http://schemas.openxmlformats.org/officeDocument/2006/relationships/hyperlink" Target="https://doi.org/10.3390/app142411668" TargetMode="External"/><Relationship Id="rId18" Type="http://schemas.openxmlformats.org/officeDocument/2006/relationships/hyperlink" Target="https://doi.org/10.3390/app142411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Accessed>03</b:DayAccessed>
    <b:JournalName>International Journal of Research in Marketing</b:JournalName>
    <b:MonthAccessed>03</b:MonthAccessed>
    <b:StandardNumber>NBER Working Paper No. 32540 / DOI: https://doi.org/10.3386/w32540</b:StandardNumber>
    <b:Title>Algorithmic pricing: Implications for marketing strategy and regulation</b:Title>
    <b:URL>https://www.nber.org/papers/w32540</b:URL>
    <b:InternetSiteTitle>National Bureau of Economic Research (NBER)</b:InternetSiteTitle>
    <b:Year>2024</b:Year>
    <b:YearAccessed>2026</b:YearAccessed>
    <b:Gdcea>{"AccessedType":"Website"}</b:Gdcea>
    <b:Author>
      <b:Author>
        <b:NameList>
          <b:Person>
            <b:First>Martin</b:First>
            <b:Last>Spann</b:Last>
          </b:Person>
          <b:Person>
            <b:First>Robert</b:First>
            <b:Last>Zeithammer</b:Last>
          </b:Person>
          <b:Person>
            <b:First>Marco</b:First>
            <b:Last>Bertini</b:Last>
          </b:Person>
          <b:Person>
            <b:First>Oded</b:First>
            <b:Last>Koenigsberg</b:Last>
          </b:Person>
          <b:Person>
            <b:First>Diego</b:First>
            <b:Last>Aparicio</b:Last>
          </b:Person>
          <b:Person>
            <b:First>Yuxin</b:First>
            <b:Last>Chen</b:Last>
          </b:Person>
          <b:Person>
            <b:First>Fabrizio</b:First>
            <b:Last>Fantini</b:Last>
          </b:Person>
          <b:Person>
            <b:First>Ginger</b:First>
            <b:Middle>Zhe</b:Middle>
            <b:Last>Jin</b:Last>
          </b:Person>
          <b:Person>
            <b:First>Vicki</b:First>
            <b:Last>Morwitz</b:Last>
          </b:Person>
        </b:NameList>
      </b:Author>
    </b:Author>
  </b:Source>
  <b:Source>
    <b:Tag>source2</b:Tag>
    <b:SourceType>JournalArticle</b:SourceType>
    <b:Issue>4</b:Issue>
    <b:JournalName>Journal of Retailing</b:JournalName>
    <b:Month>December</b:Month>
    <b:Pages>580–593</b:Pages>
    <b:StandardNumber>https://doi.org/10.1016/j.jretai.2023.11.003</b:StandardNumber>
    <b:Title>Dynamic pricing: Definition, implications for managers, and future research directions</b:Title>
    <b:URL>https://www.sciencedirect.com/science/article/abs/pii/S0022435923000544</b:URL>
    <b:Volume>99</b:Volume>
    <b:Year>2023</b:Year>
    <b:Gdcea>{"AccessedType":"Website"}</b:Gdcea>
    <b:Author>
      <b:Author>
        <b:NameList>
          <b:Person>
            <b:First>Praveen</b:First>
            <b:Middle>K.</b:Middle>
            <b:Last>Kopalle</b:Last>
          </b:Person>
          <b:Person>
            <b:First>Koen</b:First>
            <b:Last>Pauwels</b:Last>
          </b:Person>
          <b:Person>
            <b:First>Manish</b:First>
            <b:Last>Gangwar</b:Last>
          </b:Person>
          <b:Person>
            <b:First>Laxminarayana</b:First>
            <b:Middle>Yashaswy</b:Middle>
            <b:Last>Akella</b:Last>
          </b:Person>
        </b:NameList>
      </b:Author>
    </b:Author>
  </b:Source>
  <b:Source>
    <b:Tag>source3</b:Tag>
    <b:SourceType>JournalArticle</b:SourceType>
    <b:JournalName>Journal of Business Research</b:JournalName>
    <b:Pages>201–216</b:Pages>
    <b:StandardNumber>https://doi.org/10.1016/j.jbusres.2022.02.083</b:StandardNumber>
    <b:Title>Algorithmic bias in machine learning-based marketing models</b:Title>
    <b:URL>https://www.sciencedirect.com/science/article/pii/S0148296322000576</b:URL>
    <b:Volume>144</b:Volume>
    <b:Year>2022</b:Year>
    <b:Gdcea>{"AccessedType":"Website"}</b:Gdcea>
    <b:Author>
      <b:Author>
        <b:NameList>
          <b:Person>
            <b:First>Shahriar</b:First>
            <b:Last>Akter</b:Last>
          </b:Person>
          <b:Person>
            <b:First>Yogesh</b:First>
            <b:Middle>K.</b:Middle>
            <b:Last>Dwivedi</b:Last>
          </b:Person>
          <b:Person>
            <b:First>Shahriar</b:First>
            <b:Last>Sajib</b:Last>
          </b:Person>
          <b:Person>
            <b:First>Kumar</b:First>
            <b:Last>Biswas</b:Last>
          </b:Person>
          <b:Person>
            <b:First>Ruwan</b:First>
            <b:Middle>J.</b:Middle>
            <b:Last>Bandara</b:Last>
          </b:Person>
          <b:Person>
            <b:First>Katina</b:First>
            <b:Last>Michael</b:Last>
          </b:Person>
        </b:NameList>
      </b:Author>
    </b:Author>
  </b:Source>
  <b:Source>
    <b:Tag>source4</b:Tag>
    <b:SourceType>JournalArticle</b:SourceType>
    <b:Day>13</b:Day>
    <b:Issue>24</b:Issue>
    <b:JournalName>Applied Sciences</b:JournalName>
    <b:Month>December</b:Month>
    <b:Pages>1-15</b:Pages>
    <b:StandardNumber>https://doi.org/10.3390/app142411668</b:StandardNumber>
    <b:Title>Dynamic Pricing Method in the E-Commerce Industry Using Machine Learning</b:Title>
    <b:URL>https://www.mdpi.com/2076-3417/14/24/11668</b:URL>
    <b:Volume>14</b:Volume>
    <b:Year>2024</b:Year>
    <b:Gdcea>{"AccessedType":"Website"}</b:Gdcea>
    <b:Author>
      <b:Author>
        <b:NameList>
          <b:Person>
            <b:First>Marcin</b:First>
            <b:Last>Nowak</b:Last>
          </b:Person>
          <b:Person>
            <b:First>Marta</b:First>
            <b:Last>Pawłowska-Nowak</b:Last>
          </b:Person>
        </b:NameList>
      </b:Author>
    </b:Author>
  </b:Source>
  <b:Source>
    <b:Tag>source5</b:Tag>
    <b:SourceType>JournalArticle</b:SourceType>
    <b:Issue>6</b:Issue>
    <b:JournalName>ACM Computing Surveys</b:JournalName>
    <b:Month>July</b:Month>
    <b:Pages>1-35</b:Pages>
    <b:StandardNumber>https://doi.org/10.1145/3457607</b:StandardNumber>
    <b:Title>A Survey on Bias and Fairness in Machine Learning</b:Title>
    <b:URL>https://dl.acm.org/doi/10.1145/3457607</b:URL>
    <b:Volume>54</b:Volume>
    <b:Year>2021</b:Year>
    <b:Gdcea>{"AccessedType":"Website"}</b:Gdcea>
    <b:Author>
      <b:Author>
        <b:NameList>
          <b:Person>
            <b:First>Ninareh</b:First>
            <b:Last>Mehrabi</b:Last>
          </b:Person>
          <b:Person>
            <b:First>Fred</b:First>
            <b:Last>Morstatter</b:Last>
          </b:Person>
          <b:Person>
            <b:First>Nripsuta</b:First>
            <b:Last>Saxena</b:Last>
          </b:Person>
          <b:Person>
            <b:First>Kristina</b:First>
            <b:Last>Lerman</b:Last>
          </b:Person>
          <b:Person>
            <b:First>Aram</b:First>
            <b:Last>Galstyan</b:Last>
          </b:Person>
        </b:NameList>
      </b:Author>
    </b:Author>
  </b:Source>
  <b:Source>
    <b:Tag>source6</b:Tag>
    <b:SourceType>JournalArticle</b:SourceType>
    <b:Day>9</b:Day>
    <b:Issue>7</b:Issue>
    <b:JournalName>ACM Computing Surveys</b:JournalName>
    <b:Month>April</b:Month>
    <b:Pages>1-38</b:Pages>
    <b:StandardNumber>https://doi.org/10.1145/3616865</b:StandardNumber>
    <b:Title>Fairness in Machine Learning: A Survey</b:Title>
    <b:URL>https://dl.acm.org/doi/10.1145/3616865</b:URL>
    <b:Volume>56</b:Volume>
    <b:Year>2024</b:Year>
    <b:Gdcea>{"AccessedType":"Website"}</b:Gdcea>
    <b:Author>
      <b:Author>
        <b:NameList>
          <b:Person>
            <b:First>Simon</b:First>
            <b:Last>Caton</b:Last>
          </b:Person>
          <b:Person>
            <b:First>Christian</b:First>
            <b:Last>Haas</b:Last>
          </b:Person>
        </b:NameList>
      </b:Author>
    </b:Author>
  </b:Source>
  <b:Source>
    <b:Tag>source7</b:Tag>
    <b:SourceType>JournalArticle</b:SourceType>
    <b:Issue>2</b:Issue>
    <b:JournalName>Big Data &amp; Society</b:JournalName>
    <b:Month>July</b:Month>
    <b:Pages>1–14</b:Pages>
    <b:StandardNumber>https://doi.org/10.1177/20539517221115189</b:StandardNumber>
    <b:Title>Fairness Perceptions of Algorithmic Decision-Making: A Systematic Review of the Empirical Literature</b:Title>
    <b:URL>https://journals.sagepub.com/doi/10.1177/20539517221115189</b:URL>
    <b:Volume>9</b:Volume>
    <b:Year>2022</b:Year>
    <b:Gdcea>{"AccessedType":"Website"}</b:Gdcea>
    <b:Author>
      <b:Author>
        <b:NameList>
          <b:Person>
            <b:First>Christopher</b:First>
            <b:Last>Starke</b:Last>
          </b:Person>
          <b:Person>
            <b:First>Janine</b:First>
            <b:Last>Baleis</b:Last>
          </b:Person>
          <b:Person>
            <b:First>Birte</b:First>
            <b:Last>Keller</b:Last>
          </b:Person>
          <b:Person>
            <b:First>Frank</b:First>
            <b:Last>Marcinkowski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ies>
</file>