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43"/>
          <w:spacing w:val="30"/>
          <w:sz w:val="18"/>
          <w:szCs w:val="18"/>
        </w:rPr>
        <w:t xml:space="preserve">PRODUCT REQUIREMENTS DOCUMENT</w:t>
      </w:r>
    </w:p>
    <w:p>
      <w:pPr>
        <w:spacing w:after="60"/>
      </w:pPr>
      <w:r>
        <w:rPr>
          <w:b/>
          <w:bCs/>
          <w:color w:val="1A1A1A"/>
          <w:sz w:val="48"/>
          <w:szCs w:val="48"/>
        </w:rPr>
        <w:t xml:space="preserve">Composition Protocol</w:t>
      </w:r>
    </w:p>
    <w:p>
      <w:pPr>
        <w:spacing w:after="40"/>
      </w:pPr>
      <w:r>
        <w:rPr>
          <w:i/>
          <w:iCs/>
          <w:color w:val="5A5A5A"/>
          <w:sz w:val="23"/>
          <w:szCs w:val="23"/>
        </w:rPr>
        <w:t xml:space="preserve">Atomic, private, multi-asset settlement for Canton — demonstrated through African commodity trade finance.</w:t>
      </w:r>
    </w:p>
    <w:p>
      <w:pPr>
        <w:spacing w:after="180"/>
      </w:pPr>
      <w:r>
        <w:rPr>
          <w:color w:val="5A5A5A"/>
          <w:sz w:val="19"/>
          <w:szCs w:val="19"/>
        </w:rPr>
        <w:t xml:space="preserve">HackCanton Season 3 · Track 1 (RWA &amp; Business Workflows) primary, Track 2 secondary · BitSafe Decentralization challenge (secondary entry) · Team: Revotoken Africa</w:t>
      </w:r>
    </w:p>
    <w:p>
      <w:pPr>
        <w:pBdr>
          <w:bottom w:val="single" w:color="1F6F43" w:sz="6" w:space="1"/>
        </w:pBdr>
        <w:spacing w:after="18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1. Summary</w:t>
      </w:r>
    </w:p>
    <w:p>
      <w:pPr>
        <w:spacing w:after="110" w:line="274"/>
      </w:pPr>
      <w:r>
        <w:rPr>
          <w:color w:val="1A1A1A"/>
          <w:sz w:val="21"/>
          <w:szCs w:val="21"/>
        </w:rPr>
        <w:t xml:space="preserve">A </w:t>
      </w:r>
      <w:r>
        <w:rPr>
          <w:b/>
          <w:bCs/>
          <w:color w:val="1A1A1A"/>
          <w:sz w:val="21"/>
          <w:szCs w:val="21"/>
        </w:rPr>
        <w:t xml:space="preserve">private, atomic, multi-asset settlement primitive</w:t>
      </w:r>
      <w:r>
        <w:rPr>
          <w:color w:val="1A1A1A"/>
          <w:sz w:val="21"/>
          <w:szCs w:val="21"/>
        </w:rPr>
        <w:t xml:space="preserve"> on Canton — a reusable Daml building block that bundles several asset transfers into a single deal that either </w:t>
      </w:r>
      <w:r>
        <w:rPr>
          <w:b/>
          <w:bCs/>
          <w:color w:val="1A1A1A"/>
          <w:sz w:val="21"/>
          <w:szCs w:val="21"/>
        </w:rPr>
        <w:t xml:space="preserve">all</w:t>
      </w:r>
      <w:r>
        <w:rPr>
          <w:color w:val="1A1A1A"/>
          <w:sz w:val="21"/>
          <w:szCs w:val="21"/>
        </w:rPr>
        <w:t xml:space="preserve"> settles or </w:t>
      </w:r>
      <w:r>
        <w:rPr>
          <w:b/>
          <w:bCs/>
          <w:color w:val="1A1A1A"/>
          <w:sz w:val="21"/>
          <w:szCs w:val="21"/>
        </w:rPr>
        <w:t xml:space="preserve">none</w:t>
      </w:r>
      <w:r>
        <w:rPr>
          <w:color w:val="1A1A1A"/>
          <w:sz w:val="21"/>
          <w:szCs w:val="21"/>
        </w:rPr>
        <w:t xml:space="preserve"> does, with each party seeing only its own leg. CIP-0056 made single assets portable; the Composition Protocol makes them </w:t>
      </w:r>
      <w:r>
        <w:rPr>
          <w:b/>
          <w:bCs/>
          <w:color w:val="1A1A1A"/>
          <w:sz w:val="21"/>
          <w:szCs w:val="21"/>
        </w:rPr>
        <w:t xml:space="preserve">combinable</w:t>
      </w:r>
      <w:r>
        <w:rPr>
          <w:color w:val="1A1A1A"/>
          <w:sz w:val="21"/>
          <w:szCs w:val="21"/>
        </w:rPr>
        <w:t xml:space="preserve">. We demonstrate it through African commodity trade finance: an exporter's collateral, a lender's USDCx, and an oracle's price attestation settle as one all-or-nothing transaction, each party seeing only its own leg.</w:t>
      </w:r>
    </w:p>
    <w:p>
      <w:pPr>
        <w:spacing w:after="110" w:line="274"/>
      </w:pPr>
      <w:r>
        <w:rPr>
          <w:b/>
          <w:bCs/>
          <w:color w:val="1A1A1A"/>
          <w:sz w:val="21"/>
          <w:szCs w:val="21"/>
        </w:rPr>
        <w:t xml:space="preserve">The protocol is the product. The trade-finance flow is the demo that gives it a face.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2. Problem, and why now</w:t>
      </w:r>
    </w:p>
    <w:p>
      <w:pPr>
        <w:spacing w:after="110" w:line="274"/>
      </w:pPr>
      <w:r>
        <w:rPr>
          <w:color w:val="1A1A1A"/>
          <w:sz w:val="21"/>
          <w:szCs w:val="21"/>
        </w:rPr>
        <w:t xml:space="preserve">Real financial deals are never one transfer. A repo is collateral + cash + a price check. A bond-plus-CDS is a bond leg + a protection leg + a premium leg. On Canton today, every team building one of these </w:t>
      </w:r>
      <w:r>
        <w:rPr>
          <w:b/>
          <w:bCs/>
          <w:color w:val="1A1A1A"/>
          <w:sz w:val="21"/>
          <w:szCs w:val="21"/>
        </w:rPr>
        <w:t xml:space="preserve">rebuilds from scratch</w:t>
      </w:r>
      <w:r>
        <w:rPr>
          <w:color w:val="1A1A1A"/>
          <w:sz w:val="21"/>
          <w:szCs w:val="21"/>
        </w:rPr>
        <w:t xml:space="preserve"> the logic for making all legs settle together, atomically, while keeping each leg private to the right parties. There is no standard for "all legs or none" with leg-level visibility.</w:t>
      </w:r>
    </w:p>
    <w:p>
      <w:pPr>
        <w:spacing w:after="110" w:line="274"/>
      </w:pPr>
      <w:r>
        <w:rPr>
          <w:b/>
          <w:bCs/>
          <w:color w:val="1A1A1A"/>
          <w:sz w:val="21"/>
          <w:szCs w:val="21"/>
        </w:rPr>
        <w:t xml:space="preserve">Why now: </w:t>
      </w:r>
      <w:r>
        <w:rPr>
          <w:color w:val="1A1A1A"/>
          <w:sz w:val="21"/>
          <w:szCs w:val="21"/>
        </w:rPr>
        <w:t xml:space="preserve">Canton's institutional volume is real (multi-trillion monthly settlement), CIP-0056 assets are live (USDCx, CBTC, cETH), and the network's economics reward real recurring utility over speculation. The composition layer between tokenization and structured finance is the visible gap — and it is unbuilt.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3. Who it's for (ICP)</w:t>
      </w:r>
    </w:p>
    <w:p>
      <w:pPr>
        <w:pStyle w:val="Heading2"/>
        <w:spacing w:after="90" w:before="200"/>
      </w:pPr>
      <w:r>
        <w:rPr>
          <w:b/>
          <w:bCs/>
          <w:color w:val="1F6F43"/>
          <w:sz w:val="23"/>
          <w:szCs w:val="23"/>
        </w:rPr>
        <w:t xml:space="preserve">Primary customer — builders on Canton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DEXs, lending protocols and funds (Temple Digital, Tradecraft, Ekiden, Cantex-style venues) that must settle structured, multi-leg deals but don't want to hand-build atomicity and per-leg privacy each time.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They call the protocol as a shared primitive — the source of recurring, fee-generating on-chain activity that HackCanton's rubric rewards. Specific pain: today they fork-and-rebuild composition logic per product, carrying the privacy and atomicity risk themselves.</w:t>
      </w:r>
    </w:p>
    <w:p>
      <w:pPr>
        <w:pStyle w:val="Heading2"/>
        <w:spacing w:after="90" w:before="200"/>
      </w:pPr>
      <w:r>
        <w:rPr>
          <w:b/>
          <w:bCs/>
          <w:color w:val="1F6F43"/>
          <w:sz w:val="23"/>
          <w:szCs w:val="23"/>
        </w:rPr>
        <w:t xml:space="preserve">Demo persona — African commodity exporters and their financiers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A commodity exporter with a confirmed purchase order but no working capital; a lender supplying USDCx; a price/grade oracle. They need funding to settle against verified collateral without exposing deal terms to competitors.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This gives the primitive a vivid, real-world face and a Track 1 end-to-end workflow (create → update → transfer/fulfil → audit) — without collapsing into a single-vertical app.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4. Validation plan (Metrics criterion — do this in-window)</w:t>
      </w:r>
    </w:p>
    <w:p>
      <w:pPr>
        <w:spacing w:after="110" w:line="274"/>
      </w:pPr>
      <w:r>
        <w:rPr>
          <w:color w:val="1A1A1A"/>
          <w:sz w:val="21"/>
          <w:szCs w:val="21"/>
        </w:rPr>
        <w:t xml:space="preserve">HackCanton scores Metrics/Validation on </w:t>
      </w:r>
      <w:r>
        <w:rPr>
          <w:b/>
          <w:bCs/>
          <w:color w:val="1A1A1A"/>
          <w:sz w:val="21"/>
          <w:szCs w:val="21"/>
        </w:rPr>
        <w:t xml:space="preserve">evidence from user research, interviews and tests</w:t>
      </w:r>
      <w:r>
        <w:rPr>
          <w:color w:val="1A1A1A"/>
          <w:sz w:val="21"/>
          <w:szCs w:val="21"/>
        </w:rPr>
        <w:t xml:space="preserve">. This is the current weak point and the plan closes it: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Interview 3–5 Canton builders (DEX/lending teams in the AppsFactory Discord) on whether they'd call a shared composition primitive — capture verbatim quotes for the pitch.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Interview 1–2 trade-finance operators (or use documented AfDB/Afreximbank sources) to validate the demo persona's pain — funding delay, deal-term exposure.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Instrument the MVP: count compositions settled, legs per composition, settlement success/revert rate on the shared DevNet node — these are the on-chain metrics judges want.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Log all of it in the AI-guided project journal daily (Value → ICP → Metrics → GTM → MVP → Pitch) — the journal is judged and doubles as the traction signal.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5. Why it wins — mapped to the six judging criteria</w:t>
      </w:r>
    </w:p>
    <w:tbl>
      <w:tblPr>
        <w:tblW w:type="dxa" w:w="93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6F4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700"/>
            <w:shd w:fill="1F6F4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the Composition Protocol scores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Value / Problem</w:t>
            </w:r>
          </w:p>
        </w:tc>
        <w:tc>
          <w:tcPr>
            <w:tcW w:type="dxa" w:w="6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Names a real, unbuilt gap — the composition layer between CIP-0056 tokenization and structured finance. Why now: institutional volume + live CIP-0056 assets + utility-driven economics.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ICP / Audience</w:t>
            </w:r>
          </w:p>
        </w:tc>
        <w:tc>
          <w:tcPr>
            <w:tcW w:type="dxa" w:w="6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Dual and specific: builders (who call it) + trade-finance operators (the demo). Concrete pain for each.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Metrics / Validation</w:t>
            </w:r>
          </w:p>
        </w:tc>
        <w:tc>
          <w:tcPr>
            <w:tcW w:type="dxa" w:w="6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Builder interviews + operator validation + on-chain metrics (compositions settled, revert rate). See §4.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GTM</w:t>
            </w:r>
          </w:p>
        </w:tc>
        <w:tc>
          <w:tcPr>
            <w:tcW w:type="dxa" w:w="6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Open-source primitive adopted by Canton venues; land with one topology, expand to every structured product. See §9.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MVP</w:t>
            </w:r>
          </w:p>
        </w:tc>
        <w:tc>
          <w:tcPr>
            <w:tcW w:type="dxa" w:w="6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Four Daml contracts, passing tests, Ledger API v2 bridge, live on the shared DevNet node; per-leg privacy proven, not claimed.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Pitch</w:t>
            </w:r>
          </w:p>
        </w:tc>
        <w:tc>
          <w:tcPr>
            <w:tcW w:type="dxa" w:w="6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Tight problem→solution→why-us, with the observer-cannot-see-legs demo as the visible proof.</w:t>
            </w:r>
          </w:p>
        </w:tc>
      </w:tr>
    </w:tbl>
    <w:p>
      <w:pPr>
        <w:spacing w:after="110" w:line="274"/>
      </w:pPr>
      <w:r>
        <w:rPr>
          <w:b/>
          <w:bCs/>
          <w:color w:val="1A1A1A"/>
          <w:sz w:val="21"/>
          <w:szCs w:val="21"/>
        </w:rPr>
        <w:t xml:space="preserve">Differentiator vs. Rocky Exchange, Umbra, Vanton: </w:t>
      </w:r>
      <w:r>
        <w:rPr>
          <w:color w:val="1A1A1A"/>
          <w:sz w:val="21"/>
          <w:szCs w:val="21"/>
        </w:rPr>
        <w:t xml:space="preserve">they build products; we build the primitive they would all call. Composition sits underneath their entire category — we don't compete with Canton's DEXs, we make them composable.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6. Why only Canton</w:t>
      </w:r>
    </w:p>
    <w:p>
      <w:pPr>
        <w:spacing w:after="110" w:line="274"/>
      </w:pPr>
      <w:r>
        <w:rPr>
          <w:color w:val="1A1A1A"/>
          <w:sz w:val="21"/>
          <w:szCs w:val="21"/>
        </w:rPr>
        <w:t xml:space="preserve">On a transparent chain, private multi-leg composition needs a custom zero-knowledge circuit per asset-type × privacy configuration — complexity and cost scale together. On Canton it takes </w:t>
      </w:r>
      <w:r>
        <w:rPr>
          <w:b/>
          <w:bCs/>
          <w:color w:val="1A1A1A"/>
          <w:sz w:val="21"/>
          <w:szCs w:val="21"/>
        </w:rPr>
        <w:t xml:space="preserve">two keywords</w:t>
      </w:r>
      <w:r>
        <w:rPr>
          <w:color w:val="1A1A1A"/>
          <w:sz w:val="21"/>
          <w:szCs w:val="21"/>
        </w:rPr>
        <w:t xml:space="preserve">: </w:t>
      </w:r>
      <w:r>
        <w:rPr>
          <w:b/>
          <w:bCs/>
          <w:color w:val="1A1A1A"/>
          <w:sz w:val="21"/>
          <w:szCs w:val="21"/>
        </w:rPr>
        <w:t xml:space="preserve">signatory</w:t>
      </w:r>
      <w:r>
        <w:rPr>
          <w:color w:val="1A1A1A"/>
          <w:sz w:val="21"/>
          <w:szCs w:val="21"/>
        </w:rPr>
        <w:t xml:space="preserve"> and </w:t>
      </w:r>
      <w:r>
        <w:rPr>
          <w:b/>
          <w:bCs/>
          <w:color w:val="1A1A1A"/>
          <w:sz w:val="21"/>
          <w:szCs w:val="21"/>
        </w:rPr>
        <w:t xml:space="preserve">observer</w:t>
      </w:r>
      <w:r>
        <w:rPr>
          <w:color w:val="1A1A1A"/>
          <w:sz w:val="21"/>
          <w:szCs w:val="21"/>
        </w:rPr>
        <w:t xml:space="preserve">. The ledger is the access-control model; privacy is </w:t>
      </w:r>
      <w:r>
        <w:rPr>
          <w:b/>
          <w:bCs/>
          <w:color w:val="1A1A1A"/>
          <w:sz w:val="21"/>
          <w:szCs w:val="21"/>
        </w:rPr>
        <w:t xml:space="preserve">declared, not bolted on</w:t>
      </w:r>
      <w:r>
        <w:rPr>
          <w:color w:val="1A1A1A"/>
          <w:sz w:val="21"/>
          <w:szCs w:val="21"/>
        </w:rPr>
        <w:t xml:space="preserve">.</w:t>
      </w:r>
    </w:p>
    <w:p>
      <w:pPr>
        <w:spacing w:after="110" w:line="274"/>
      </w:pPr>
      <w:r>
        <w:rPr>
          <w:b/>
          <w:bCs/>
          <w:color w:val="1A1A1A"/>
          <w:sz w:val="21"/>
          <w:szCs w:val="21"/>
        </w:rPr>
        <w:t xml:space="preserve">Per-leg privacy is the core claim. </w:t>
      </w:r>
      <w:r>
        <w:rPr>
          <w:color w:val="1A1A1A"/>
          <w:sz w:val="21"/>
          <w:szCs w:val="21"/>
        </w:rPr>
        <w:t xml:space="preserve">Each leg has its own privacy boundary: the lender sees the collateral and cash legs but not the oracle attestation; the regulator observes the settlement receipt but is cryptographically excluded from every leg's payload. Enforced by Canton's stakeholder model — proven by testAuditorCannotSeeLegs, not a UI filter. Known counterparties need selective disclosure, not a custom proof system per asset; that is why signatory + observer beats ZK here.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7. Product scope — MVP vs. vision</w:t>
      </w:r>
    </w:p>
    <w:p>
      <w:pPr>
        <w:spacing w:after="110" w:line="274"/>
      </w:pPr>
      <w:r>
        <w:rPr>
          <w:b/>
          <w:bCs/>
          <w:color w:val="1A1A1A"/>
          <w:sz w:val="21"/>
          <w:szCs w:val="21"/>
        </w:rPr>
        <w:t xml:space="preserve">Ambitious vision, honest MVP. </w:t>
      </w:r>
      <w:r>
        <w:rPr>
          <w:color w:val="1A1A1A"/>
          <w:sz w:val="21"/>
          <w:szCs w:val="21"/>
        </w:rPr>
        <w:t xml:space="preserve">The vision is ecosystem infrastructure every structured-finance app on Canton calls. The MVP is deliberately bounded so it ships, runs, and demos flawlessly — honest scope that works beats broad design that can't be reproduced.</w:t>
      </w:r>
    </w:p>
    <w:tbl>
      <w:tblPr>
        <w:tblW w:type="dxa" w:w="93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6F4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 for the MVP (in-window, judged)</w:t>
            </w:r>
          </w:p>
        </w:tc>
        <w:tc>
          <w:tcPr>
            <w:tcW w:type="dxa" w:w="4650"/>
            <w:shd w:fill="1F6F4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Vision / cut for now (disclosed, roadmapped)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Daml contracts + ComposableAsset interface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CIP-0056 registry (mocked at boundary in MVP)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Atomic Settle — all-or-nothing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Heterogeneous leg types via Daml interfaces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Per-leg privacy (observer scoping), tested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Production Allocation-based locking (known upgrade path)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Ledger API v2 bridge; create/exercise/query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Oracle + fiat settlement (mocked in MVP)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role views: proposer, counterparty, observer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Governed/threshold composition (BitSafe entry — see §10)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 on shared HackCanton DevNet node; CBTC/cETH/USDCx legs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Multi-topology library (repo, bond+CDS, fund subscription)</w:t>
            </w:r>
          </w:p>
        </w:tc>
      </w:tr>
    </w:tbl>
    <w:p>
      <w:pPr>
        <w:spacing w:after="110" w:line="274"/>
      </w:pPr>
      <w:r>
        <w:rPr>
          <w:b/>
          <w:bCs/>
          <w:color w:val="1A1A1A"/>
          <w:sz w:val="21"/>
          <w:szCs w:val="21"/>
        </w:rPr>
        <w:t xml:space="preserve">Pre-existing code disclosure: </w:t>
      </w:r>
      <w:r>
        <w:rPr>
          <w:color w:val="1A1A1A"/>
          <w:sz w:val="21"/>
          <w:szCs w:val="21"/>
        </w:rPr>
        <w:t xml:space="preserve">prior Daml contracts and tests predating Sept 18 are disclosed in the README; all delivery-phase work (Sept 18 – Oct 9) is tagged and separately identifiable, per the rules. Judges evaluate only in-window work.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8. The demo that wins</w:t>
      </w:r>
    </w:p>
    <w:p>
      <w:pPr>
        <w:spacing w:after="110" w:line="274"/>
      </w:pPr>
      <w:r>
        <w:rPr>
          <w:color w:val="1A1A1A"/>
          <w:sz w:val="21"/>
          <w:szCs w:val="21"/>
        </w:rPr>
        <w:t xml:space="preserve">Under five minutes (rule max), one clean topology, privacy made visible — not described: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Propose a three-leg trade-finance composition (collateral + USDCx + attestation).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Counterparties accept; the AcceptanceTracker fills.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Settle — one atomic transaction; all legs commit together. Show the SettlementReceipt.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MONEY SHOT: observer/regulator view beside a participant view — the observer's screen is provably EMPTY where the legs should be (visibleTokens: []) while the receipt is present. Same ledger, different party, different visibility. Ledger-enforced.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Atomic-revert case: one leg fails → the whole transaction reverts. No half-state.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9. Go-to-market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Land: one topology (trade-finance / treasury repo) with one pilot partner on TestNet — 50 compositions, zero settlement failures.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Expand: second asset class (bond + CDS, heterogeneous legs) — same engine, new leg list.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Open: publish as open-source infrastructure; distribution is adoption by Canton venues (Temple, Tradecraft, Ekiden, Cantex). The win condition — an outside team builds on the protocol without our help.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Moat: standards win by adoption, not by license. Being the composition primitive everyone calls is the moat; open source is the point.</w:t>
      </w:r>
    </w:p>
    <w:p>
      <w:pPr>
        <w:pStyle w:val="Heading1"/>
        <w:spacing w:after="130" w:before="300"/>
      </w:pPr>
      <w:r>
        <w:rPr>
          <w:b/>
          <w:bCs/>
          <w:color w:val="1A1A1A"/>
          <w:sz w:val="28"/>
          <w:szCs w:val="28"/>
        </w:rPr>
        <w:t xml:space="preserve">10. Prize strategy — track + sponsor challenges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Primary: Track 1 (RWA &amp; Business Workflows) — the trade-finance workflow is create → update → transfer/fulfil → audit with issuer/holder/observer roles, exactly the track's expected output.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Secondary: Track 2 (Financial Applications) framing — the protocol drives real economic activity and composability.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BitSafe Decentralization challenge (50,000 CC, secondary entry): the protocol's Accept step is already multi-party co-signing. Extend it to governed / M-of-N control over settlement (threshold authorization) and enter the contribution pool with a reproducible LocalNet demo — no node required. Natural fit, adjacent work, second prize pool. Only pursue if it doesn't fracture MVP focus.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color w:val="1A1A1A"/>
          <w:sz w:val="21"/>
          <w:szCs w:val="21"/>
        </w:rPr>
        <w:t xml:space="preserve">Grofty wallet bounty (10,000 CC): SKIP unless the client flow naturally needs a consumer wallet — MainNet-only, real-funds, invitation-gated; not worth contorting an infrastructure primitive.</w:t>
      </w:r>
    </w:p>
    <w:p>
      <w:pPr>
        <w:pBdr>
          <w:top w:val="single" w:color="D0D0D0" w:sz="4" w:space="1"/>
        </w:pBdr>
        <w:spacing w:before="280"/>
      </w:pPr>
      <w:r>
        <w:rPr>
          <w:i/>
          <w:iCs/>
          <w:color w:val="5A5A5A"/>
          <w:sz w:val="15"/>
          <w:szCs w:val="15"/>
        </w:rPr>
        <w:t xml:space="preserve">Draft for team review. Market figures and sponsor claims require source validation. Confirm against final HackCanton S3 rules (submission Oct 9 23:59 UTC).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2026-09-23T15:34:10.620Z</dcterms:created>
  <dcterms:modified xsi:type="dcterms:W3CDTF">2026-09-23T15:34:10.629Z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