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b4f8a"/>
          <w:sz w:val="18"/>
          <w:szCs w:val="18"/>
          <w:rtl w:val="0"/>
        </w:rPr>
        <w:t xml:space="preserve">SOFTWARE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1a1a1a"/>
          <w:sz w:val="48"/>
          <w:szCs w:val="48"/>
          <w:rtl w:val="0"/>
        </w:rPr>
        <w:t xml:space="preserve">Composition Protocol — 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i w:val="1"/>
          <w:iCs w:val="1"/>
          <w:color w:val="5a5a5a"/>
          <w:sz w:val="23"/>
          <w:szCs w:val="23"/>
          <w:rtl w:val="0"/>
        </w:rPr>
        <w:t xml:space="preserve">Daml contracts, atomic settlement, per-leg privacy, backend bridge,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Rule="auto"/>
        <w:rPr/>
      </w:pPr>
      <w:r w:rsidDel="00000000" w:rsidR="00000000" w:rsidRPr="00000000">
        <w:rPr>
          <w:color w:val="5a5a5a"/>
          <w:sz w:val="19"/>
          <w:szCs w:val="19"/>
          <w:rtl w:val="0"/>
        </w:rPr>
        <w:t xml:space="preserve">HackCanton Season 3 · MVP as-built + delivery-phase scope · Team: Revotoken 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b4f8a" w:space="1" w:sz="6" w:val="single"/>
        </w:pBd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30" w:before="300" w:lineRule="auto"/>
        <w:rPr/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1.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10" w:line="274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Four architectural layers. Green = real/built, amber = mocked at the API boundary, blue = UI.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d0d0d0" w:space="0" w:sz="4" w:val="single"/>
          <w:insideV w:color="d0d0d0" w:space="0" w:sz="4" w:val="single"/>
        </w:tblBorders>
        <w:tblLayout w:type="fixed"/>
        <w:tblLook w:val="0000"/>
      </w:tblPr>
      <w:tblGrid>
        <w:gridCol w:w="1900"/>
        <w:gridCol w:w="5600"/>
        <w:gridCol w:w="1800"/>
        <w:tblGridChange w:id="0">
          <w:tblGrid>
            <w:gridCol w:w="1900"/>
            <w:gridCol w:w="56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L1 —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Proposer view (/proposer), Counterparty view (/counterparty), Observer view (/observer)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Build (React/TS)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L2 — Backend (Node/TS)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Express API :4000 · routes/assets.ts, routes/compositions.ts, routes/audit.ts · ledger.ts · AcceptanceTracker (in-memory)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L3 — Canton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Participant node · JSON Ledger API v2 :7575 · composition DAR (Daml 3.x)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L4 — Mock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Price Oracle (mock HTTP :4002) · CIP-0056 registry (mock Token template) · Fiat settlement (console 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Mocked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spacing w:after="130" w:before="300" w:lineRule="auto"/>
        <w:rPr/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2. Daml contracts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d0d0d0" w:space="0" w:sz="4" w:val="single"/>
          <w:insideV w:color="d0d0d0" w:space="0" w:sz="4" w:val="single"/>
        </w:tblBorders>
        <w:tblLayout w:type="fixed"/>
        <w:tblLook w:val="0000"/>
      </w:tblPr>
      <w:tblGrid>
        <w:gridCol w:w="2500"/>
        <w:gridCol w:w="2400"/>
        <w:gridCol w:w="4400"/>
        <w:tblGridChange w:id="0">
          <w:tblGrid>
            <w:gridCol w:w="2500"/>
            <w:gridCol w:w="24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Signatory / 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ComposableAsset (interface)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Minimal CIP-0056-shaped interface: owner · instrumentId · amount · Transfer choice. Any token implements it (MockToken in MVP).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CompositionProposal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sig: proposer · obs: 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The proposed multi-leg deal. Reject/Expire and Accept choices.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CompositionAgreement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sig: all 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Co-signed deal. Exposes atomic Settle → maps over legs, exercises Transfer on each, emits SettlementReceipt.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SettlementReceipt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sig: operator · obs: 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Proof a composition settled. Per-leg scoped: embeds LegSummary; regulator sees receipt, not leg payloads.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AcceptanceTracker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sig: operator · obs: counterparties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Tracks which counterparties have accepted; gates settlement until all required accept.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Composition lifecycle: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Propose (create CompositionProposal) → Accept (each counterparty exercises Accept; AcceptanceTracker appended) → when all accepted, Settle (single atomic transaction: map over legs → exercise Transfer on each → all-or-nothing → create SettlementReceipt).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30" w:before="300" w:lineRule="auto"/>
        <w:rPr/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3. Atomicity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R-ATOM-1: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Settle MUST execute all legs in one Daml transaction. If any leg's Transfer fails (insufficient balance, unauthorized, conflicting state), the entire transaction reverts — no leg commits. Guaranteed by Daml transaction semantics, not application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R-ATOM-2: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No intermediate/half-settled state is ever observable. There is no ordering in which one party holds both legs.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Test: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testAtomicSwap — 2 parties, 2 assets, asserts atomic end state; plus a forced-failure case asserting full revert.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30" w:before="300" w:lineRule="auto"/>
        <w:rPr/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4. Privacy requirement (the core claim)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R-PRIV-1: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Each leg is visible only to its own stakeholders (leg provider + receiver). A party that is not a stakeholder of a leg MUST NOT see that leg's payload — not in ACS, not in the flat 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R-PRIV-2: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The regulator/observer is an observer of SettlementReceipt only. It sees that a settlement occurred, its timestamp and leg statuses — but is cryptographically excluded from every leg's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R-PRIV-3 (verification):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Privacy MUST be proven at the ledger level, not asserted in the UI. testAuditorCannotSeeLegs asserts visibleTokens: [] for the regulator while settlementReceipt: found. For the live demo, query the ACS as the observer party and show zero leg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Per-leg visibility matrix (trade-finance topology):</w:t>
      </w: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d0d0d0" w:space="0" w:sz="4" w:val="single"/>
          <w:insideV w:color="d0d0d0" w:space="0" w:sz="4" w:val="single"/>
        </w:tblBorders>
        <w:tblLayout w:type="fixed"/>
        <w:tblLook w:val="0000"/>
      </w:tblPr>
      <w:tblGrid>
        <w:gridCol w:w="3200"/>
        <w:gridCol w:w="1525"/>
        <w:gridCol w:w="1525"/>
        <w:gridCol w:w="1525"/>
        <w:gridCol w:w="1525"/>
        <w:tblGridChange w:id="0">
          <w:tblGrid>
            <w:gridCol w:w="3200"/>
            <w:gridCol w:w="1525"/>
            <w:gridCol w:w="1525"/>
            <w:gridCol w:w="1525"/>
            <w:gridCol w:w="1525"/>
          </w:tblGrid>
        </w:tblGridChange>
      </w:tblGrid>
      <w:tr>
        <w:trPr>
          <w:cantSplit w:val="0"/>
          <w:tblHeader w:val="1"/>
        </w:trPr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Borrower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Regulator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Collateral (Treasury→Lender)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Cash (USDCx→Borrower)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Attestation (Oracle→Agreement)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Receipt (settlement occurred)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spacing w:after="130" w:before="300" w:lineRule="auto"/>
        <w:rPr/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5. Backend → ledger command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10" w:line="274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Route handler → ledger.ts → Canton participant. Three command types over JSON Ledger API v2: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2f2f2" w:val="clear"/>
        <w:spacing w:after="60" w:line="25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create(actAs, templateId, args)   → POST /v2/commands/submit-and-wait  (CreateCommand)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2f2f2" w:val="clear"/>
        <w:spacing w:after="60" w:line="25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exercise(actAs, cid, choice, arg) → POST /v2/commands/submit-and-wait  (ExerciseCommand)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2f2f2" w:val="clear"/>
        <w:spacing w:after="60" w:line="25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queryActive(party, templateId)    → GET /v2/state/ledger-end → POST /v2/state/active-contracts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R-AUTH-1: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Every command carries actAs for the required signatories; the Daml engine checks signatory + controller declarations. A backend bug cannot bypass this — the ledger enforces authorization and reverts on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Encoding (verified pattern):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Decimal as JSON string; Date as YYYY-MM-DD; Optional as direct value or null; commands use package-id templateIds, ACS queries use package-name (#composition:Module:Template)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30" w:before="300" w:lineRule="auto"/>
        <w:rPr/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6. Ecosystem asset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10" w:line="274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Legs settle real Canton-native assets so the integration is load-bearing, not cosmetic, and each settled leg is a real on-chain test transaction (the activity signal judges count):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1.9999999999999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USDCx — cash leg (Canton-native settlement asset).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1.9999999999999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CBTC (BitSafe) — Bitcoin-backed collateral leg; also the basis for the BitSafe Decentralization challenge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1.9999999999999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cETH (onRails) — CIP-0056-compliant; composes atomically with USDCx in one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30" w:before="300" w:lineRule="auto"/>
        <w:rPr/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7. Deployment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LocalNet (development):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canton-devkit / LocalNet via Docker Compose — Backend :4000, Next.js :3000, Canton Sandbox :7575, mock services :4001/:4002, optional PostgreSQL PQS.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Shared HackCanton DevNet (submission target):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Noders shared node — JSON Ledger API https://ledger-api-json.participant.hackcanton-01.devnet.naas.noders.services · OIDC token https://keycloak.naas.noders.services/realms/noders-appsfactory/protocol/openid-connect/token · audience https://hackcanton-01.devnet.naas.noders.services. Shared node — no sensitive data. Point LEDGER_API_URL at the remote node; no Daml or backend changes from LocalNet.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R-DEPLOY-1: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The submitted demo MUST run against the shared DevNet node (or a reproducible LocalNet with documented setup) and be publicly accessible — verified in a private browser window before the Oct 9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30" w:before="300" w:lineRule="auto"/>
        <w:rPr/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8. Testing &amp; acceptance</w:t>
      </w: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  <w:insideH w:color="d0d0d0" w:space="0" w:sz="4" w:val="single"/>
          <w:insideV w:color="d0d0d0" w:space="0" w:sz="4" w:val="single"/>
        </w:tblBorders>
        <w:tblLayout w:type="fixed"/>
        <w:tblLook w:val="0000"/>
      </w:tblPr>
      <w:tblGrid>
        <w:gridCol w:w="2900"/>
        <w:gridCol w:w="4600"/>
        <w:gridCol w:w="1800"/>
        <w:tblGridChange w:id="0">
          <w:tblGrid>
            <w:gridCol w:w="2900"/>
            <w:gridCol w:w="46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Asserts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f8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testAtomicSwap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 parties · 2 assets · atomic end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Atomicity (R-ATOM-1/2)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testAtomicRevert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one leg fails → whole tx reverts, no partial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Atomicity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testAuditorCannotSeeLegs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regulator: visibleTokens [] · receipt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Privacy (R-PRIV-1/2/3)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Ledger API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create/exercise/query round-trip on live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MVP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10" w:line="274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Definition of done: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all four gates green on the shared DevNet node; three role-view UI renders live per-party ACS; observer view shows zero legs while receipt is present; ≥50 compositions settled with zero unexpected failures logged for the Metrics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30" w:before="300" w:lineRule="auto"/>
        <w:rPr/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9. BitSafe challenge extension (secondary entry)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10" w:line="274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The Accept step is already multi-party co-signing. For the BitSafe Decentralization challenge, extend to governed settlement: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1.9999999999999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R-GOV-1: settlement authorization requires an M-of-N threshold of named operators — a governed action MUST NOT execute below threshold and MUST succeed once met (demonstrated on LocalNet).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1.9999999999999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R-GOV-2: name the nodes/operators, state the threshold, and show a failure test (below-threshold rejected, at-threshold accepted). Contribution pool needs only a reproducible LocalNet demo — no Canton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d0d0d0" w:space="1" w:sz="4" w:val="single"/>
        </w:pBdr>
        <w:spacing w:before="280" w:lineRule="auto"/>
        <w:rPr/>
      </w:pPr>
      <w:r w:rsidDel="00000000" w:rsidR="00000000" w:rsidRPr="00000000">
        <w:rPr>
          <w:i w:val="1"/>
          <w:iCs w:val="1"/>
          <w:color w:val="5a5a5a"/>
          <w:sz w:val="15"/>
          <w:szCs w:val="15"/>
          <w:rtl w:val="0"/>
        </w:rPr>
        <w:t xml:space="preserve">Draft for team review. Market figures and sponsor claims require source validation. Confirm against final HackCanton S3 rules (submission Oct 9 23:59 UTC).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