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exact" w:line="300"/>
        <w:jc w:val="center"/>
      </w:pPr>
      <w:r>
        <w:rPr>
          <w:rFonts w:ascii="Bookman Old Style" w:hAnsi="Bookman Old Style" w:cs="Bookman Old Style" w:eastAsia="Bookman Old Style"/>
          <w:b/>
          <w:color w:val="000000"/>
          <w:sz w:val="24"/>
        </w:rPr>
        <w:t>SDO BALURGHAT  —  FILE CHECK, BEFORE THE NOTE IS PLACED</w:t>
      </w:r>
    </w:p>
    <w:p>
      <w:pPr>
        <w:spacing w:before="0" w:after="120" w:lineRule="exact" w:line="280"/>
        <w:jc w:val="center"/>
      </w:pPr>
      <w:r>
        <w:rPr>
          <w:rFonts w:ascii="Bookman Old Style" w:hAnsi="Bookman Old Style" w:cs="Bookman Old Style" w:eastAsia="Bookman Old Style"/>
          <w:b/>
          <w:color w:val="000000"/>
          <w:sz w:val="22"/>
        </w:rPr>
        <w:t>Late Debabrata Bagchi. Dealing Assistant’s list. Not for issue.</w:t>
      </w:r>
    </w:p>
    <w:p>
      <w:pPr>
        <w:spacing w:before="0" w:after="40" w:lineRule="exact" w:line="300"/>
        <w:jc w:val="left"/>
      </w:pPr>
      <w:r>
        <w:rPr>
          <w:rFonts w:ascii="Bookman Old Style" w:hAnsi="Bookman Old Style" w:cs="Bookman Old Style" w:eastAsia="Bookman Old Style"/>
          <w:b/>
          <w:color w:val="000000"/>
          <w:sz w:val="24"/>
        </w:rPr>
        <w:t>A.  Pages of the SEBI circular to print and flag. Do not print all 38.</w:t>
      </w:r>
    </w:p>
    <w:p>
      <w:pPr>
        <w:spacing w:before="0" w:after="20" w:lineRule="exact" w:line="260"/>
        <w:jc w:val="left"/>
      </w:pPr>
      <w:r>
        <w:rPr>
          <w:rFonts w:ascii="Bookman Old Style" w:hAnsi="Bookman Old Style" w:cs="Bookman Old Style" w:eastAsia="Bookman Old Style"/>
          <w:b w:val="0"/>
          <w:color w:val="000000"/>
          <w:sz w:val="22"/>
        </w:rPr>
        <w:t>Page 1 — circular number and date, and Regulation 40(7).</w:t>
      </w:r>
    </w:p>
    <w:p>
      <w:pPr>
        <w:spacing w:before="0" w:after="20" w:lineRule="exact" w:line="260"/>
        <w:jc w:val="left"/>
      </w:pPr>
      <w:r>
        <w:rPr>
          <w:rFonts w:ascii="Bookman Old Style" w:hAnsi="Bookman Old Style" w:cs="Bookman Old Style" w:eastAsia="Bookman Old Style"/>
          <w:b w:val="0"/>
          <w:color w:val="000000"/>
          <w:sz w:val="22"/>
        </w:rPr>
        <w:t>Page 2 — physical shares: simplified limit is Rs. 10 lakh.</w:t>
      </w:r>
    </w:p>
    <w:p>
      <w:pPr>
        <w:spacing w:before="0" w:after="20" w:lineRule="exact" w:line="260"/>
        <w:jc w:val="left"/>
      </w:pPr>
      <w:r>
        <w:rPr>
          <w:rFonts w:ascii="Bookman Old Style" w:hAnsi="Bookman Old Style" w:cs="Bookman Old Style" w:eastAsia="Bookman Old Style"/>
          <w:b w:val="0"/>
          <w:color w:val="000000"/>
          <w:sz w:val="22"/>
        </w:rPr>
        <w:t>Page 3 — in force from 22.08.2026. Issued under section 11(1) of the SEBI Act, 1992.</w:t>
      </w:r>
    </w:p>
    <w:p>
      <w:pPr>
        <w:spacing w:before="0" w:after="20" w:lineRule="exact" w:line="260"/>
        <w:jc w:val="left"/>
      </w:pPr>
      <w:r>
        <w:rPr>
          <w:rFonts w:ascii="Bookman Old Style" w:hAnsi="Bookman Old Style" w:cs="Bookman Old Style" w:eastAsia="Bookman Old Style"/>
          <w:b w:val="0"/>
          <w:color w:val="000000"/>
          <w:sz w:val="22"/>
        </w:rPr>
        <w:t>Page 5 — clause 1.3, no certificate if there is a dispute. Clause 2.1(c), revenue authority not below a Tehsildar.</w:t>
      </w:r>
    </w:p>
    <w:p>
      <w:pPr>
        <w:spacing w:before="0" w:after="20" w:lineRule="exact" w:line="260"/>
        <w:jc w:val="left"/>
      </w:pPr>
      <w:r>
        <w:rPr>
          <w:rFonts w:ascii="Bookman Old Style" w:hAnsi="Bookman Old Style" w:cs="Bookman Old Style" w:eastAsia="Bookman Old Style"/>
          <w:b w:val="0"/>
          <w:color w:val="000000"/>
          <w:sz w:val="22"/>
        </w:rPr>
        <w:t>Page 6 — same limit of Rs. 10 lakh. Clause 2.1(d), how a death certificate is accepted. Clause 4.1, if a nominee was registered the path is different.</w:t>
      </w:r>
    </w:p>
    <w:p>
      <w:pPr>
        <w:spacing w:before="0" w:after="20" w:lineRule="exact" w:line="260"/>
        <w:jc w:val="left"/>
      </w:pPr>
      <w:r>
        <w:rPr>
          <w:rFonts w:ascii="Bookman Old Style" w:hAnsi="Bookman Old Style" w:cs="Bookman Old Style" w:eastAsia="Bookman Old Style"/>
          <w:b w:val="0"/>
          <w:color w:val="000000"/>
          <w:sz w:val="22"/>
        </w:rPr>
        <w:t>Page 9 — clause 4.2.2.3. Above the limit: legal heirship certificate, plus indemnity, plus affidavit.</w:t>
      </w:r>
    </w:p>
    <w:p>
      <w:pPr>
        <w:spacing w:before="0" w:after="20" w:lineRule="exact" w:line="260"/>
        <w:jc w:val="left"/>
      </w:pPr>
      <w:r>
        <w:rPr>
          <w:rFonts w:ascii="Bookman Old Style" w:hAnsi="Bookman Old Style" w:cs="Bookman Old Style" w:eastAsia="Bookman Old Style"/>
          <w:b w:val="0"/>
          <w:color w:val="000000"/>
          <w:sz w:val="22"/>
        </w:rPr>
        <w:t>Page 10 — paragraph 3. The Registrar may ask for papers beyond the circular. This covers the MUFG letter.</w:t>
      </w:r>
    </w:p>
    <w:p>
      <w:pPr>
        <w:spacing w:before="0" w:after="20" w:lineRule="exact" w:line="260"/>
        <w:jc w:val="left"/>
      </w:pPr>
      <w:r>
        <w:rPr>
          <w:rFonts w:ascii="Bookman Old Style" w:hAnsi="Bookman Old Style" w:cs="Bookman Old Style" w:eastAsia="Bookman Old Style"/>
          <w:b w:val="0"/>
          <w:color w:val="000000"/>
          <w:sz w:val="22"/>
        </w:rPr>
        <w:t>Page 17 — the same rule on who may issue the certificate.</w:t>
      </w:r>
    </w:p>
    <w:p>
      <w:pPr>
        <w:spacing w:before="0" w:after="20" w:lineRule="exact" w:line="260"/>
        <w:jc w:val="left"/>
      </w:pPr>
      <w:r>
        <w:rPr>
          <w:rFonts w:ascii="Bookman Old Style" w:hAnsi="Bookman Old Style" w:cs="Bookman Old Style" w:eastAsia="Bookman Old Style"/>
          <w:b w:val="0"/>
          <w:color w:val="000000"/>
          <w:sz w:val="22"/>
        </w:rPr>
        <w:t>Pages 22 and 23 — Aadhaar, Voter card and PAN are alternative proofs. Any one is enough for SEBI. This office asks for all three so the name tallies.</w:t>
      </w:r>
    </w:p>
    <w:p>
      <w:pPr>
        <w:spacing w:before="0" w:after="20" w:lineRule="exact" w:line="260"/>
        <w:jc w:val="left"/>
      </w:pPr>
      <w:r>
        <w:rPr>
          <w:rFonts w:ascii="Bookman Old Style" w:hAnsi="Bookman Old Style" w:cs="Bookman Old Style" w:eastAsia="Bookman Old Style"/>
          <w:b w:val="0"/>
          <w:color w:val="000000"/>
          <w:sz w:val="22"/>
        </w:rPr>
        <w:t>Page 30 — serial 12 and serial 13, and note 3. This is the above-threshold list.</w:t>
      </w:r>
    </w:p>
    <w:p>
      <w:pPr>
        <w:spacing w:before="0" w:after="20" w:lineRule="exact" w:line="260"/>
        <w:jc w:val="left"/>
      </w:pPr>
      <w:r>
        <w:rPr>
          <w:rFonts w:ascii="Bookman Old Style" w:hAnsi="Bookman Old Style" w:cs="Bookman Old Style" w:eastAsia="Bookman Old Style"/>
          <w:b w:val="0"/>
          <w:color w:val="000000"/>
          <w:sz w:val="22"/>
        </w:rPr>
        <w:t>Pages 31, 32 and 34 — Annexure-4, the indemnity. Stamp paper. Notary or Magistrate. Two witnesses are at page 34. Heir columns are at page 32.</w:t>
      </w:r>
    </w:p>
    <w:p>
      <w:pPr>
        <w:spacing w:before="0" w:after="20" w:lineRule="exact" w:line="260"/>
        <w:jc w:val="left"/>
      </w:pPr>
      <w:r>
        <w:rPr>
          <w:rFonts w:ascii="Bookman Old Style" w:hAnsi="Bookman Old Style" w:cs="Bookman Old Style" w:eastAsia="Bookman Old Style"/>
          <w:b w:val="0"/>
          <w:color w:val="000000"/>
          <w:sz w:val="22"/>
        </w:rPr>
        <w:t>Pages 35 and 36 — Annexure-5, the affidavit. Heir columns are at page 36.</w:t>
      </w:r>
    </w:p>
    <w:p>
      <w:pPr>
        <w:spacing w:before="120" w:after="40" w:lineRule="exact" w:line="300"/>
        <w:jc w:val="left"/>
      </w:pPr>
      <w:r>
        <w:rPr>
          <w:rFonts w:ascii="Bookman Old Style" w:hAnsi="Bookman Old Style" w:cs="Bookman Old Style" w:eastAsia="Bookman Old Style"/>
          <w:b/>
          <w:color w:val="000000"/>
          <w:sz w:val="24"/>
        </w:rPr>
        <w:t>B.  From the Hindu Succession Act, 1956, photocopy only these. The page number depends on the book in the office.</w:t>
      </w:r>
    </w:p>
    <w:p>
      <w:pPr>
        <w:spacing w:before="0" w:after="80" w:lineRule="exact" w:line="260"/>
        <w:jc w:val="both"/>
      </w:pPr>
      <w:r>
        <w:rPr>
          <w:rFonts w:ascii="Bookman Old Style" w:hAnsi="Bookman Old Style" w:cs="Bookman Old Style" w:eastAsia="Bookman Old Style"/>
          <w:b w:val="0"/>
          <w:color w:val="000000"/>
          <w:sz w:val="22"/>
        </w:rPr>
        <w:t>Section 8, section 9, section 10, and the Schedule, Class I. Class I is the widow, each son, each daughter, the mother, and the child or widow of a son or daughter who died earlier. The father is Class II. He is not to be entered as a Class I heir. These shares stand in the sole name of the deceased, so section 8 is the provision. The amendment of 2005, section 6, is on coparcenary property. It is not the provision for this file. If the deceased was not a Hindu, do not use this Act. Put that up to the Sub-Divisional Officer before the note.</w:t>
      </w:r>
    </w:p>
    <w:p>
      <w:pPr>
        <w:spacing w:before="80" w:after="40" w:lineRule="exact" w:line="300"/>
        <w:jc w:val="left"/>
      </w:pPr>
      <w:r>
        <w:rPr>
          <w:rFonts w:ascii="Bookman Old Style" w:hAnsi="Bookman Old Style" w:cs="Bookman Old Style" w:eastAsia="Bookman Old Style"/>
          <w:b/>
          <w:color w:val="000000"/>
          <w:sz w:val="24"/>
        </w:rPr>
        <w:t>C.  Take these from the applicant, and keep them on the left of the file, before the note is placed.</w:t>
      </w:r>
    </w:p>
    <w:p>
      <w:pPr>
        <w:spacing w:before="0" w:after="20" w:lineRule="exact" w:line="260"/>
        <w:jc w:val="left"/>
      </w:pPr>
      <w:r>
        <w:rPr>
          <w:rFonts w:ascii="Bookman Old Style" w:hAnsi="Bookman Old Style" w:cs="Bookman Old Style" w:eastAsia="Bookman Old Style"/>
          <w:b w:val="0"/>
          <w:color w:val="000000"/>
          <w:sz w:val="22"/>
        </w:rPr>
        <w:t>1.  The application already received. Do not return the original.</w:t>
      </w:r>
    </w:p>
    <w:p>
      <w:pPr>
        <w:spacing w:before="0" w:after="20" w:lineRule="exact" w:line="260"/>
        <w:jc w:val="left"/>
      </w:pPr>
      <w:r>
        <w:rPr>
          <w:rFonts w:ascii="Bookman Old Style" w:hAnsi="Bookman Old Style" w:cs="Bookman Old Style" w:eastAsia="Bookman Old Style"/>
          <w:b w:val="0"/>
          <w:color w:val="000000"/>
          <w:sz w:val="22"/>
        </w:rPr>
        <w:t>2.  Death certificate of Late Debabrata Bagchi. See the original. Keep a photocopy. Write the number and the issuing authority on the note.</w:t>
      </w:r>
    </w:p>
    <w:p>
      <w:pPr>
        <w:spacing w:before="0" w:after="20" w:lineRule="exact" w:line="260"/>
        <w:jc w:val="left"/>
      </w:pPr>
      <w:r>
        <w:rPr>
          <w:rFonts w:ascii="Bookman Old Style" w:hAnsi="Bookman Old Style" w:cs="Bookman Old Style" w:eastAsia="Bookman Old Style"/>
          <w:b w:val="0"/>
          <w:color w:val="000000"/>
          <w:sz w:val="22"/>
        </w:rPr>
        <w:t>3.  Letter of MUFG Intime India Private Limited dated 20.07.2026, Reference No. ID80033739, Outward No. OD80033136.</w:t>
      </w:r>
    </w:p>
    <w:p>
      <w:pPr>
        <w:spacing w:before="0" w:after="20" w:lineRule="exact" w:line="260"/>
        <w:jc w:val="left"/>
      </w:pPr>
      <w:r>
        <w:rPr>
          <w:rFonts w:ascii="Bookman Old Style" w:hAnsi="Bookman Old Style" w:cs="Bookman Old Style" w:eastAsia="Bookman Old Style"/>
          <w:b w:val="0"/>
          <w:color w:val="000000"/>
          <w:sz w:val="22"/>
        </w:rPr>
        <w:t>4.  Share certificate, both sides. Folio EXD0001178, Certificate No. B247787, and all three ranges of distinctive numbers, including 17219031 to 17219130.</w:t>
      </w:r>
    </w:p>
    <w:p>
      <w:pPr>
        <w:spacing w:before="0" w:after="20" w:lineRule="exact" w:line="260"/>
        <w:jc w:val="left"/>
      </w:pPr>
      <w:r>
        <w:rPr>
          <w:rFonts w:ascii="Bookman Old Style" w:hAnsi="Bookman Old Style" w:cs="Bookman Old Style" w:eastAsia="Bookman Old Style"/>
          <w:b w:val="0"/>
          <w:color w:val="000000"/>
          <w:sz w:val="22"/>
        </w:rPr>
        <w:t>5.  The old certificate of Balurghat Municipality. Photocopy only. Write on it: not to be acted upon.</w:t>
      </w:r>
    </w:p>
    <w:p>
      <w:pPr>
        <w:spacing w:before="0" w:after="20" w:lineRule="exact" w:line="260"/>
        <w:jc w:val="left"/>
      </w:pPr>
      <w:r>
        <w:rPr>
          <w:rFonts w:ascii="Bookman Old Style" w:hAnsi="Bookman Old Style" w:cs="Bookman Old Style" w:eastAsia="Bookman Old Style"/>
          <w:b w:val="0"/>
          <w:color w:val="000000"/>
          <w:sz w:val="22"/>
        </w:rPr>
        <w:t>6.  Aadhaar card, Voter Identity Card and PAN of every living person named as an heir, not of the applicant alone. See the originals. Keep photocopies. The name must be the same on all three. If it is not, do not place the file.</w:t>
      </w:r>
    </w:p>
    <w:p>
      <w:pPr>
        <w:spacing w:before="0" w:after="20" w:lineRule="exact" w:line="260"/>
        <w:jc w:val="left"/>
      </w:pPr>
      <w:r>
        <w:rPr>
          <w:rFonts w:ascii="Bookman Old Style" w:hAnsi="Bookman Old Style" w:cs="Bookman Old Style" w:eastAsia="Bookman Old Style"/>
          <w:b w:val="0"/>
          <w:color w:val="000000"/>
          <w:sz w:val="22"/>
        </w:rPr>
        <w:t>7.  If the mother is dead, her death certificate. If any son or daughter died before the father, the death certificate of that person, and the Aadhaar, Voter card and PAN of the widow and of each child left by that person.</w:t>
      </w:r>
    </w:p>
    <w:p>
      <w:pPr>
        <w:spacing w:before="0" w:after="20" w:lineRule="exact" w:line="260"/>
        <w:jc w:val="left"/>
      </w:pPr>
      <w:r>
        <w:rPr>
          <w:rFonts w:ascii="Bookman Old Style" w:hAnsi="Bookman Old Style" w:cs="Bookman Old Style" w:eastAsia="Bookman Old Style"/>
          <w:b w:val="0"/>
          <w:color w:val="000000"/>
          <w:sz w:val="22"/>
        </w:rPr>
        <w:t>8.  If any heir is a minor, the birth certificate and the name of the guardian.</w:t>
      </w:r>
    </w:p>
    <w:p>
      <w:pPr>
        <w:spacing w:before="0" w:after="20" w:lineRule="exact" w:line="260"/>
        <w:jc w:val="left"/>
      </w:pPr>
      <w:r>
        <w:rPr>
          <w:rFonts w:ascii="Bookman Old Style" w:hAnsi="Bookman Old Style" w:cs="Bookman Old Style" w:eastAsia="Bookman Old Style"/>
          <w:b w:val="0"/>
          <w:color w:val="000000"/>
          <w:sz w:val="22"/>
        </w:rPr>
        <w:t>9.  A statement signed by the applicant, on plain paper: religion of the deceased; whether the mother is living; whether there was a daughter; whether any child died earlier; that there is no Will; that no nominee was registered on the folio; that there is no court case; mobile number; present address.</w:t>
      </w:r>
    </w:p>
    <w:p>
      <w:pPr>
        <w:spacing w:before="0" w:after="20" w:lineRule="exact" w:line="260"/>
        <w:jc w:val="left"/>
      </w:pPr>
      <w:r>
        <w:rPr>
          <w:rFonts w:ascii="Bookman Old Style" w:hAnsi="Bookman Old Style" w:cs="Bookman Old Style" w:eastAsia="Bookman Old Style"/>
          <w:b w:val="0"/>
          <w:color w:val="000000"/>
          <w:sz w:val="22"/>
        </w:rPr>
        <w:t>10. One set of the circular pages listed in A, and the four sections of the Act listed in B.</w:t>
      </w:r>
    </w:p>
    <w:p>
      <w:pPr>
        <w:spacing w:before="100" w:after="40" w:lineRule="exact" w:line="300"/>
        <w:jc w:val="left"/>
      </w:pPr>
      <w:r>
        <w:rPr>
          <w:rFonts w:ascii="Bookman Old Style" w:hAnsi="Bookman Old Style" w:cs="Bookman Old Style" w:eastAsia="Bookman Old Style"/>
          <w:b/>
          <w:color w:val="000000"/>
          <w:sz w:val="24"/>
        </w:rPr>
        <w:t>D.  Do not hold the file for these. They are filed by the applicant with the company, after this office issues the certificate.</w:t>
      </w:r>
    </w:p>
    <w:p>
      <w:pPr>
        <w:spacing w:before="0" w:after="60" w:lineRule="exact" w:line="260"/>
        <w:jc w:val="both"/>
      </w:pPr>
      <w:r>
        <w:rPr>
          <w:rFonts w:ascii="Bookman Old Style" w:hAnsi="Bookman Old Style" w:cs="Bookman Old Style" w:eastAsia="Bookman Old Style"/>
          <w:b w:val="0"/>
          <w:color w:val="000000"/>
          <w:sz w:val="22"/>
        </w:rPr>
        <w:t>The notarised indemnity bond, Annexure-4, pages 31 to 34. The notarised affidavit of all heirs, Annexure-5, pages 35 and 36. Both are on non-judicial stamp paper, before a Notary or a Judicial Magistrate. This office does not sign them and does not notarize them. Tell the applicant. Do not make them a condition for placing the note.</w:t>
      </w:r>
    </w:p>
    <w:p>
      <w:pPr>
        <w:spacing w:before="0" w:after="0" w:lineRule="exact" w:line="260"/>
        <w:jc w:val="both"/>
      </w:pPr>
      <w:r>
        <w:rPr>
          <w:rFonts w:ascii="Bookman Old Style" w:hAnsi="Bookman Old Style" w:cs="Bookman Old Style" w:eastAsia="Bookman Old Style"/>
          <w:b w:val="0"/>
          <w:color w:val="000000"/>
          <w:sz w:val="22"/>
        </w:rPr>
        <w:t>If the applicant says a nominee was registered, stop. Page 6, clause 4.1, is a different path. Place that fact before the Sub-Divisional Officer. Do not send the enquiry.</w:t>
      </w:r>
    </w:p>
    <w:sectPr w:rsidR="00FC693F" w:rsidRPr="0006063C" w:rsidSect="00034616">
      <w:pgSz w:w="12240" w:h="15840"/>
      <w:pgMar w:top="700" w:right="900" w:bottom="6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