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REMINDER-1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This office Memo No. 1729/SDO(S) dated 16.09.2026.</w:t>
      </w:r>
    </w:p>
    <w:p>
      <w:pPr>
        <w:spacing w:before="120" w:after="40" w:lineRule="exact" w:line="320"/>
        <w:jc w:val="both"/>
      </w:pPr>
      <w:r>
        <w:rPr>
          <w:rFonts w:ascii="Bookman Old Style" w:hAnsi="Bookman Old Style" w:cs="Bookman Old Style" w:eastAsia="Bookman Old Style"/>
          <w:b w:val="0"/>
          <w:color w:val="000000"/>
          <w:sz w:val="24"/>
        </w:rPr>
        <w:t>With reference to the above-cited memo, this office had forwarded a schedule of 16 (sixteen) legal heir enquiry cases to your office, with a request to cause field-level enquiries and to submit the enquiry reports, in the prescribed format, within 15 (fifteen) days from the date of receipt. The memo was received in your office on 17.09.2026.</w:t>
      </w:r>
    </w:p>
    <w:p>
      <w:pPr>
        <w:spacing w:before="120" w:after="40" w:lineRule="exact" w:line="320"/>
        <w:jc w:val="both"/>
      </w:pPr>
      <w:r>
        <w:rPr>
          <w:rFonts w:ascii="Bookman Old Style" w:hAnsi="Bookman Old Style" w:cs="Bookman Old Style" w:eastAsia="Bookman Old Style"/>
          <w:b w:val="0"/>
          <w:color w:val="000000"/>
          <w:sz w:val="24"/>
        </w:rPr>
        <w:t>It is observed that more than 15 (fifteen) days have elapsed since receipt of the said memo. As on 14.10.2026, no enquiry report has been received in this office in any of the 16 (sixteen) cases.</w:t>
      </w:r>
    </w:p>
    <w:p>
      <w:pPr>
        <w:spacing w:before="120" w:after="40" w:lineRule="exact" w:line="320"/>
        <w:jc w:val="both"/>
      </w:pPr>
      <w:r>
        <w:rPr>
          <w:rFonts w:ascii="Bookman Old Style" w:hAnsi="Bookman Old Style" w:cs="Bookman Old Style" w:eastAsia="Bookman Old Style"/>
          <w:b/>
          <w:color w:val="000000"/>
          <w:sz w:val="24"/>
        </w:rPr>
        <w:t>This being the FIRST REMINDER, you are requested to treat the matter as urgent and to submit the enquiry reports of all the 16 (sixteen) cases, in the prescribed format and with the enclosures asked for in the memo under reference,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16 (sixteen) cases.</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16 (sixteen)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Ajit Kumar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Avijit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9932489568</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Tapati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Susmita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 9800717686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Maya Kundu</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Malay Kumar Kundu</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Balurghat, 9474141513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Sumina Tudu</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Mithu Mardi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Gita Basak</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Diptesh Basak</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 9002881802</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Rama Chatterjee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Pallab Chatterjee</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Kanthalpara, Balurghat, 8900688004</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Shibani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Joli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Biswaspara, Balurghat, 9563661989</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Puspa Ray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Subrata Ray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9474391334</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Shipra Bandyopadhyay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Rishab Narayan Roy Chowdhury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Dipali Nagar, Balurghat, 8296484876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Krishna Rakshit</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Priyanka Rakshit</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Dipalinagar, Balurghat, 9434513346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Bina Rajbanshi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Mrityunjoy Rajbanshi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 9733088033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Kalpana Nandi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Riya Dutta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Ghat Kalipara,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Subir Chatterjee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Anindita Chatterjee</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Dipti Sarkar Bakshi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Sandip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 9800259306</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Jharna Natta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Chaitali Natta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Narayanpur, Balurghat, 7602819973</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Sankar Bhandari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Putul Bhandari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Hospitalpara, Balurghat, 8617831701</w:t>
            </w:r>
          </w:p>
        </w:tc>
      </w:tr>
    </w:tbl>
    <w:p>
      <w:pPr>
        <w:spacing w:before="24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