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28"/>
        </w:rPr>
        <w:t>OFFICE OF THE SUB-DIVISIONAL OFFICER</w:t>
      </w:r>
    </w:p>
    <w:p>
      <w:pPr>
        <w:spacing w:before="0" w:after="0" w:lineRule="exact" w:line="360"/>
        <w:jc w:val="center"/>
      </w:pPr>
      <w:r>
        <w:rPr>
          <w:rFonts w:ascii="Bookman Old Style" w:hAnsi="Bookman Old Style" w:cs="Bookman Old Style" w:eastAsia="Bookman Old Style"/>
          <w:b/>
          <w:color w:val="000000"/>
          <w:sz w:val="28"/>
        </w:rPr>
        <w:t>BALURGHAT (SADAR), DAKSHIN DINAJPUR</w:t>
      </w:r>
    </w:p>
    <w:p>
      <w:pPr>
        <w:spacing w:before="0" w:after="80" w:lineRule="exact" w:line="360"/>
        <w:jc w:val="center"/>
      </w:pPr>
      <w:r>
        <w:rPr>
          <w:rFonts w:ascii="Bookman Old Style" w:hAnsi="Bookman Old Style" w:cs="Bookman Old Style" w:eastAsia="Bookman Old Style"/>
          <w:b/>
          <w:color w:val="000000"/>
          <w:sz w:val="28"/>
        </w:rPr>
        <w:t>NOTE SHEET</w:t>
      </w:r>
    </w:p>
    <w:p>
      <w:pPr>
        <w:spacing w:before="40" w:after="0" w:lineRule="exact" w:line="320"/>
        <w:jc w:val="right"/>
      </w:pPr>
      <w:r>
        <w:rPr>
          <w:rFonts w:ascii="Bookman Old Style" w:hAnsi="Bookman Old Style" w:cs="Bookman Old Style" w:eastAsia="Bookman Old Style"/>
          <w:b w:val="0"/>
          <w:color w:val="000000"/>
          <w:sz w:val="24"/>
        </w:rPr>
        <w:t>Deptt./Sec. Legal Heir Cell</w:t>
      </w:r>
    </w:p>
    <w:p>
      <w:pPr>
        <w:spacing w:before="0" w:after="160" w:lineRule="exact" w:line="320"/>
        <w:jc w:val="left"/>
      </w:pPr>
      <w:r>
        <w:rPr>
          <w:rFonts w:ascii="Bookman Old Style" w:hAnsi="Bookman Old Style" w:cs="Bookman Old Style" w:eastAsia="Bookman Old Style"/>
          <w:b w:val="0"/>
          <w:color w:val="000000"/>
          <w:sz w:val="24"/>
        </w:rPr>
        <w:t>Date. 14/10/2026</w:t>
      </w:r>
      <w:r>
        <w:rPr>
          <w:rFonts w:ascii="Bookman Old Style" w:hAnsi="Bookman Old Style" w:cs="Bookman Old Style" w:eastAsia="Bookman Old Style"/>
          <w:b w:val="0"/>
          <w:color w:val="000000"/>
          <w:sz w:val="24"/>
        </w:rPr>
        <w:t xml:space="preserve">          Collection No. .................................</w:t>
      </w:r>
    </w:p>
    <w:p>
      <w:pPr>
        <w:spacing w:before="40" w:after="80" w:lineRule="exact" w:line="320"/>
        <w:jc w:val="both"/>
      </w:pPr>
      <w:r>
        <w:rPr>
          <w:rFonts w:ascii="Bookman Old Style" w:hAnsi="Bookman Old Style" w:cs="Bookman Old Style" w:eastAsia="Bookman Old Style"/>
          <w:b w:val="0"/>
          <w:color w:val="000000"/>
          <w:sz w:val="24"/>
        </w:rPr>
        <w:t>It is submitted that vide this office Memo No. 1835/SDO(S) dated 29.09.2026, a schedule of 15 (fifteen) legal heir enquiry cases was forwarded to the Executive Officer, Balurghat Municipality, with a request to cause field-level enquiries and to submit the enquiry reports, in the prescribed format, within 15 (fifteen) days from the date of receipt. The memo was received by the Balurghat Municipality on 29.09.2026.</w:t>
      </w:r>
    </w:p>
    <w:p>
      <w:pPr>
        <w:spacing w:before="40" w:after="80" w:lineRule="exact" w:line="320"/>
        <w:jc w:val="both"/>
      </w:pPr>
      <w:r>
        <w:rPr>
          <w:rFonts w:ascii="Bookman Old Style" w:hAnsi="Bookman Old Style" w:cs="Bookman Old Style" w:eastAsia="Bookman Old Style"/>
          <w:b/>
          <w:color w:val="000000"/>
          <w:sz w:val="24"/>
        </w:rPr>
        <w:t>The period of 15 (fifteen) days from the date of receipt expires on 14.10.2026. As on this date, no enquiry report has been received in this office in any of the 15 (fifteen) cases.</w:t>
      </w:r>
    </w:p>
    <w:p>
      <w:pPr>
        <w:spacing w:before="40" w:after="80" w:lineRule="exact" w:line="320"/>
        <w:jc w:val="both"/>
      </w:pPr>
      <w:r>
        <w:rPr>
          <w:rFonts w:ascii="Bookman Old Style" w:hAnsi="Bookman Old Style" w:cs="Bookman Old Style" w:eastAsia="Bookman Old Style"/>
          <w:b w:val="0"/>
          <w:color w:val="000000"/>
          <w:sz w:val="24"/>
        </w:rPr>
        <w:t>In the circumstances, a First Reminder (Reminder-1) is proposed to be issued to the Executive Officer, Balurghat Municipality, along with the list of the 15 (fifteen) cases, requesting submission of the enquiry reports within 7 (seven) days from the date of receipt of the reminder, under copy to the Chairman, Balurghat Municipality; the Office in Charge, RM, Dakshin Dinajpur; and the C.A to the District Magistrate, Dakshin Dinajpur.</w:t>
      </w:r>
    </w:p>
    <w:p>
      <w:pPr>
        <w:spacing w:before="160" w:after="0" w:lineRule="exact" w:line="32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