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i w:val="0"/>
          <w:color w:val="000000"/>
          <w:sz w:val="26"/>
        </w:rPr>
        <w:t>OFFICE OF THE SUB-DIVISIONAL OFFICER, BALURGHAT</w:t>
      </w:r>
    </w:p>
    <w:p>
      <w:pPr>
        <w:spacing w:before="0" w:after="20" w:lineRule="exact" w:line="320"/>
        <w:jc w:val="center"/>
      </w:pPr>
      <w:r>
        <w:rPr>
          <w:rFonts w:ascii="Bookman Old Style" w:hAnsi="Bookman Old Style" w:cs="Bookman Old Style" w:eastAsia="Bookman Old Style"/>
          <w:b/>
          <w:i w:val="0"/>
          <w:color w:val="000000"/>
          <w:sz w:val="26"/>
        </w:rPr>
        <w:t>Guide note before the file is placed</w:t>
      </w:r>
    </w:p>
    <w:p>
      <w:pPr>
        <w:spacing w:before="0" w:after="120" w:lineRule="exact" w:line="280"/>
        <w:jc w:val="center"/>
      </w:pPr>
      <w:r>
        <w:rPr>
          <w:rFonts w:ascii="Bookman Old Style" w:hAnsi="Bookman Old Style" w:cs="Bookman Old Style" w:eastAsia="Bookman Old Style"/>
          <w:b/>
          <w:i w:val="0"/>
          <w:color w:val="000000"/>
          <w:sz w:val="22"/>
        </w:rPr>
        <w:t>Legal heirs of Late Debabrata Bagchi — transmission of 400 shares of Tata Elxsi Ltd.</w:t>
      </w:r>
    </w:p>
    <w:p>
      <w:pPr>
        <w:spacing w:before="0" w:after="120" w:lineRule="exact" w:line="300"/>
        <w:jc w:val="both"/>
      </w:pPr>
      <w:r>
        <w:rPr>
          <w:rFonts w:ascii="Bookman Old Style" w:hAnsi="Bookman Old Style" w:cs="Bookman Old Style" w:eastAsia="Bookman Old Style"/>
          <w:b w:val="0"/>
          <w:i w:val="0"/>
          <w:color w:val="000000"/>
          <w:sz w:val="24"/>
        </w:rPr>
        <w:t>This note is for the officer placing the file. It is not a part of the certificate and it is not to be sent to the Municipality or to the company.</w:t>
      </w:r>
    </w:p>
    <w:p>
      <w:pPr>
        <w:spacing w:before="40" w:after="60" w:lineRule="exact" w:line="300"/>
        <w:jc w:val="left"/>
      </w:pPr>
      <w:r>
        <w:rPr>
          <w:rFonts w:ascii="Bookman Old Style" w:hAnsi="Bookman Old Style" w:cs="Bookman Old Style" w:eastAsia="Bookman Old Style"/>
          <w:b/>
          <w:i w:val="0"/>
          <w:color w:val="000000"/>
          <w:sz w:val="24"/>
        </w:rPr>
        <w:t>The four drafts, and what each one is for</w:t>
      </w:r>
    </w:p>
    <w:p>
      <w:pPr>
        <w:spacing w:before="0" w:after="80" w:lineRule="exact" w:line="300"/>
        <w:jc w:val="both"/>
      </w:pPr>
      <w:r>
        <w:rPr>
          <w:rFonts w:ascii="Bookman Old Style" w:hAnsi="Bookman Old Style" w:cs="Bookman Old Style" w:eastAsia="Bookman Old Style"/>
          <w:b w:val="0"/>
          <w:i w:val="0"/>
          <w:color w:val="000000"/>
          <w:sz w:val="24"/>
        </w:rPr>
        <w:t>The notesheet is the office note. It asks for approval to send the case to the Executive Officer for a field enquiry, and it records why the municipal certificate cannot be used. Nothing is issued to the applicant on the notesheet.</w:t>
      </w:r>
    </w:p>
    <w:p>
      <w:pPr>
        <w:spacing w:before="0" w:after="80" w:lineRule="exact" w:line="300"/>
        <w:jc w:val="both"/>
      </w:pPr>
      <w:r>
        <w:rPr>
          <w:rFonts w:ascii="Bookman Old Style" w:hAnsi="Bookman Old Style" w:cs="Bookman Old Style" w:eastAsia="Bookman Old Style"/>
          <w:b w:val="0"/>
          <w:i w:val="0"/>
          <w:color w:val="000000"/>
          <w:sz w:val="24"/>
        </w:rPr>
        <w:t>The forwarding order is the letter to the Executive Officer, Balurghat Municipality. It asks him to enquire and to sign the report. It tells him not to issue a legal heir certificate of his own. The certificate, if issued, will be issued from this office after the report comes back.</w:t>
      </w:r>
    </w:p>
    <w:p>
      <w:pPr>
        <w:spacing w:before="0" w:after="80" w:lineRule="exact" w:line="300"/>
        <w:jc w:val="both"/>
      </w:pPr>
      <w:r>
        <w:rPr>
          <w:rFonts w:ascii="Bookman Old Style" w:hAnsi="Bookman Old Style" w:cs="Bookman Old Style" w:eastAsia="Bookman Old Style"/>
          <w:b w:val="0"/>
          <w:i w:val="0"/>
          <w:color w:val="000000"/>
          <w:sz w:val="24"/>
        </w:rPr>
        <w:t>The enquiry proforma is in three sheets. Annexure-A is the particulars of the deceased and of the shares. Annexure-B is the list of legal heirs, with a blank for the Aadhaar number, the Voter Identity Card number and the PAN of each heir. Annexure-C is the spot enquiry, two local witnesses, and the signature of the Executive Officer. These three sheets were made in this office. They are not forms printed by SEBI.</w:t>
      </w:r>
    </w:p>
    <w:p>
      <w:pPr>
        <w:spacing w:before="0" w:after="120" w:lineRule="exact" w:line="300"/>
        <w:jc w:val="both"/>
      </w:pPr>
      <w:r>
        <w:rPr>
          <w:rFonts w:ascii="Bookman Old Style" w:hAnsi="Bookman Old Style" w:cs="Bookman Old Style" w:eastAsia="Bookman Old Style"/>
          <w:b w:val="0"/>
          <w:i w:val="0"/>
          <w:color w:val="000000"/>
          <w:sz w:val="24"/>
        </w:rPr>
        <w:t>The legal heirship certificate is the paper which will later go to the applicant, for filing with the company. It is not to be signed now. It is to be filled only from the signed report of the Executive Officer. It carries the letterhead, the name of the Sub-Divisional Officer, space for the seal, and the words that it is valid for transmission of these shares and is issued in favour of the surviving legal heirs.</w:t>
      </w:r>
    </w:p>
    <w:p>
      <w:pPr>
        <w:spacing w:before="40" w:after="60" w:lineRule="exact" w:line="300"/>
        <w:jc w:val="left"/>
      </w:pPr>
      <w:r>
        <w:rPr>
          <w:rFonts w:ascii="Bookman Old Style" w:hAnsi="Bookman Old Style" w:cs="Bookman Old Style" w:eastAsia="Bookman Old Style"/>
          <w:b/>
          <w:i w:val="0"/>
          <w:color w:val="000000"/>
          <w:sz w:val="24"/>
        </w:rPr>
        <w:t>Why two persons have to sign</w:t>
      </w:r>
    </w:p>
    <w:p>
      <w:pPr>
        <w:spacing w:before="0" w:after="80" w:lineRule="exact" w:line="300"/>
        <w:jc w:val="both"/>
      </w:pPr>
      <w:r>
        <w:rPr>
          <w:rFonts w:ascii="Bookman Old Style" w:hAnsi="Bookman Old Style" w:cs="Bookman Old Style" w:eastAsia="Bookman Old Style"/>
          <w:b w:val="0"/>
          <w:i w:val="0"/>
          <w:color w:val="000000"/>
          <w:sz w:val="24"/>
        </w:rPr>
        <w:t>There are two different sets of signatures, and they must not be mixed.</w:t>
      </w:r>
    </w:p>
    <w:p>
      <w:pPr>
        <w:spacing w:before="0" w:after="80" w:lineRule="exact" w:line="300"/>
        <w:jc w:val="both"/>
      </w:pPr>
      <w:r>
        <w:rPr>
          <w:rFonts w:ascii="Bookman Old Style" w:hAnsi="Bookman Old Style" w:cs="Bookman Old Style" w:eastAsia="Bookman Old Style"/>
          <w:b w:val="0"/>
          <w:i w:val="0"/>
          <w:color w:val="000000"/>
          <w:sz w:val="24"/>
        </w:rPr>
        <w:t>On the enquiry report, two residents who are not of the family are asked to sign. The circular does not order this. It is the procedure of this office. The report should not rest only on what the family says. If either witness is a member of the family, the report is not in order.</w:t>
      </w:r>
    </w:p>
    <w:p>
      <w:pPr>
        <w:spacing w:before="0" w:after="120" w:lineRule="exact" w:line="300"/>
        <w:jc w:val="both"/>
      </w:pPr>
      <w:r>
        <w:rPr>
          <w:rFonts w:ascii="Bookman Old Style" w:hAnsi="Bookman Old Style" w:cs="Bookman Old Style" w:eastAsia="Bookman Old Style"/>
          <w:b w:val="0"/>
          <w:i w:val="0"/>
          <w:color w:val="000000"/>
          <w:sz w:val="24"/>
        </w:rPr>
        <w:t>On the indemnity bond, SEBI itself asks for two witnesses. That bond is Annexure-4 of the circular. It begins at page 31. The two witness lines are at page 34. Those witnesses sign the bond of the heirs. They do not sign the certificate of this office. The applicant arranges that bond and files it with the Registrar. This office does not prepare it and does not sign it.</w:t>
      </w:r>
    </w:p>
    <w:p>
      <w:pPr>
        <w:spacing w:before="40" w:after="60" w:lineRule="exact" w:line="300"/>
        <w:jc w:val="left"/>
      </w:pPr>
      <w:r>
        <w:rPr>
          <w:rFonts w:ascii="Bookman Old Style" w:hAnsi="Bookman Old Style" w:cs="Bookman Old Style" w:eastAsia="Bookman Old Style"/>
          <w:b/>
          <w:i w:val="0"/>
          <w:color w:val="000000"/>
          <w:sz w:val="24"/>
        </w:rPr>
        <w:t>Why the affidavit is before a Notary or a Magistrate</w:t>
      </w:r>
    </w:p>
    <w:p>
      <w:pPr>
        <w:spacing w:before="0" w:after="80" w:lineRule="exact" w:line="300"/>
        <w:jc w:val="both"/>
      </w:pPr>
      <w:r>
        <w:rPr>
          <w:rFonts w:ascii="Bookman Old Style" w:hAnsi="Bookman Old Style" w:cs="Bookman Old Style" w:eastAsia="Bookman Old Style"/>
          <w:b w:val="0"/>
          <w:i w:val="0"/>
          <w:color w:val="000000"/>
          <w:sz w:val="24"/>
        </w:rPr>
        <w:t>The circular, at page 9, clause 4.2.2.3, and again at page 30, serials 12 and 13, requires two papers from the heirs in addition to the legal heirship certificate, because the Registrar has treated the value as above the limit of Rs. 10 lakh fixed at page 2 and page 6 for shares in physical form.</w:t>
      </w:r>
    </w:p>
    <w:p>
      <w:pPr>
        <w:spacing w:before="0" w:after="80" w:lineRule="exact" w:line="300"/>
        <w:jc w:val="both"/>
      </w:pPr>
      <w:r>
        <w:rPr>
          <w:rFonts w:ascii="Bookman Old Style" w:hAnsi="Bookman Old Style" w:cs="Bookman Old Style" w:eastAsia="Bookman Old Style"/>
          <w:b w:val="0"/>
          <w:i w:val="0"/>
          <w:color w:val="000000"/>
          <w:sz w:val="24"/>
        </w:rPr>
        <w:t>The first is a notarised affidavit-cum-no objection of all the legal heirs. That form is Annexure-5. It begins at page 35. The heading says it is to be executed on non-judicial stamp paper of the value applicable in the State where the claimant resides, and notarised or attested by a Gazetted Officer or a Judicial Magistrate of the First Class. Page 36, item 8, is the statement that there is no dispute. Page 36, Part D, is the table of every heir, with name, address and contact, age, and relationship.</w:t>
      </w:r>
    </w:p>
    <w:p>
      <w:pPr>
        <w:spacing w:before="0" w:after="80" w:lineRule="exact" w:line="300"/>
        <w:jc w:val="both"/>
      </w:pPr>
      <w:r>
        <w:rPr>
          <w:rFonts w:ascii="Bookman Old Style" w:hAnsi="Bookman Old Style" w:cs="Bookman Old Style" w:eastAsia="Bookman Old Style"/>
          <w:b w:val="0"/>
          <w:i w:val="0"/>
          <w:color w:val="000000"/>
          <w:sz w:val="24"/>
        </w:rPr>
        <w:t>The second is a notarised indemnity bond. That form is Annexure-4. It begins at page 31. The heading says it is executed in the presence of a Notary Public, or a Judicial Magistrate of the First Class, or a Gazetted Officer, on non-judicial stamp paper. Page 9, note 2, says the stamp is of the value fixed under the Stamp Act of the State where the claimant resides.</w:t>
      </w:r>
    </w:p>
    <w:p>
      <w:pPr>
        <w:spacing w:before="0" w:after="120" w:lineRule="exact" w:line="300"/>
        <w:jc w:val="both"/>
      </w:pPr>
      <w:r>
        <w:rPr>
          <w:rFonts w:ascii="Bookman Old Style" w:hAnsi="Bookman Old Style" w:cs="Bookman Old Style" w:eastAsia="Bookman Old Style"/>
          <w:b w:val="0"/>
          <w:i w:val="0"/>
          <w:color w:val="000000"/>
          <w:sz w:val="24"/>
        </w:rPr>
        <w:t>This office does not notarize these papers and does not print them on the certificate. A Notary or a Magistrate attests them so that the company has a sworn statement, on stamp paper, that the heirs are correctly named and that there is no objection and no dispute. The certificate of this office is a separate paper. It is the succession document at page 30, serial 13.</w:t>
      </w:r>
    </w:p>
    <w:p>
      <w:pPr>
        <w:spacing w:before="40" w:after="60" w:lineRule="exact" w:line="300"/>
        <w:jc w:val="left"/>
      </w:pPr>
      <w:r>
        <w:rPr>
          <w:rFonts w:ascii="Bookman Old Style" w:hAnsi="Bookman Old Style" w:cs="Bookman Old Style" w:eastAsia="Bookman Old Style"/>
          <w:b/>
          <w:i w:val="0"/>
          <w:color w:val="000000"/>
          <w:sz w:val="24"/>
        </w:rPr>
        <w:t>The law behind the rest of the drafts</w:t>
      </w:r>
    </w:p>
    <w:p>
      <w:pPr>
        <w:spacing w:before="0" w:after="80" w:lineRule="exact" w:line="300"/>
        <w:jc w:val="both"/>
      </w:pPr>
      <w:r>
        <w:rPr>
          <w:rFonts w:ascii="Bookman Old Style" w:hAnsi="Bookman Old Style" w:cs="Bookman Old Style" w:eastAsia="Bookman Old Style"/>
          <w:b w:val="0"/>
          <w:i w:val="0"/>
          <w:color w:val="000000"/>
          <w:sz w:val="24"/>
        </w:rPr>
        <w:t>The circular is No. HO/38/13/11(14)2026-MIRSD-POD/I/17111/2026 dated 23.07.2026. Page 1, paragraph 2, places it under Regulation 40(7) of the SEBI Listing Regulations, 2015, as amended by Gazette Notification No. SEBI/LAD-NRO/GN/2026/312 dated 10.07.2026. Page 3, paragraph 7, places it under section 11(1) of the SEBI Act, 1992. Page 3, paragraph 4, brought it into force on 22.08.2026.</w:t>
      </w:r>
    </w:p>
    <w:p>
      <w:pPr>
        <w:spacing w:before="0" w:after="80" w:lineRule="exact" w:line="300"/>
        <w:jc w:val="both"/>
      </w:pPr>
      <w:r>
        <w:rPr>
          <w:rFonts w:ascii="Bookman Old Style" w:hAnsi="Bookman Old Style" w:cs="Bookman Old Style" w:eastAsia="Bookman Old Style"/>
          <w:b w:val="0"/>
          <w:i w:val="0"/>
          <w:color w:val="000000"/>
          <w:sz w:val="24"/>
        </w:rPr>
        <w:t>Page 5, clause 2.1(c), says the certificate must be of a revenue authority not below the rank of a Tehsildar. The same words are at page 9, page 17 and page 30, serial 13. West Bengal has no post of Tehsildar. The Revenue Officer under the West Bengal Land Reforms Act, 1955, is the officer of that rank. The Sub-Divisional Officer is the revenue authority of the subdivision and is above that rank. A certificate of the Municipality is not a certificate of that authority. The Registrar’s letter dated 20.07.2026, Reference No. ID80033739, refused the municipal certificate on that ground, and asked for the official letterhead, the name of the signing authority, the government seal and stamp, and a certificate valid for transmission of the shares, in favour of the surviving legal heirs.</w:t>
      </w:r>
    </w:p>
    <w:p>
      <w:pPr>
        <w:spacing w:before="0" w:after="80" w:lineRule="exact" w:line="300"/>
        <w:jc w:val="both"/>
      </w:pPr>
      <w:r>
        <w:rPr>
          <w:rFonts w:ascii="Bookman Old Style" w:hAnsi="Bookman Old Style" w:cs="Bookman Old Style" w:eastAsia="Bookman Old Style"/>
          <w:b w:val="0"/>
          <w:i w:val="0"/>
          <w:color w:val="000000"/>
          <w:sz w:val="24"/>
        </w:rPr>
        <w:t>Page 5, clause 1.3, says the framework does not apply if there is a dispute. No certificate is then issued. Page 5 and page 6, clause 2.1(d), say how the death certificate is to be accepted. The heirs are determined under the Hindu Succession Act, 1956, sections 8, 9 and 10, and Class I of the Schedule: the widow, the sons, the daughters, the mother, and the child or the widow of a son or a daughter who died earlier. The father is not in that class. The shares stand in the sole name of the deceased, so section 8 applies. The amendment of 2005 deals with coparcenary property. It is not the provision used for these shares.</w:t>
      </w:r>
    </w:p>
    <w:p>
      <w:pPr>
        <w:spacing w:before="0" w:after="120" w:lineRule="exact" w:line="300"/>
        <w:jc w:val="both"/>
      </w:pPr>
      <w:r>
        <w:rPr>
          <w:rFonts w:ascii="Bookman Old Style" w:hAnsi="Bookman Old Style" w:cs="Bookman Old Style" w:eastAsia="Bookman Old Style"/>
          <w:b w:val="0"/>
          <w:i w:val="0"/>
          <w:color w:val="000000"/>
          <w:sz w:val="24"/>
        </w:rPr>
        <w:t>Page 22 and page 23 list the Aadhaar card, the Voter Identity Card and the PAN as alternative proofs of relationship. The circular does not order that all three numbers be written. This office has asked for all three so that the name in the report is the name on the documents, and because the Registrar has separately asked for a self-attested PAN of the heir.</w:t>
      </w:r>
    </w:p>
    <w:p>
      <w:pPr>
        <w:spacing w:before="40" w:after="60" w:lineRule="exact" w:line="300"/>
        <w:jc w:val="left"/>
      </w:pPr>
      <w:r>
        <w:rPr>
          <w:rFonts w:ascii="Bookman Old Style" w:hAnsi="Bookman Old Style" w:cs="Bookman Old Style" w:eastAsia="Bookman Old Style"/>
          <w:b/>
          <w:i w:val="0"/>
          <w:color w:val="000000"/>
          <w:sz w:val="24"/>
        </w:rPr>
        <w:t>What is still to be taken from the applicant before the file is placed</w:t>
      </w:r>
    </w:p>
    <w:p>
      <w:pPr>
        <w:spacing w:before="0" w:after="60" w:lineRule="exact" w:line="300"/>
        <w:jc w:val="both"/>
      </w:pPr>
      <w:r>
        <w:rPr>
          <w:rFonts w:ascii="Bookman Old Style" w:hAnsi="Bookman Old Style" w:cs="Bookman Old Style" w:eastAsia="Bookman Old Style"/>
          <w:b w:val="0"/>
          <w:i w:val="0"/>
          <w:color w:val="000000"/>
          <w:sz w:val="24"/>
        </w:rPr>
        <w:t>The names in the application are not to be copied into the certificate. Before the notesheet is placed, the applicant should be asked to bring the following, in original, for the file.</w:t>
      </w:r>
    </w:p>
    <w:p>
      <w:pPr>
        <w:spacing w:before="0" w:after="20" w:lineRule="exact" w:line="300"/>
        <w:jc w:val="left"/>
      </w:pPr>
      <w:r>
        <w:rPr>
          <w:rFonts w:ascii="Bookman Old Style" w:hAnsi="Bookman Old Style" w:cs="Bookman Old Style" w:eastAsia="Bookman Old Style"/>
          <w:b w:val="0"/>
          <w:i w:val="0"/>
          <w:color w:val="000000"/>
          <w:sz w:val="24"/>
        </w:rPr>
        <w:t>1.  The death certificate of Late Debabrata Bagchi, in original.</w:t>
      </w:r>
    </w:p>
    <w:p>
      <w:pPr>
        <w:spacing w:before="0" w:after="20" w:lineRule="exact" w:line="300"/>
        <w:jc w:val="left"/>
      </w:pPr>
      <w:r>
        <w:rPr>
          <w:rFonts w:ascii="Bookman Old Style" w:hAnsi="Bookman Old Style" w:cs="Bookman Old Style" w:eastAsia="Bookman Old Style"/>
          <w:b w:val="0"/>
          <w:i w:val="0"/>
          <w:color w:val="000000"/>
          <w:sz w:val="24"/>
        </w:rPr>
        <w:t>2.  The letter of MUFG Intime India Private Limited dated 20.07.2026.</w:t>
      </w:r>
    </w:p>
    <w:p>
      <w:pPr>
        <w:spacing w:before="0" w:after="20" w:lineRule="exact" w:line="300"/>
        <w:jc w:val="left"/>
      </w:pPr>
      <w:r>
        <w:rPr>
          <w:rFonts w:ascii="Bookman Old Style" w:hAnsi="Bookman Old Style" w:cs="Bookman Old Style" w:eastAsia="Bookman Old Style"/>
          <w:b w:val="0"/>
          <w:i w:val="0"/>
          <w:color w:val="000000"/>
          <w:sz w:val="24"/>
        </w:rPr>
        <w:t>3.  The share certificate, or a clear copy showing Folio No. EXD0001178, Certificate No. B247787, and the three ranges of distinctive numbers, including 17219031 to 17219130.</w:t>
      </w:r>
    </w:p>
    <w:p>
      <w:pPr>
        <w:spacing w:before="0" w:after="20" w:lineRule="exact" w:line="300"/>
        <w:jc w:val="left"/>
      </w:pPr>
      <w:r>
        <w:rPr>
          <w:rFonts w:ascii="Bookman Old Style" w:hAnsi="Bookman Old Style" w:cs="Bookman Old Style" w:eastAsia="Bookman Old Style"/>
          <w:b w:val="0"/>
          <w:i w:val="0"/>
          <w:color w:val="000000"/>
          <w:sz w:val="24"/>
        </w:rPr>
        <w:t>4.  Aadhaar card, Voter Identity Card and PAN of every person who claims to be a legal heir. The name must be the same on all three.</w:t>
      </w:r>
    </w:p>
    <w:p>
      <w:pPr>
        <w:spacing w:before="0" w:after="20" w:lineRule="exact" w:line="300"/>
        <w:jc w:val="left"/>
      </w:pPr>
      <w:r>
        <w:rPr>
          <w:rFonts w:ascii="Bookman Old Style" w:hAnsi="Bookman Old Style" w:cs="Bookman Old Style" w:eastAsia="Bookman Old Style"/>
          <w:b w:val="0"/>
          <w:i w:val="0"/>
          <w:color w:val="000000"/>
          <w:sz w:val="24"/>
        </w:rPr>
        <w:t>5.  A statement, in writing, whether the mother of the deceased is living, and whether the deceased had a daughter.</w:t>
      </w:r>
    </w:p>
    <w:p>
      <w:pPr>
        <w:spacing w:before="0" w:after="20" w:lineRule="exact" w:line="300"/>
        <w:jc w:val="left"/>
      </w:pPr>
      <w:r>
        <w:rPr>
          <w:rFonts w:ascii="Bookman Old Style" w:hAnsi="Bookman Old Style" w:cs="Bookman Old Style" w:eastAsia="Bookman Old Style"/>
          <w:b w:val="0"/>
          <w:i w:val="0"/>
          <w:color w:val="000000"/>
          <w:sz w:val="24"/>
        </w:rPr>
        <w:t>6.  A statement whether any son or daughter died before him, and if so, whether that son or daughter left a widow or a child.</w:t>
      </w:r>
    </w:p>
    <w:p>
      <w:pPr>
        <w:spacing w:before="0" w:after="20" w:lineRule="exact" w:line="300"/>
        <w:jc w:val="left"/>
      </w:pPr>
      <w:r>
        <w:rPr>
          <w:rFonts w:ascii="Bookman Old Style" w:hAnsi="Bookman Old Style" w:cs="Bookman Old Style" w:eastAsia="Bookman Old Style"/>
          <w:b w:val="0"/>
          <w:i w:val="0"/>
          <w:color w:val="000000"/>
          <w:sz w:val="24"/>
        </w:rPr>
        <w:t>7.  A statement that there is no Will, no nominee on the folio, and no court case.</w:t>
      </w:r>
    </w:p>
    <w:p>
      <w:pPr>
        <w:spacing w:before="0" w:after="20" w:lineRule="exact" w:line="300"/>
        <w:jc w:val="left"/>
      </w:pPr>
      <w:r>
        <w:rPr>
          <w:rFonts w:ascii="Bookman Old Style" w:hAnsi="Bookman Old Style" w:cs="Bookman Old Style" w:eastAsia="Bookman Old Style"/>
          <w:b w:val="0"/>
          <w:i w:val="0"/>
          <w:color w:val="000000"/>
          <w:sz w:val="24"/>
        </w:rPr>
        <w:t>8.  The mobile number and the present address of the applicant.</w:t>
      </w:r>
    </w:p>
    <w:p>
      <w:pPr>
        <w:spacing w:before="0" w:after="20" w:lineRule="exact" w:line="300"/>
        <w:jc w:val="left"/>
      </w:pPr>
      <w:r>
        <w:rPr>
          <w:rFonts w:ascii="Bookman Old Style" w:hAnsi="Bookman Old Style" w:cs="Bookman Old Style" w:eastAsia="Bookman Old Style"/>
          <w:b w:val="0"/>
          <w:i w:val="0"/>
          <w:color w:val="000000"/>
          <w:sz w:val="24"/>
        </w:rPr>
        <w:t>9.  The old certificate of the Municipality, for the record only. It will not be acted upon.</w:t>
      </w:r>
    </w:p>
    <w:p>
      <w:pPr>
        <w:spacing w:before="80" w:after="120" w:lineRule="exact" w:line="300"/>
        <w:jc w:val="both"/>
      </w:pPr>
      <w:r>
        <w:rPr>
          <w:rFonts w:ascii="Bookman Old Style" w:hAnsi="Bookman Old Style" w:cs="Bookman Old Style" w:eastAsia="Bookman Old Style"/>
          <w:b w:val="0"/>
          <w:i w:val="0"/>
          <w:color w:val="000000"/>
          <w:sz w:val="24"/>
        </w:rPr>
        <w:t>The indemnity bond and the affidavit-cum-no objection are not to be demanded before the enquiry. Those are filed by the applicant with the company, after this office has issued the certificate. The applicant should only be told, so that the papers are not rejected a second time, that both must be on non-judicial stamp paper and attested by a Notary or a Judicial Magistrate, that every legal heir must be named, and that the affidavit must carry the distinctive numbers 17219031 to 17219130.</w:t>
      </w:r>
    </w:p>
    <w:p>
      <w:pPr>
        <w:spacing w:before="40" w:after="60" w:lineRule="exact" w:line="300"/>
        <w:jc w:val="left"/>
      </w:pPr>
      <w:r>
        <w:rPr>
          <w:rFonts w:ascii="Bookman Old Style" w:hAnsi="Bookman Old Style" w:cs="Bookman Old Style" w:eastAsia="Bookman Old Style"/>
          <w:b/>
          <w:i w:val="0"/>
          <w:color w:val="000000"/>
          <w:sz w:val="24"/>
        </w:rPr>
        <w:t>What is placed for signature now</w:t>
      </w:r>
    </w:p>
    <w:p>
      <w:pPr>
        <w:spacing w:before="0" w:after="120" w:lineRule="exact" w:line="300"/>
        <w:jc w:val="both"/>
      </w:pPr>
      <w:r>
        <w:rPr>
          <w:rFonts w:ascii="Bookman Old Style" w:hAnsi="Bookman Old Style" w:cs="Bookman Old Style" w:eastAsia="Bookman Old Style"/>
          <w:b w:val="0"/>
          <w:i w:val="0"/>
          <w:color w:val="000000"/>
          <w:sz w:val="24"/>
        </w:rPr>
        <w:t>Only the notesheet and the forwarding order are placed for approval. If approved, the forwarding order, with the enquiry proforma, goes to the Executive Officer. The certificate remains in the file, unsigned, until the report is received and the names have been checked against the documents.</w:t>
      </w:r>
    </w:p>
    <w:p>
      <w:pPr>
        <w:spacing w:before="0" w:after="0" w:lineRule="exact" w:line="300"/>
        <w:jc w:val="left"/>
      </w:pPr>
      <w:r>
        <w:rPr>
          <w:rFonts w:ascii="Bookman Old Style" w:hAnsi="Bookman Old Style" w:cs="Bookman Old Style" w:eastAsia="Bookman Old Style"/>
          <w:b/>
          <w:i w:val="0"/>
          <w:color w:val="000000"/>
          <w:sz w:val="24"/>
        </w:rPr>
        <w:t>Submitted for kind perusal.</w:t>
      </w:r>
    </w:p>
    <w:sectPr w:rsidR="00FC693F" w:rsidRPr="0006063C" w:rsidSect="00034616">
      <w:pgSz w:w="12240" w:h="15840"/>
      <w:pgMar w:top="780" w:right="1000" w:bottom="7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