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color w:val="000000"/>
          <w:sz w:val="26"/>
        </w:rPr>
        <w:t>NOTE FOR THE FILE</w:t>
      </w:r>
    </w:p>
    <w:p>
      <w:pPr>
        <w:spacing w:before="0" w:after="120" w:lineRule="exact" w:line="320"/>
        <w:jc w:val="center"/>
      </w:pPr>
      <w:r>
        <w:rPr>
          <w:rFonts w:ascii="Bookman Old Style" w:hAnsi="Bookman Old Style" w:cs="Bookman Old Style" w:eastAsia="Bookman Old Style"/>
          <w:b/>
          <w:color w:val="000000"/>
          <w:sz w:val="26"/>
        </w:rPr>
        <w:t>Why the father is not entered as a Class I heir</w:t>
      </w:r>
    </w:p>
    <w:p>
      <w:pPr>
        <w:spacing w:before="0" w:after="80" w:lineRule="exact" w:line="300"/>
        <w:jc w:val="both"/>
      </w:pPr>
      <w:r>
        <w:rPr>
          <w:rFonts w:ascii="Bookman Old Style" w:hAnsi="Bookman Old Style" w:cs="Bookman Old Style" w:eastAsia="Bookman Old Style"/>
          <w:b w:val="0"/>
          <w:color w:val="000000"/>
          <w:sz w:val="24"/>
        </w:rPr>
        <w:t>The eleven-page copy of the Hindu Succession Act placed in the file is not to be followed at page 11. That page inserts the father into Class I, and footnote 2 says this was done by a Hindu Succession (Amendment) Act, 2015. There is no such amendment. The India Code text, as it stands, keeps the father as Entry I of Class II. The only change made to Class I, by Act 39 of 2005, was to add four descendants of a pre-deceased daughter. The father was not added.</w:t>
      </w:r>
    </w:p>
    <w:p>
      <w:pPr>
        <w:spacing w:before="0" w:after="80" w:lineRule="exact" w:line="300"/>
        <w:jc w:val="both"/>
      </w:pPr>
      <w:r>
        <w:rPr>
          <w:rFonts w:ascii="Bookman Old Style" w:hAnsi="Bookman Old Style" w:cs="Bookman Old Style" w:eastAsia="Bookman Old Style"/>
          <w:b w:val="0"/>
          <w:color w:val="000000"/>
          <w:sz w:val="24"/>
        </w:rPr>
        <w:t>The same eleven-page copy contradicts itself. Page 7, section 10, is the section which actually divides the property. Rule 1 gives one share to the widow, or to all the widows together. Rule 2 gives one share each to the surviving sons, the surviving daughters, and the mother. Rule 3 gives one share to the branch of each son or daughter who died earlier. The father is not named in any rule. A person who is not given a share in section 10 is not a Class I heir. Page 11 of that copy cannot override page 7 of that same copy.</w:t>
      </w:r>
    </w:p>
    <w:p>
      <w:pPr>
        <w:spacing w:before="0" w:after="80" w:lineRule="exact" w:line="300"/>
        <w:jc w:val="both"/>
      </w:pPr>
      <w:r>
        <w:rPr>
          <w:rFonts w:ascii="Bookman Old Style" w:hAnsi="Bookman Old Style" w:cs="Bookman Old Style" w:eastAsia="Bookman Old Style"/>
          <w:b w:val="0"/>
          <w:color w:val="000000"/>
          <w:sz w:val="24"/>
        </w:rPr>
        <w:t>Section 8, on the same page 7, is the section for a male Hindu who dies without a Will. The shares stood in the sole name of Late Debabrata Bagchi. They devolve first on Class I. Section 9 says Class I take together, and they exclude everyone else. So long as the widow, a son, a daughter, the mother, or the child or widow of a son or daughter who died earlier, is alive, the father takes nothing. He would be reached only if there is no Class I heir at all. That is not this case, if the wife or a child is alive. His name is still taken in Annexure-A, so that the report shows he was asked about, and then left out. He is not given a row in Annexure-B as an heir.</w:t>
      </w:r>
    </w:p>
    <w:p>
      <w:pPr>
        <w:spacing w:before="0" w:after="80" w:lineRule="exact" w:line="300"/>
        <w:jc w:val="both"/>
      </w:pPr>
      <w:r>
        <w:rPr>
          <w:rFonts w:ascii="Bookman Old Style" w:hAnsi="Bookman Old Style" w:cs="Bookman Old Style" w:eastAsia="Bookman Old Style"/>
          <w:b w:val="0"/>
          <w:color w:val="000000"/>
          <w:sz w:val="24"/>
        </w:rPr>
        <w:t>Page 8 of the same copy is section 15. That section is for a woman who dies, not for a man. It is also not the text of the Act. It is not to be read in this file. Section 6, on coparcenary property, is not the section for these shares. The 2005 change on that section does not move the father into Class I.</w:t>
      </w:r>
    </w:p>
    <w:p>
      <w:pPr>
        <w:spacing w:before="0" w:after="40" w:lineRule="exact" w:line="300"/>
        <w:jc w:val="both"/>
      </w:pPr>
      <w:r>
        <w:rPr>
          <w:rFonts w:ascii="Bookman Old Style" w:hAnsi="Bookman Old Style" w:cs="Bookman Old Style" w:eastAsia="Bookman Old Style"/>
          <w:b w:val="0"/>
          <w:color w:val="000000"/>
          <w:sz w:val="24"/>
        </w:rPr>
        <w:t>The enquiry form and the draft certificate stay as they are. A stepchild is still not entered as a son or a daughter unless adopted by the deceased.</w:t>
      </w:r>
    </w:p>
    <w:sectPr w:rsidR="00FC693F" w:rsidRPr="0006063C" w:rsidSect="00034616">
      <w:pgSz w:w="11907" w:h="16840"/>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