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20"/>
        <w:jc w:val="center"/>
      </w:pPr>
      <w:r>
        <w:rPr>
          <w:rFonts w:ascii="Bookman Old Style" w:hAnsi="Bookman Old Style" w:cs="Bookman Old Style" w:eastAsia="Bookman Old Style"/>
          <w:b/>
          <w:i w:val="0"/>
          <w:color w:val="000000"/>
          <w:sz w:val="26"/>
        </w:rPr>
        <w:t>OFFICE OF THE SUB-DIVISIONAL OFFICER, BALURGHAT</w:t>
      </w:r>
    </w:p>
    <w:p>
      <w:pPr>
        <w:spacing w:before="0" w:after="80" w:lineRule="exact" w:line="300"/>
        <w:jc w:val="center"/>
      </w:pPr>
      <w:r>
        <w:rPr>
          <w:rFonts w:ascii="Bookman Old Style" w:hAnsi="Bookman Old Style" w:cs="Bookman Old Style" w:eastAsia="Bookman Old Style"/>
          <w:b/>
          <w:i w:val="0"/>
          <w:color w:val="000000"/>
          <w:sz w:val="24"/>
        </w:rPr>
        <w:t>Speaking note on the legal heir file of Late Debabrata Bagchi</w:t>
      </w:r>
    </w:p>
    <w:p>
      <w:pPr>
        <w:spacing w:before="0" w:after="100" w:lineRule="exact" w:line="280"/>
        <w:jc w:val="both"/>
      </w:pPr>
      <w:r>
        <w:rPr>
          <w:rFonts w:ascii="Bookman Old Style" w:hAnsi="Bookman Old Style" w:cs="Bookman Old Style" w:eastAsia="Bookman Old Style"/>
          <w:b w:val="0"/>
          <w:i w:val="0"/>
          <w:color w:val="000000"/>
          <w:sz w:val="24"/>
        </w:rPr>
        <w:t>This note is only for the file. It is not part of the certificate. It states where each line in the drafts is taken from, and where a line is only an office arrangement.</w:t>
      </w:r>
    </w:p>
    <w:p>
      <w:pPr>
        <w:spacing w:before="0" w:after="40" w:lineRule="exact" w:line="300"/>
        <w:jc w:val="left"/>
      </w:pPr>
      <w:r>
        <w:rPr>
          <w:rFonts w:ascii="Bookman Old Style" w:hAnsi="Bookman Old Style" w:cs="Bookman Old Style" w:eastAsia="Bookman Old Style"/>
          <w:b/>
          <w:i w:val="0"/>
          <w:color w:val="000000"/>
          <w:sz w:val="24"/>
        </w:rPr>
        <w:t>1. The circular, and why it binds the Registrar</w:t>
      </w:r>
    </w:p>
    <w:p>
      <w:pPr>
        <w:spacing w:before="0" w:after="100" w:lineRule="exact" w:line="280"/>
        <w:jc w:val="both"/>
      </w:pPr>
      <w:r>
        <w:rPr>
          <w:rFonts w:ascii="Bookman Old Style" w:hAnsi="Bookman Old Style" w:cs="Bookman Old Style" w:eastAsia="Bookman Old Style"/>
          <w:b w:val="0"/>
          <w:i w:val="0"/>
          <w:color w:val="000000"/>
          <w:sz w:val="24"/>
        </w:rPr>
        <w:t>SEBI Circular No. HO/38/13/11(14)2026-MIRSD-POD/I/17111/2026 dated 23.07.2026. Page 1, paragraph 2, says it is issued under Regulation 40(7) of the SEBI (Listing Obligations and Disclosure Requirements) Regulations, 2015, as amended by Gazette Notification No. SEBI/LAD-NRO/GN/2026/312 dated 10.07.2026. Page 3, paragraph 7, says it is issued under section 11(1) of the SEBI Act, 1992, section 19 of the Depositories Act, 1996, regulation 101 of the LODR Regulations, 2015, and regulations 37 and 38 of the SEBI (Registrars to an Issue and Share Transfer Agents) Regulations, 2025. Page 3, paragraph 4, brings it into force 30 days from 23.07.2026, that is from 22.08.2026. It is in force.</w:t>
      </w:r>
    </w:p>
    <w:p>
      <w:pPr>
        <w:spacing w:before="0" w:after="40" w:lineRule="exact" w:line="300"/>
        <w:jc w:val="left"/>
      </w:pPr>
      <w:r>
        <w:rPr>
          <w:rFonts w:ascii="Bookman Old Style" w:hAnsi="Bookman Old Style" w:cs="Bookman Old Style" w:eastAsia="Bookman Old Style"/>
          <w:b/>
          <w:i w:val="0"/>
          <w:color w:val="000000"/>
          <w:sz w:val="24"/>
        </w:rPr>
        <w:t>2. Why this office, and not the Municipality</w:t>
      </w:r>
    </w:p>
    <w:p>
      <w:pPr>
        <w:spacing w:before="0" w:after="100" w:lineRule="exact" w:line="280"/>
        <w:jc w:val="both"/>
      </w:pPr>
      <w:r>
        <w:rPr>
          <w:rFonts w:ascii="Bookman Old Style" w:hAnsi="Bookman Old Style" w:cs="Bookman Old Style" w:eastAsia="Bookman Old Style"/>
          <w:b w:val="0"/>
          <w:i w:val="0"/>
          <w:color w:val="000000"/>
          <w:sz w:val="24"/>
        </w:rPr>
        <w:t>Page 5, clause 2.1(c): the relevant authority for a legal heirship certificate is a revenue authority not below the rank of a Tehsildar, or an equivalent authority. The same words are repeated at page 9, clause 4.2.2.3, at page 17, and at page 30, serial 13. West Bengal does not use the designation Tehsildar. The revenue officer at the block is the Revenue Officer under the West Bengal Land Reforms Act, 1955. The Sub-Divisional Officer is the revenue authority of the subdivision and is above that rank. A certificate of Balurghat Municipality is not a certificate of a revenue authority of that rank. MUFG Intime India Private Limited, by letter dated 20.07.2026 (Reference No. ID80033739), refused that municipal certificate for this reason, and asked for the Office of the Tehsildar, or an authority above that rank, on official letterhead, signed with the name of the authority, with the government seal and stamp, valid for transmission of the shares, and in favour of the surviving legal heirs. Page 10, paragraph 3, and the note at page 17, allow the Registrar, in a case above the threshold, to ask for such further particulars.</w:t>
      </w:r>
    </w:p>
    <w:p>
      <w:pPr>
        <w:spacing w:before="0" w:after="40" w:lineRule="exact" w:line="300"/>
        <w:jc w:val="left"/>
      </w:pPr>
      <w:r>
        <w:rPr>
          <w:rFonts w:ascii="Bookman Old Style" w:hAnsi="Bookman Old Style" w:cs="Bookman Old Style" w:eastAsia="Bookman Old Style"/>
          <w:b/>
          <w:i w:val="0"/>
          <w:color w:val="000000"/>
          <w:sz w:val="24"/>
        </w:rPr>
        <w:t>3. Why a legal heir certificate is required at all</w:t>
      </w:r>
    </w:p>
    <w:p>
      <w:pPr>
        <w:spacing w:before="0" w:after="100" w:lineRule="exact" w:line="280"/>
        <w:jc w:val="both"/>
      </w:pPr>
      <w:r>
        <w:rPr>
          <w:rFonts w:ascii="Bookman Old Style" w:hAnsi="Bookman Old Style" w:cs="Bookman Old Style" w:eastAsia="Bookman Old Style"/>
          <w:b w:val="0"/>
          <w:i w:val="0"/>
          <w:color w:val="000000"/>
          <w:sz w:val="24"/>
        </w:rPr>
        <w:t>The shares are in physical form, in the sole name of the deceased, Folio No. EXD0001178, 400 shares. Page 2 and page 6 fix the simplified-documentation limit for physical securities at Rs. 10 lakh. The Registrar has written that the value exceeds the threshold. The case is therefore an above-threshold case. Page 30, note 3: for that category the claimant must file the common papers and serials 12 and 13. Serial 12 is a notarised affidavit-cum-NOC of all legal heirs. Serial 13 is any one of three succession papers. The paper this office can issue is the second of those three: a Legal Heirship Certificate of a revenue authority not below a Tehsildar, together with a notarised indemnity bond. Page 9, clause 4.2.2.3, is the same rule. Page 5, clause 1.3: if there is a dispute, this framework does not apply, and no certificate is to be issued.</w:t>
      </w:r>
    </w:p>
    <w:p>
      <w:pPr>
        <w:spacing w:before="0" w:after="40" w:lineRule="exact" w:line="300"/>
        <w:jc w:val="left"/>
      </w:pPr>
      <w:r>
        <w:rPr>
          <w:rFonts w:ascii="Bookman Old Style" w:hAnsi="Bookman Old Style" w:cs="Bookman Old Style" w:eastAsia="Bookman Old Style"/>
          <w:b/>
          <w:i w:val="0"/>
          <w:color w:val="000000"/>
          <w:sz w:val="24"/>
        </w:rPr>
        <w:t>4. What this office did not copy from SEBI</w:t>
      </w:r>
    </w:p>
    <w:p>
      <w:pPr>
        <w:spacing w:before="0" w:after="80" w:lineRule="exact" w:line="280"/>
        <w:jc w:val="both"/>
      </w:pPr>
      <w:r>
        <w:rPr>
          <w:rFonts w:ascii="Bookman Old Style" w:hAnsi="Bookman Old Style" w:cs="Bookman Old Style" w:eastAsia="Bookman Old Style"/>
          <w:b w:val="0"/>
          <w:i w:val="0"/>
          <w:color w:val="000000"/>
          <w:sz w:val="24"/>
        </w:rPr>
        <w:t>SEBI has not prescribed an enquiry form for the Sub-Divisional Officer. Annexure-1 to Annexure-5 of the circular are forms for the claimant to file with the company. They are not forms of this office. Annexure-4, the indemnity bond, begins at page 31 and is executed before a Notary, a Judicial Magistrate or a Gazetted Officer, on stamp paper. Annexure-5, the affidavit-cum-NOC, begins at page 35 and is likewise for the heirs, not for this office. The enquiry sheets marked Annexure-A, Annexure-B and Annexure-C were prepared in this office, so that the field report collects the particulars which the certificate, and SEBI’s own heir table, must contain. The Executive Officer signs only the enquiry report, because the deceased last resided in Balurghat Municipality. He does not issue the certificate.</w:t>
      </w:r>
    </w:p>
    <w:tbl>
      <w:tblPr>
        <w:tblW w:type="dxa" w:w="10440"/>
        <w:tblLayout w:type="fixed"/>
        <w:tblLook w:firstColumn="1" w:firstRow="1" w:lastColumn="0" w:lastRow="0" w:noHBand="0" w:noVBand="1" w:val="04A0"/>
      </w:tblPr>
      <w:tblGrid>
        <w:gridCol w:w="4200"/>
        <w:gridCol w:w="6240"/>
      </w:tblGrid>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E6E6E6"/>
          </w:tcPr>
          <w:p>
            <w:pPr>
              <w:spacing w:before="20" w:after="20" w:lineRule="exact" w:line="220"/>
            </w:pPr>
            <w:r>
              <w:rPr>
                <w:rFonts w:ascii="Bookman Old Style" w:hAnsi="Bookman Old Style" w:cs="Bookman Old Style" w:eastAsia="Bookman Old Style"/>
                <w:b/>
                <w:i w:val="0"/>
                <w:color w:val="000000"/>
                <w:sz w:val="16"/>
              </w:rPr>
              <w:t>Line in the drafts</w:t>
            </w:r>
          </w:p>
        </w:tc>
        <w:tc>
          <w:tcPr>
            <w:tcW w:type="dxa" w:w="6240"/>
            <w:tcBorders>
              <w:top w:val="single" w:sz="6" w:space="0" w:color="000000"/>
              <w:left w:val="single" w:sz="6" w:space="0" w:color="000000"/>
              <w:bottom w:val="single" w:sz="6" w:space="0" w:color="000000"/>
              <w:right w:val="single" w:sz="6" w:space="0" w:color="000000"/>
            </w:tcBorders>
            <w:vAlign w:val="center"/>
            <w:shd w:val="clear" w:fill="E6E6E6"/>
          </w:tcPr>
          <w:p>
            <w:pPr>
              <w:spacing w:before="20" w:after="20" w:lineRule="exact" w:line="220"/>
            </w:pPr>
            <w:r>
              <w:rPr>
                <w:rFonts w:ascii="Bookman Old Style" w:hAnsi="Bookman Old Style" w:cs="Bookman Old Style" w:eastAsia="Bookman Old Style"/>
                <w:b/>
                <w:i w:val="0"/>
                <w:color w:val="000000"/>
                <w:sz w:val="16"/>
              </w:rPr>
              <w:t>Where it is written</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Certificate of a revenue authority not below Tehsildar; official letterhead; name, seal and stamp; valid for transmission; in favour of the surviving heirs.</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Circular, page 5, clause 2.1(c); page 9, clause 4.2.2.3; page 17; page 30, serial 13. The letterhead, the name and the seal are also what the Registrar’s letter dated 20.07.2026 has asked.</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Municipal certificate not to be used.</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The same clauses. A Municipality is not the relevant authority defined at page 5.</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No certificate if there is a dispute or a Will contest.</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Page 5, clause 1.3. Annexure-5, page 35, item 3, and page 36, item 8, also require a statement that there is no dispute.</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Death to be verified from the death certificate.</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Page 5 and page 6, clause 2.1(d): original, or copy attested by a Notary, a Gazetted Officer or a Judicial Magistrate, or a certificate with a QR code.</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Heir table: name, address and contact, age, relationship. Every heir, not only the applicant.</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Annexure-5, page 36, Part D. The same columns are in the indemnity, page 32. Page 35, item 5: those persons are the only legal heirs.</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Class I: widow, sons, daughters, mother, and the child or widow of a child who died earlier. Father is not in this class.</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Hindu Succession Act, 1956, sections 8, 9 and 10, and the Schedule, Class I. The shares stand in his sole name, so section 8 applies. The Hindu Succession (Amendment) Act, 2005, section 6, is on coparcenary property. It is not the provision used here.</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Aadhaar number, Voter card number and PAN, written in the enquiry.</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Not a SEBI command that all three numbers be printed. Page 22 and page 23, Annexure-A, list Voter ID, Aadhaar and PAN as alternative proofs of relationship. Any one may be ticked. This office has asked for all three so that the name tallies, and because the Registrar has separately asked for the PAN of the heir.</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Indemnity bond and affidavit-cum-NOC.</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Page 9 and page 30, serials 12 and 13. The bond is Annexure-4, from page 31. The affidavit is Annexure-5, from page 35. Both are on non-judicial stamp paper and are for the applicant to file with the Registrar. They are not to be printed on the certificate.</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Distinctive numbers 17219031 to 17219130.</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Taken from the share certificate and from the Registrar’s letter dated 20.07.2026, which says the affidavit must carry this range. It is not a SEBI page.</w:t>
            </w:r>
          </w:p>
        </w:tc>
      </w:tr>
      <w:tr>
        <w:trPr>
          <w:cantSplit/>
        </w:trPr>
        <w:tc>
          <w:tcPr>
            <w:tcW w:type="dxa" w:w="4200"/>
            <w:tcBorders>
              <w:top w:val="single" w:sz="6" w:space="0" w:color="000000"/>
              <w:left w:val="single" w:sz="6" w:space="0" w:color="000000"/>
              <w:bottom w:val="single" w:sz="6" w:space="0" w:color="000000"/>
              <w:right w:val="single" w:sz="6" w:space="0" w:color="000000"/>
            </w:tcBorders>
            <w:vAlign w:val="center"/>
            <w:shd w:val="clear" w:fill="F7F7F7"/>
          </w:tcPr>
          <w:p>
            <w:pPr>
              <w:spacing w:before="20" w:after="20" w:lineRule="exact" w:line="220"/>
            </w:pPr>
            <w:r>
              <w:rPr>
                <w:rFonts w:ascii="Bookman Old Style" w:hAnsi="Bookman Old Style" w:cs="Bookman Old Style" w:eastAsia="Bookman Old Style"/>
                <w:b w:val="0"/>
                <w:i w:val="0"/>
                <w:color w:val="000000"/>
                <w:sz w:val="16"/>
              </w:rPr>
              <w:t>Enquiry by the Executive Officer, report in 15 days, two witnesses.</w:t>
            </w:r>
          </w:p>
        </w:tc>
        <w:tc>
          <w:tcPr>
            <w:tcW w:type="dxa" w:w="6240"/>
            <w:tcBorders>
              <w:top w:val="single" w:sz="6" w:space="0" w:color="000000"/>
              <w:left w:val="single" w:sz="6" w:space="0" w:color="000000"/>
              <w:bottom w:val="single" w:sz="6" w:space="0" w:color="000000"/>
              <w:right w:val="single" w:sz="6" w:space="0" w:color="000000"/>
            </w:tcBorders>
            <w:vAlign w:val="center"/>
          </w:tcPr>
          <w:p>
            <w:pPr>
              <w:spacing w:before="20" w:after="20" w:lineRule="exact" w:line="220"/>
            </w:pPr>
            <w:r>
              <w:rPr>
                <w:rFonts w:ascii="Bookman Old Style" w:hAnsi="Bookman Old Style" w:cs="Bookman Old Style" w:eastAsia="Bookman Old Style"/>
                <w:b w:val="0"/>
                <w:i w:val="0"/>
                <w:color w:val="000000"/>
                <w:sz w:val="16"/>
              </w:rPr>
              <w:t>Not in the circular. It is the procedure of this office. The certificate will still be signed by the Sub-Divisional Officer.</w:t>
            </w:r>
          </w:p>
        </w:tc>
      </w:tr>
    </w:tbl>
    <w:p>
      <w:pPr>
        <w:spacing w:before="120" w:after="40" w:lineRule="exact" w:line="300"/>
        <w:jc w:val="left"/>
      </w:pPr>
      <w:r>
        <w:rPr>
          <w:rFonts w:ascii="Bookman Old Style" w:hAnsi="Bookman Old Style" w:cs="Bookman Old Style" w:eastAsia="Bookman Old Style"/>
          <w:b/>
          <w:i w:val="0"/>
          <w:color w:val="000000"/>
          <w:sz w:val="24"/>
        </w:rPr>
        <w:t>5. What may be told to the applicant, and what may not be put on the certificate</w:t>
      </w:r>
    </w:p>
    <w:p>
      <w:pPr>
        <w:spacing w:before="0" w:after="80" w:lineRule="exact" w:line="280"/>
        <w:jc w:val="both"/>
      </w:pPr>
      <w:r>
        <w:rPr>
          <w:rFonts w:ascii="Bookman Old Style" w:hAnsi="Bookman Old Style" w:cs="Bookman Old Style" w:eastAsia="Bookman Old Style"/>
          <w:b w:val="0"/>
          <w:i w:val="0"/>
          <w:color w:val="000000"/>
          <w:sz w:val="24"/>
        </w:rPr>
        <w:t>The certificate, once the enquiry report is in, will state the heirs and that it is valid for transmission of these shares. It will carry the letterhead, the name of the Sub-Divisional Officer, and the seal. It will not carry a note about the indemnity, the affidavit, the Notary or the PAN. Those are the applicant’s papers for the Registrar. If they are printed on the certificate, the Registrar will not treat the paper as the certificate asked for at page 30, serial 13.</w:t>
      </w:r>
    </w:p>
    <w:p>
      <w:pPr>
        <w:spacing w:before="0" w:after="0" w:lineRule="exact" w:line="300"/>
        <w:jc w:val="left"/>
      </w:pPr>
      <w:r>
        <w:rPr>
          <w:rFonts w:ascii="Bookman Old Style" w:hAnsi="Bookman Old Style" w:cs="Bookman Old Style" w:eastAsia="Bookman Old Style"/>
          <w:b/>
          <w:i w:val="0"/>
          <w:color w:val="000000"/>
          <w:sz w:val="24"/>
        </w:rPr>
        <w:t>Submitted for kind perusal.</w:t>
      </w:r>
    </w:p>
    <w:sectPr w:rsidR="00FC693F" w:rsidRPr="0006063C" w:rsidSect="00034616">
      <w:pgSz w:w="12240" w:h="15840"/>
      <w:pgMar w:top="720" w:right="900" w:bottom="6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